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13368">
      <w:pPr>
        <w:rPr>
          <w:rFonts w:eastAsia="仿宋_GB2312"/>
          <w:color w:val="auto"/>
          <w:sz w:val="36"/>
          <w:szCs w:val="36"/>
        </w:rPr>
      </w:pPr>
    </w:p>
    <w:p w14:paraId="1BEDFD84">
      <w:pPr>
        <w:rPr>
          <w:rFonts w:eastAsia="仿宋_GB2312"/>
          <w:color w:val="auto"/>
          <w:sz w:val="36"/>
          <w:szCs w:val="36"/>
        </w:rPr>
      </w:pPr>
    </w:p>
    <w:p w14:paraId="1423778A">
      <w:pPr>
        <w:rPr>
          <w:rFonts w:eastAsia="仿宋_GB2312"/>
          <w:color w:val="auto"/>
          <w:sz w:val="36"/>
          <w:szCs w:val="36"/>
        </w:rPr>
      </w:pPr>
    </w:p>
    <w:p w14:paraId="2FADA0A8">
      <w:pPr>
        <w:rPr>
          <w:rFonts w:eastAsia="仿宋_GB2312"/>
          <w:color w:val="auto"/>
          <w:sz w:val="36"/>
          <w:szCs w:val="36"/>
        </w:rPr>
      </w:pPr>
    </w:p>
    <w:p w14:paraId="32F9175C">
      <w:pPr>
        <w:rPr>
          <w:rFonts w:eastAsia="仿宋_GB2312"/>
          <w:color w:val="auto"/>
          <w:sz w:val="36"/>
          <w:szCs w:val="36"/>
        </w:rPr>
      </w:pPr>
    </w:p>
    <w:p w14:paraId="19020575">
      <w:pPr>
        <w:adjustRightInd w:val="0"/>
        <w:snapToGrid w:val="0"/>
        <w:jc w:val="center"/>
        <w:outlineLvl w:val="0"/>
        <w:rPr>
          <w:rFonts w:eastAsia="方正小标宋_GBK"/>
          <w:bCs/>
          <w:color w:val="auto"/>
          <w:sz w:val="72"/>
          <w:szCs w:val="72"/>
        </w:rPr>
      </w:pPr>
      <w:r>
        <w:rPr>
          <w:rFonts w:eastAsia="方正小标宋_GBK"/>
          <w:bCs/>
          <w:color w:val="auto"/>
          <w:sz w:val="72"/>
          <w:szCs w:val="72"/>
        </w:rPr>
        <w:t>建设项目环境影响报告表</w:t>
      </w:r>
    </w:p>
    <w:p w14:paraId="7D981598">
      <w:pPr>
        <w:adjustRightInd w:val="0"/>
        <w:snapToGrid w:val="0"/>
        <w:spacing w:before="192" w:beforeLines="80"/>
        <w:jc w:val="center"/>
        <w:rPr>
          <w:rFonts w:eastAsia="楷体_GB2312"/>
          <w:bCs/>
          <w:color w:val="auto"/>
          <w:sz w:val="48"/>
          <w:szCs w:val="48"/>
        </w:rPr>
      </w:pPr>
      <w:r>
        <w:rPr>
          <w:rFonts w:hint="eastAsia" w:eastAsia="楷体_GB2312"/>
          <w:bCs/>
          <w:color w:val="auto"/>
          <w:sz w:val="48"/>
          <w:szCs w:val="48"/>
        </w:rPr>
        <w:t>（</w:t>
      </w:r>
      <w:r>
        <w:rPr>
          <w:rFonts w:eastAsia="楷体_GB2312"/>
          <w:bCs/>
          <w:color w:val="auto"/>
          <w:sz w:val="48"/>
          <w:szCs w:val="48"/>
        </w:rPr>
        <w:t>污染影响类</w:t>
      </w:r>
      <w:r>
        <w:rPr>
          <w:rFonts w:hint="eastAsia" w:eastAsia="楷体_GB2312"/>
          <w:bCs/>
          <w:color w:val="auto"/>
          <w:sz w:val="48"/>
          <w:szCs w:val="48"/>
        </w:rPr>
        <w:t>）</w:t>
      </w:r>
    </w:p>
    <w:p w14:paraId="4E815BFB">
      <w:pPr>
        <w:rPr>
          <w:color w:val="auto"/>
        </w:rPr>
      </w:pPr>
    </w:p>
    <w:p w14:paraId="53B29E73">
      <w:pPr>
        <w:rPr>
          <w:color w:val="auto"/>
        </w:rPr>
      </w:pPr>
    </w:p>
    <w:p w14:paraId="06757BB2">
      <w:pPr>
        <w:ind w:firstLine="1040"/>
        <w:rPr>
          <w:rFonts w:eastAsia="仿宋"/>
          <w:color w:val="auto"/>
          <w:sz w:val="44"/>
          <w:szCs w:val="44"/>
        </w:rPr>
      </w:pPr>
    </w:p>
    <w:p w14:paraId="64170DF0">
      <w:pPr>
        <w:ind w:firstLine="1040"/>
        <w:rPr>
          <w:rFonts w:eastAsia="仿宋"/>
          <w:color w:val="auto"/>
          <w:sz w:val="44"/>
          <w:szCs w:val="44"/>
        </w:rPr>
      </w:pPr>
    </w:p>
    <w:p w14:paraId="637EABD1">
      <w:pPr>
        <w:ind w:firstLine="1040"/>
        <w:rPr>
          <w:rFonts w:eastAsia="仿宋"/>
          <w:color w:val="auto"/>
          <w:sz w:val="44"/>
          <w:szCs w:val="44"/>
        </w:rPr>
      </w:pPr>
    </w:p>
    <w:p w14:paraId="0D9265E4">
      <w:pPr>
        <w:adjustRightInd w:val="0"/>
        <w:snapToGrid w:val="0"/>
        <w:spacing w:line="360" w:lineRule="auto"/>
        <w:rPr>
          <w:rFonts w:eastAsia="仿宋"/>
          <w:color w:val="auto"/>
          <w:sz w:val="44"/>
          <w:szCs w:val="44"/>
        </w:rPr>
      </w:pPr>
    </w:p>
    <w:p w14:paraId="445BA40F">
      <w:pPr>
        <w:pStyle w:val="4"/>
        <w:rPr>
          <w:color w:val="auto"/>
        </w:rPr>
      </w:pPr>
    </w:p>
    <w:p w14:paraId="0AB1B130">
      <w:pPr>
        <w:rPr>
          <w:color w:val="auto"/>
        </w:rPr>
      </w:pPr>
    </w:p>
    <w:p w14:paraId="5285B897">
      <w:pPr>
        <w:rPr>
          <w:color w:val="auto"/>
        </w:rPr>
      </w:pPr>
    </w:p>
    <w:p w14:paraId="6F074D4C">
      <w:pPr>
        <w:adjustRightInd w:val="0"/>
        <w:snapToGrid w:val="0"/>
        <w:spacing w:line="480" w:lineRule="auto"/>
        <w:ind w:left="1844" w:leftChars="153" w:right="338" w:rightChars="161" w:hanging="1523" w:hangingChars="474"/>
        <w:rPr>
          <w:rFonts w:hint="eastAsia" w:eastAsia="仿宋_GB2312"/>
          <w:b/>
          <w:bCs/>
          <w:iCs/>
          <w:color w:val="auto"/>
          <w:sz w:val="32"/>
          <w:szCs w:val="32"/>
          <w:u w:val="single"/>
          <w:lang w:eastAsia="zh-CN"/>
        </w:rPr>
      </w:pPr>
      <w:r>
        <w:rPr>
          <w:rFonts w:eastAsia="仿宋_GB2312"/>
          <w:b/>
          <w:bCs/>
          <w:color w:val="auto"/>
          <w:sz w:val="32"/>
          <w:szCs w:val="32"/>
        </w:rPr>
        <w:t>项目名称：</w:t>
      </w:r>
      <w:r>
        <w:rPr>
          <w:rFonts w:hint="eastAsia" w:eastAsia="仿宋_GB2312"/>
          <w:b/>
          <w:bCs/>
          <w:color w:val="auto"/>
          <w:sz w:val="32"/>
          <w:szCs w:val="32"/>
          <w:u w:val="single"/>
          <w:lang w:eastAsia="zh-CN"/>
        </w:rPr>
        <w:t>杭锦旗多丰长绿种植专业合作社酱腌菜加工厂污水处理项目</w:t>
      </w:r>
    </w:p>
    <w:p w14:paraId="062D51A7">
      <w:pPr>
        <w:adjustRightInd w:val="0"/>
        <w:snapToGrid w:val="0"/>
        <w:spacing w:line="480" w:lineRule="auto"/>
        <w:ind w:left="1844" w:leftChars="153" w:hanging="1523" w:hangingChars="474"/>
        <w:rPr>
          <w:rFonts w:eastAsia="仿宋_GB2312"/>
          <w:b/>
          <w:bCs/>
          <w:iCs/>
          <w:color w:val="auto"/>
          <w:sz w:val="32"/>
          <w:szCs w:val="32"/>
          <w:u w:val="single"/>
        </w:rPr>
      </w:pPr>
      <w:r>
        <w:rPr>
          <w:rFonts w:eastAsia="仿宋_GB2312"/>
          <w:b/>
          <w:bCs/>
          <w:color w:val="auto"/>
          <w:sz w:val="32"/>
          <w:szCs w:val="32"/>
        </w:rPr>
        <w:t>建设单位</w:t>
      </w:r>
      <w:r>
        <w:rPr>
          <w:rFonts w:hint="eastAsia" w:eastAsia="仿宋_GB2312"/>
          <w:b/>
          <w:bCs/>
          <w:color w:val="auto"/>
          <w:sz w:val="32"/>
          <w:szCs w:val="32"/>
        </w:rPr>
        <w:t>（</w:t>
      </w:r>
      <w:r>
        <w:rPr>
          <w:rFonts w:eastAsia="仿宋_GB2312"/>
          <w:b/>
          <w:bCs/>
          <w:color w:val="auto"/>
          <w:sz w:val="32"/>
          <w:szCs w:val="32"/>
        </w:rPr>
        <w:t>盖章</w:t>
      </w:r>
      <w:r>
        <w:rPr>
          <w:rFonts w:hint="eastAsia" w:eastAsia="仿宋_GB2312"/>
          <w:b/>
          <w:bCs/>
          <w:color w:val="auto"/>
          <w:sz w:val="32"/>
          <w:szCs w:val="32"/>
        </w:rPr>
        <w:t>）</w:t>
      </w:r>
      <w:r>
        <w:rPr>
          <w:rFonts w:eastAsia="仿宋_GB2312"/>
          <w:b/>
          <w:bCs/>
          <w:color w:val="auto"/>
          <w:sz w:val="32"/>
          <w:szCs w:val="32"/>
        </w:rPr>
        <w:t>：</w:t>
      </w:r>
      <w:r>
        <w:rPr>
          <w:rFonts w:hint="eastAsia" w:eastAsia="仿宋_GB2312"/>
          <w:b/>
          <w:bCs/>
          <w:color w:val="auto"/>
          <w:sz w:val="32"/>
          <w:szCs w:val="32"/>
          <w:u w:val="single"/>
          <w:lang w:eastAsia="zh-CN"/>
        </w:rPr>
        <w:t>杭锦旗多丰长绿种植专业合作社</w:t>
      </w:r>
      <w:r>
        <w:rPr>
          <w:rFonts w:hint="eastAsia" w:eastAsia="仿宋_GB2312"/>
          <w:b/>
          <w:bCs/>
          <w:color w:val="auto"/>
          <w:sz w:val="32"/>
          <w:szCs w:val="32"/>
          <w:u w:val="single"/>
        </w:rPr>
        <w:t xml:space="preserve">  </w:t>
      </w:r>
    </w:p>
    <w:p w14:paraId="13A21CA8">
      <w:pPr>
        <w:adjustRightInd w:val="0"/>
        <w:snapToGrid w:val="0"/>
        <w:spacing w:line="480" w:lineRule="auto"/>
        <w:ind w:firstLine="321" w:firstLineChars="100"/>
        <w:rPr>
          <w:rFonts w:eastAsia="仿宋_GB2312"/>
          <w:b/>
          <w:bCs/>
          <w:color w:val="auto"/>
          <w:sz w:val="32"/>
          <w:szCs w:val="32"/>
          <w:u w:val="single"/>
        </w:rPr>
      </w:pPr>
      <w:r>
        <w:rPr>
          <w:rFonts w:eastAsia="仿宋_GB2312"/>
          <w:b/>
          <w:bCs/>
          <w:color w:val="auto"/>
          <w:sz w:val="32"/>
          <w:szCs w:val="32"/>
        </w:rPr>
        <w:t>编制日期：</w:t>
      </w:r>
      <w:r>
        <w:rPr>
          <w:rFonts w:hint="eastAsia" w:eastAsia="仿宋_GB2312"/>
          <w:b/>
          <w:bCs/>
          <w:color w:val="auto"/>
          <w:sz w:val="32"/>
          <w:szCs w:val="32"/>
          <w:u w:val="single"/>
        </w:rPr>
        <w:t xml:space="preserve">             202</w:t>
      </w:r>
      <w:r>
        <w:rPr>
          <w:rFonts w:hint="eastAsia" w:eastAsia="仿宋_GB2312"/>
          <w:b/>
          <w:bCs/>
          <w:color w:val="auto"/>
          <w:sz w:val="32"/>
          <w:szCs w:val="32"/>
          <w:u w:val="single"/>
          <w:lang w:val="en-US" w:eastAsia="zh-CN"/>
        </w:rPr>
        <w:t>5</w:t>
      </w:r>
      <w:r>
        <w:rPr>
          <w:rFonts w:eastAsia="仿宋_GB2312"/>
          <w:b/>
          <w:bCs/>
          <w:color w:val="auto"/>
          <w:sz w:val="32"/>
          <w:szCs w:val="32"/>
          <w:u w:val="single"/>
        </w:rPr>
        <w:t>年</w:t>
      </w:r>
      <w:r>
        <w:rPr>
          <w:rFonts w:hint="eastAsia" w:eastAsia="仿宋_GB2312"/>
          <w:b/>
          <w:bCs/>
          <w:color w:val="auto"/>
          <w:sz w:val="32"/>
          <w:szCs w:val="32"/>
          <w:u w:val="single"/>
          <w:lang w:val="en-US" w:eastAsia="zh-CN"/>
        </w:rPr>
        <w:t>3</w:t>
      </w:r>
      <w:r>
        <w:rPr>
          <w:rFonts w:eastAsia="仿宋_GB2312"/>
          <w:b/>
          <w:bCs/>
          <w:color w:val="auto"/>
          <w:sz w:val="32"/>
          <w:szCs w:val="32"/>
          <w:u w:val="single"/>
        </w:rPr>
        <w:t>月</w:t>
      </w:r>
      <w:bookmarkStart w:id="0" w:name="_Hlk57884087"/>
      <w:r>
        <w:rPr>
          <w:rFonts w:hint="eastAsia" w:eastAsia="仿宋_GB2312"/>
          <w:b/>
          <w:bCs/>
          <w:color w:val="auto"/>
          <w:sz w:val="32"/>
          <w:szCs w:val="32"/>
          <w:u w:val="single"/>
        </w:rPr>
        <w:t xml:space="preserve">               </w:t>
      </w:r>
    </w:p>
    <w:bookmarkEnd w:id="0"/>
    <w:p w14:paraId="4D321A38">
      <w:pPr>
        <w:adjustRightInd w:val="0"/>
        <w:snapToGrid w:val="0"/>
        <w:spacing w:line="288" w:lineRule="auto"/>
        <w:jc w:val="center"/>
        <w:rPr>
          <w:rFonts w:eastAsia="仿宋_GB2312"/>
          <w:b/>
          <w:bCs/>
          <w:color w:val="auto"/>
          <w:sz w:val="36"/>
          <w:szCs w:val="36"/>
        </w:rPr>
      </w:pPr>
    </w:p>
    <w:p w14:paraId="1624B13C">
      <w:pPr>
        <w:adjustRightInd w:val="0"/>
        <w:snapToGrid w:val="0"/>
        <w:spacing w:line="288" w:lineRule="auto"/>
        <w:jc w:val="center"/>
        <w:rPr>
          <w:rFonts w:eastAsia="仿宋_GB2312"/>
          <w:b/>
          <w:bCs/>
          <w:color w:val="auto"/>
          <w:sz w:val="36"/>
          <w:szCs w:val="36"/>
        </w:rPr>
      </w:pPr>
      <w:r>
        <w:rPr>
          <w:rFonts w:eastAsia="仿宋_GB2312"/>
          <w:b/>
          <w:bCs/>
          <w:color w:val="auto"/>
          <w:sz w:val="36"/>
          <w:szCs w:val="36"/>
        </w:rPr>
        <w:t>中华人民共和国生态环境部制</w:t>
      </w:r>
    </w:p>
    <w:p w14:paraId="048BB253">
      <w:pPr>
        <w:widowControl/>
        <w:jc w:val="left"/>
        <w:rPr>
          <w:rFonts w:eastAsia="仿宋_GB2312"/>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34A05F3F">
      <w:pPr>
        <w:pStyle w:val="14"/>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一、建设项目基本情况</w:t>
      </w:r>
    </w:p>
    <w:tbl>
      <w:tblPr>
        <w:tblStyle w:val="17"/>
        <w:tblW w:w="882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123"/>
        <w:gridCol w:w="1820"/>
        <w:gridCol w:w="2116"/>
        <w:gridCol w:w="2762"/>
      </w:tblGrid>
      <w:tr w14:paraId="733F3D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14:paraId="0772C75C">
            <w:pPr>
              <w:adjustRightInd w:val="0"/>
              <w:snapToGrid w:val="0"/>
              <w:jc w:val="center"/>
              <w:rPr>
                <w:color w:val="auto"/>
                <w:sz w:val="24"/>
              </w:rPr>
            </w:pPr>
            <w:r>
              <w:rPr>
                <w:color w:val="auto"/>
                <w:sz w:val="24"/>
              </w:rPr>
              <w:t>建设项目名称</w:t>
            </w:r>
          </w:p>
        </w:tc>
        <w:tc>
          <w:tcPr>
            <w:tcW w:w="6698" w:type="dxa"/>
            <w:gridSpan w:val="3"/>
            <w:vAlign w:val="center"/>
          </w:tcPr>
          <w:p w14:paraId="5956D53C">
            <w:pPr>
              <w:adjustRightInd w:val="0"/>
              <w:snapToGrid w:val="0"/>
              <w:jc w:val="center"/>
              <w:rPr>
                <w:rFonts w:hint="eastAsia" w:eastAsia="宋体"/>
                <w:color w:val="auto"/>
                <w:sz w:val="24"/>
                <w:lang w:eastAsia="zh-CN"/>
              </w:rPr>
            </w:pPr>
            <w:r>
              <w:rPr>
                <w:rFonts w:hint="eastAsia"/>
                <w:color w:val="auto"/>
                <w:sz w:val="24"/>
                <w:lang w:eastAsia="zh-CN"/>
              </w:rPr>
              <w:t>杭锦旗多丰长绿种植专业合作社酱腌菜加工厂污水处理项目</w:t>
            </w:r>
          </w:p>
        </w:tc>
      </w:tr>
      <w:tr w14:paraId="1633AB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14:paraId="5C1BEEFF">
            <w:pPr>
              <w:adjustRightInd w:val="0"/>
              <w:snapToGrid w:val="0"/>
              <w:jc w:val="center"/>
              <w:rPr>
                <w:color w:val="auto"/>
                <w:sz w:val="24"/>
              </w:rPr>
            </w:pPr>
            <w:r>
              <w:rPr>
                <w:color w:val="auto"/>
                <w:sz w:val="24"/>
              </w:rPr>
              <w:t>项目代码</w:t>
            </w:r>
          </w:p>
        </w:tc>
        <w:tc>
          <w:tcPr>
            <w:tcW w:w="6698" w:type="dxa"/>
            <w:gridSpan w:val="3"/>
            <w:vAlign w:val="center"/>
          </w:tcPr>
          <w:p w14:paraId="36AC9743">
            <w:pPr>
              <w:adjustRightInd w:val="0"/>
              <w:snapToGrid w:val="0"/>
              <w:jc w:val="center"/>
              <w:rPr>
                <w:rFonts w:hint="eastAsia" w:eastAsia="宋体"/>
                <w:color w:val="auto"/>
                <w:sz w:val="24"/>
                <w:lang w:eastAsia="zh-CN"/>
              </w:rPr>
            </w:pPr>
            <w:r>
              <w:rPr>
                <w:rFonts w:hint="eastAsia"/>
                <w:color w:val="auto"/>
                <w:sz w:val="24"/>
                <w:lang w:val="en-US" w:eastAsia="zh-CN"/>
              </w:rPr>
              <w:t>/</w:t>
            </w:r>
          </w:p>
        </w:tc>
      </w:tr>
      <w:tr w14:paraId="77796C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14:paraId="5734DC2C">
            <w:pPr>
              <w:adjustRightInd w:val="0"/>
              <w:snapToGrid w:val="0"/>
              <w:jc w:val="center"/>
              <w:rPr>
                <w:color w:val="auto"/>
                <w:sz w:val="24"/>
              </w:rPr>
            </w:pPr>
            <w:r>
              <w:rPr>
                <w:color w:val="auto"/>
                <w:sz w:val="24"/>
              </w:rPr>
              <w:t>建设单位联系人</w:t>
            </w:r>
          </w:p>
        </w:tc>
        <w:tc>
          <w:tcPr>
            <w:tcW w:w="1820" w:type="dxa"/>
            <w:vAlign w:val="center"/>
          </w:tcPr>
          <w:p w14:paraId="21EF5968">
            <w:pPr>
              <w:adjustRightInd w:val="0"/>
              <w:snapToGrid w:val="0"/>
              <w:jc w:val="center"/>
              <w:rPr>
                <w:rFonts w:hint="default" w:eastAsia="宋体"/>
                <w:color w:val="auto"/>
                <w:sz w:val="24"/>
                <w:lang w:val="en-US" w:eastAsia="zh-CN"/>
              </w:rPr>
            </w:pPr>
            <w:r>
              <w:rPr>
                <w:rFonts w:hint="eastAsia"/>
                <w:color w:val="auto"/>
                <w:sz w:val="24"/>
                <w:lang w:val="en-US" w:eastAsia="zh-CN"/>
              </w:rPr>
              <w:t>秦文革</w:t>
            </w:r>
          </w:p>
        </w:tc>
        <w:tc>
          <w:tcPr>
            <w:tcW w:w="2116" w:type="dxa"/>
            <w:vAlign w:val="center"/>
          </w:tcPr>
          <w:p w14:paraId="7645A0F4">
            <w:pPr>
              <w:adjustRightInd w:val="0"/>
              <w:snapToGrid w:val="0"/>
              <w:jc w:val="center"/>
              <w:rPr>
                <w:color w:val="auto"/>
                <w:sz w:val="24"/>
              </w:rPr>
            </w:pPr>
            <w:r>
              <w:rPr>
                <w:color w:val="auto"/>
                <w:sz w:val="24"/>
              </w:rPr>
              <w:t>联系方式</w:t>
            </w:r>
          </w:p>
        </w:tc>
        <w:tc>
          <w:tcPr>
            <w:tcW w:w="2762" w:type="dxa"/>
            <w:vAlign w:val="center"/>
          </w:tcPr>
          <w:p w14:paraId="683C96FE">
            <w:pPr>
              <w:adjustRightInd w:val="0"/>
              <w:snapToGrid w:val="0"/>
              <w:jc w:val="center"/>
              <w:rPr>
                <w:rFonts w:hint="default" w:eastAsia="宋体"/>
                <w:color w:val="auto"/>
                <w:sz w:val="24"/>
                <w:lang w:val="en-US" w:eastAsia="zh-CN"/>
              </w:rPr>
            </w:pPr>
            <w:r>
              <w:rPr>
                <w:rFonts w:hint="eastAsia"/>
                <w:color w:val="auto"/>
                <w:sz w:val="24"/>
                <w:lang w:val="en-US" w:eastAsia="zh-CN"/>
              </w:rPr>
              <w:t>13150860899</w:t>
            </w:r>
          </w:p>
        </w:tc>
      </w:tr>
      <w:tr w14:paraId="03E3B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14:paraId="0853E9EF">
            <w:pPr>
              <w:adjustRightInd w:val="0"/>
              <w:snapToGrid w:val="0"/>
              <w:jc w:val="center"/>
              <w:rPr>
                <w:color w:val="auto"/>
                <w:sz w:val="24"/>
              </w:rPr>
            </w:pPr>
            <w:r>
              <w:rPr>
                <w:color w:val="auto"/>
                <w:sz w:val="24"/>
              </w:rPr>
              <w:t>建设地点</w:t>
            </w:r>
          </w:p>
        </w:tc>
        <w:tc>
          <w:tcPr>
            <w:tcW w:w="6698" w:type="dxa"/>
            <w:gridSpan w:val="3"/>
            <w:vAlign w:val="center"/>
          </w:tcPr>
          <w:p w14:paraId="16422DCC">
            <w:pPr>
              <w:adjustRightInd w:val="0"/>
              <w:snapToGrid w:val="0"/>
              <w:jc w:val="center"/>
              <w:rPr>
                <w:rFonts w:hint="eastAsia" w:eastAsia="宋体"/>
                <w:color w:val="auto"/>
                <w:sz w:val="24"/>
                <w:lang w:eastAsia="zh-CN"/>
              </w:rPr>
            </w:pPr>
            <w:r>
              <w:rPr>
                <w:color w:val="auto"/>
                <w:sz w:val="24"/>
              </w:rPr>
              <w:t>鄂尔多斯市杭锦旗锡尼镇</w:t>
            </w:r>
            <w:r>
              <w:rPr>
                <w:rFonts w:hint="eastAsia"/>
                <w:color w:val="auto"/>
                <w:sz w:val="24"/>
                <w:lang w:eastAsia="zh-CN"/>
              </w:rPr>
              <w:t>中图村</w:t>
            </w:r>
          </w:p>
        </w:tc>
      </w:tr>
      <w:tr w14:paraId="00C87B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14:paraId="5238A4C5">
            <w:pPr>
              <w:adjustRightInd w:val="0"/>
              <w:snapToGrid w:val="0"/>
              <w:jc w:val="center"/>
              <w:rPr>
                <w:color w:val="auto"/>
                <w:sz w:val="24"/>
              </w:rPr>
            </w:pPr>
            <w:r>
              <w:rPr>
                <w:color w:val="auto"/>
                <w:sz w:val="24"/>
              </w:rPr>
              <w:t>地理坐标</w:t>
            </w:r>
          </w:p>
        </w:tc>
        <w:tc>
          <w:tcPr>
            <w:tcW w:w="6698" w:type="dxa"/>
            <w:gridSpan w:val="3"/>
            <w:vAlign w:val="center"/>
          </w:tcPr>
          <w:p w14:paraId="6215FE45">
            <w:pPr>
              <w:jc w:val="center"/>
              <w:rPr>
                <w:color w:val="auto"/>
                <w:sz w:val="24"/>
              </w:rPr>
            </w:pPr>
            <w:r>
              <w:rPr>
                <w:rFonts w:hint="eastAsia"/>
                <w:color w:val="auto"/>
                <w:sz w:val="24"/>
                <w:u w:val="none"/>
                <w:lang w:val="en-US" w:eastAsia="zh-CN"/>
              </w:rPr>
              <w:t xml:space="preserve"> </w:t>
            </w:r>
            <w:r>
              <w:rPr>
                <w:color w:val="auto"/>
                <w:sz w:val="24"/>
                <w:u w:val="single"/>
              </w:rPr>
              <w:t>10</w:t>
            </w:r>
            <w:r>
              <w:rPr>
                <w:rFonts w:hint="eastAsia"/>
                <w:color w:val="auto"/>
                <w:sz w:val="24"/>
                <w:u w:val="single"/>
                <w:lang w:val="en-US" w:eastAsia="zh-CN"/>
              </w:rPr>
              <w:t>9</w:t>
            </w:r>
            <w:r>
              <w:rPr>
                <w:color w:val="auto"/>
                <w:sz w:val="24"/>
                <w:u w:val="single"/>
              </w:rPr>
              <w:t xml:space="preserve"> </w:t>
            </w:r>
            <w:r>
              <w:rPr>
                <w:color w:val="auto"/>
                <w:sz w:val="24"/>
              </w:rPr>
              <w:t>度</w:t>
            </w:r>
            <w:r>
              <w:rPr>
                <w:color w:val="auto"/>
                <w:sz w:val="24"/>
                <w:u w:val="single"/>
              </w:rPr>
              <w:t xml:space="preserve"> </w:t>
            </w:r>
            <w:r>
              <w:rPr>
                <w:rFonts w:hint="eastAsia"/>
                <w:color w:val="auto"/>
                <w:sz w:val="24"/>
                <w:u w:val="single"/>
                <w:lang w:val="en-US" w:eastAsia="zh-CN"/>
              </w:rPr>
              <w:t>1</w:t>
            </w:r>
            <w:r>
              <w:rPr>
                <w:color w:val="auto"/>
                <w:sz w:val="24"/>
                <w:u w:val="single"/>
              </w:rPr>
              <w:t xml:space="preserve"> </w:t>
            </w:r>
            <w:r>
              <w:rPr>
                <w:color w:val="auto"/>
                <w:sz w:val="24"/>
              </w:rPr>
              <w:t>分</w:t>
            </w:r>
            <w:r>
              <w:rPr>
                <w:color w:val="auto"/>
                <w:sz w:val="24"/>
                <w:u w:val="single"/>
              </w:rPr>
              <w:t xml:space="preserve"> </w:t>
            </w:r>
            <w:r>
              <w:rPr>
                <w:rFonts w:hint="eastAsia"/>
                <w:color w:val="auto"/>
                <w:sz w:val="24"/>
                <w:u w:val="single"/>
                <w:lang w:val="en-US" w:eastAsia="zh-CN"/>
              </w:rPr>
              <w:t>40.659</w:t>
            </w:r>
            <w:r>
              <w:rPr>
                <w:color w:val="auto"/>
                <w:sz w:val="24"/>
                <w:u w:val="single"/>
              </w:rPr>
              <w:t xml:space="preserve"> </w:t>
            </w:r>
            <w:r>
              <w:rPr>
                <w:color w:val="auto"/>
                <w:sz w:val="24"/>
              </w:rPr>
              <w:t>秒，</w:t>
            </w:r>
            <w:r>
              <w:rPr>
                <w:color w:val="auto"/>
                <w:sz w:val="24"/>
                <w:u w:val="single"/>
              </w:rPr>
              <w:t xml:space="preserve"> </w:t>
            </w:r>
            <w:r>
              <w:rPr>
                <w:rFonts w:hint="eastAsia"/>
                <w:color w:val="auto"/>
                <w:sz w:val="24"/>
                <w:u w:val="single"/>
              </w:rPr>
              <w:t>39</w:t>
            </w:r>
            <w:r>
              <w:rPr>
                <w:color w:val="auto"/>
                <w:sz w:val="24"/>
                <w:u w:val="single"/>
              </w:rPr>
              <w:t xml:space="preserve"> </w:t>
            </w:r>
            <w:r>
              <w:rPr>
                <w:color w:val="auto"/>
                <w:sz w:val="24"/>
              </w:rPr>
              <w:t>度</w:t>
            </w:r>
            <w:r>
              <w:rPr>
                <w:color w:val="auto"/>
                <w:sz w:val="24"/>
                <w:u w:val="single"/>
              </w:rPr>
              <w:t xml:space="preserve"> </w:t>
            </w:r>
            <w:r>
              <w:rPr>
                <w:rFonts w:hint="eastAsia"/>
                <w:color w:val="auto"/>
                <w:sz w:val="24"/>
                <w:u w:val="single"/>
                <w:lang w:val="en-US" w:eastAsia="zh-CN"/>
              </w:rPr>
              <w:t>4</w:t>
            </w:r>
            <w:r>
              <w:rPr>
                <w:rFonts w:hint="eastAsia"/>
                <w:color w:val="auto"/>
                <w:sz w:val="24"/>
                <w:u w:val="single"/>
              </w:rPr>
              <w:t>0</w:t>
            </w:r>
            <w:r>
              <w:rPr>
                <w:color w:val="auto"/>
                <w:sz w:val="24"/>
                <w:u w:val="single"/>
              </w:rPr>
              <w:t xml:space="preserve"> </w:t>
            </w:r>
            <w:r>
              <w:rPr>
                <w:color w:val="auto"/>
                <w:sz w:val="24"/>
              </w:rPr>
              <w:t>分</w:t>
            </w:r>
            <w:r>
              <w:rPr>
                <w:color w:val="auto"/>
                <w:sz w:val="24"/>
                <w:u w:val="single"/>
              </w:rPr>
              <w:t xml:space="preserve"> </w:t>
            </w:r>
            <w:r>
              <w:rPr>
                <w:rFonts w:hint="eastAsia"/>
                <w:color w:val="auto"/>
                <w:sz w:val="24"/>
                <w:u w:val="single"/>
                <w:lang w:val="en-US" w:eastAsia="zh-CN"/>
              </w:rPr>
              <w:t>52.624</w:t>
            </w:r>
            <w:r>
              <w:rPr>
                <w:color w:val="auto"/>
                <w:sz w:val="24"/>
                <w:u w:val="single"/>
              </w:rPr>
              <w:t xml:space="preserve"> </w:t>
            </w:r>
            <w:r>
              <w:rPr>
                <w:color w:val="auto"/>
                <w:sz w:val="24"/>
              </w:rPr>
              <w:t>秒</w:t>
            </w:r>
          </w:p>
        </w:tc>
      </w:tr>
      <w:tr w14:paraId="5EC9BC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123" w:type="dxa"/>
            <w:tcMar>
              <w:top w:w="16" w:type="dxa"/>
              <w:left w:w="16" w:type="dxa"/>
              <w:right w:w="16" w:type="dxa"/>
            </w:tcMar>
            <w:vAlign w:val="center"/>
          </w:tcPr>
          <w:p w14:paraId="263E6BAE">
            <w:pPr>
              <w:adjustRightInd w:val="0"/>
              <w:snapToGrid w:val="0"/>
              <w:jc w:val="center"/>
              <w:rPr>
                <w:color w:val="auto"/>
                <w:sz w:val="24"/>
              </w:rPr>
            </w:pPr>
            <w:r>
              <w:rPr>
                <w:color w:val="auto"/>
                <w:sz w:val="24"/>
              </w:rPr>
              <w:t>国民经济</w:t>
            </w:r>
          </w:p>
          <w:p w14:paraId="43B5AA09">
            <w:pPr>
              <w:adjustRightInd w:val="0"/>
              <w:snapToGrid w:val="0"/>
              <w:jc w:val="center"/>
              <w:rPr>
                <w:color w:val="auto"/>
                <w:sz w:val="24"/>
              </w:rPr>
            </w:pPr>
            <w:r>
              <w:rPr>
                <w:color w:val="auto"/>
                <w:sz w:val="24"/>
              </w:rPr>
              <w:t>行业类别</w:t>
            </w:r>
          </w:p>
        </w:tc>
        <w:tc>
          <w:tcPr>
            <w:tcW w:w="1820" w:type="dxa"/>
            <w:vAlign w:val="center"/>
          </w:tcPr>
          <w:p w14:paraId="2B48E69D">
            <w:pPr>
              <w:adjustRightInd w:val="0"/>
              <w:snapToGrid w:val="0"/>
              <w:jc w:val="center"/>
              <w:rPr>
                <w:color w:val="auto"/>
                <w:sz w:val="24"/>
              </w:rPr>
            </w:pPr>
            <w:r>
              <w:rPr>
                <w:rFonts w:hint="eastAsia"/>
                <w:color w:val="auto"/>
                <w:sz w:val="24"/>
                <w:lang w:val="en-US" w:eastAsia="zh-CN"/>
              </w:rPr>
              <w:t>D4690其他水的处理、利用与分配</w:t>
            </w:r>
          </w:p>
        </w:tc>
        <w:tc>
          <w:tcPr>
            <w:tcW w:w="2116" w:type="dxa"/>
            <w:vAlign w:val="center"/>
          </w:tcPr>
          <w:p w14:paraId="26C3CDD5">
            <w:pPr>
              <w:adjustRightInd w:val="0"/>
              <w:snapToGrid w:val="0"/>
              <w:jc w:val="center"/>
              <w:rPr>
                <w:color w:val="auto"/>
                <w:sz w:val="24"/>
              </w:rPr>
            </w:pPr>
            <w:bookmarkStart w:id="1" w:name="_Hlk49843745"/>
            <w:r>
              <w:rPr>
                <w:color w:val="auto"/>
                <w:sz w:val="24"/>
              </w:rPr>
              <w:t>建设项目</w:t>
            </w:r>
          </w:p>
          <w:p w14:paraId="40BC3214">
            <w:pPr>
              <w:adjustRightInd w:val="0"/>
              <w:snapToGrid w:val="0"/>
              <w:jc w:val="center"/>
              <w:rPr>
                <w:color w:val="auto"/>
                <w:sz w:val="24"/>
              </w:rPr>
            </w:pPr>
            <w:r>
              <w:rPr>
                <w:color w:val="auto"/>
                <w:sz w:val="24"/>
              </w:rPr>
              <w:t>行业类别</w:t>
            </w:r>
            <w:bookmarkEnd w:id="1"/>
          </w:p>
        </w:tc>
        <w:tc>
          <w:tcPr>
            <w:tcW w:w="2762" w:type="dxa"/>
            <w:vAlign w:val="center"/>
          </w:tcPr>
          <w:p w14:paraId="0EDA10F8">
            <w:pPr>
              <w:adjustRightInd w:val="0"/>
              <w:snapToGrid w:val="0"/>
              <w:rPr>
                <w:color w:val="auto"/>
                <w:sz w:val="24"/>
              </w:rPr>
            </w:pPr>
            <w:r>
              <w:rPr>
                <w:rFonts w:hint="eastAsia"/>
                <w:color w:val="auto"/>
                <w:sz w:val="24"/>
                <w:lang w:val="en-US" w:eastAsia="zh-CN"/>
              </w:rPr>
              <w:t>四十三、水的生产和供应业</w:t>
            </w:r>
            <w:r>
              <w:rPr>
                <w:rFonts w:hint="eastAsia"/>
                <w:color w:val="auto"/>
                <w:sz w:val="24"/>
              </w:rPr>
              <w:t>-9</w:t>
            </w:r>
            <w:r>
              <w:rPr>
                <w:rFonts w:hint="eastAsia"/>
                <w:color w:val="auto"/>
                <w:sz w:val="24"/>
                <w:lang w:val="en-US" w:eastAsia="zh-CN"/>
              </w:rPr>
              <w:t>6其他水的处理、利用 与分配 469－全部</w:t>
            </w:r>
          </w:p>
        </w:tc>
      </w:tr>
      <w:tr w14:paraId="52E7E0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123" w:type="dxa"/>
            <w:tcMar>
              <w:top w:w="16" w:type="dxa"/>
              <w:left w:w="16" w:type="dxa"/>
              <w:right w:w="16" w:type="dxa"/>
            </w:tcMar>
            <w:vAlign w:val="center"/>
          </w:tcPr>
          <w:p w14:paraId="7C5371D8">
            <w:pPr>
              <w:adjustRightInd w:val="0"/>
              <w:snapToGrid w:val="0"/>
              <w:jc w:val="center"/>
              <w:rPr>
                <w:color w:val="auto"/>
                <w:sz w:val="24"/>
              </w:rPr>
            </w:pPr>
            <w:r>
              <w:rPr>
                <w:color w:val="auto"/>
                <w:sz w:val="24"/>
              </w:rPr>
              <w:t>建设性质</w:t>
            </w:r>
          </w:p>
        </w:tc>
        <w:tc>
          <w:tcPr>
            <w:tcW w:w="1820" w:type="dxa"/>
            <w:vAlign w:val="center"/>
          </w:tcPr>
          <w:p w14:paraId="284358A4">
            <w:pPr>
              <w:jc w:val="left"/>
              <w:rPr>
                <w:color w:val="auto"/>
                <w:sz w:val="24"/>
              </w:rPr>
            </w:pPr>
            <w:r>
              <w:rPr>
                <w:rFonts w:hint="eastAsia" w:ascii="Segoe UI Symbol" w:hAnsi="Segoe UI Symbol" w:eastAsia="宋体" w:cs="Segoe UI Symbol"/>
                <w:color w:val="auto"/>
                <w:sz w:val="24"/>
                <w:lang w:eastAsia="zh-CN"/>
              </w:rPr>
              <w:t>☑</w:t>
            </w:r>
            <w:r>
              <w:rPr>
                <w:color w:val="auto"/>
                <w:sz w:val="24"/>
              </w:rPr>
              <w:t>新建</w:t>
            </w:r>
            <w:r>
              <w:rPr>
                <w:rFonts w:hint="eastAsia"/>
                <w:color w:val="auto"/>
                <w:sz w:val="24"/>
              </w:rPr>
              <w:t>（</w:t>
            </w:r>
            <w:r>
              <w:rPr>
                <w:color w:val="auto"/>
                <w:sz w:val="24"/>
              </w:rPr>
              <w:t>迁建</w:t>
            </w:r>
            <w:r>
              <w:rPr>
                <w:rFonts w:hint="eastAsia"/>
                <w:color w:val="auto"/>
                <w:sz w:val="24"/>
              </w:rPr>
              <w:t>）</w:t>
            </w:r>
          </w:p>
          <w:p w14:paraId="3AAC5815">
            <w:pPr>
              <w:jc w:val="left"/>
              <w:rPr>
                <w:rFonts w:hint="eastAsia" w:ascii="宋体" w:hAnsi="宋体"/>
                <w:color w:val="auto"/>
                <w:sz w:val="24"/>
              </w:rPr>
            </w:pPr>
            <w:r>
              <w:rPr>
                <w:rFonts w:ascii="宋体" w:hAnsi="宋体"/>
                <w:color w:val="auto"/>
                <w:sz w:val="24"/>
              </w:rPr>
              <w:t>□改建</w:t>
            </w:r>
          </w:p>
          <w:p w14:paraId="00BBE291">
            <w:pPr>
              <w:jc w:val="left"/>
              <w:rPr>
                <w:rFonts w:hint="eastAsia" w:ascii="宋体" w:hAnsi="宋体"/>
                <w:color w:val="auto"/>
                <w:sz w:val="24"/>
              </w:rPr>
            </w:pPr>
            <w:r>
              <w:rPr>
                <w:rFonts w:ascii="宋体" w:hAnsi="宋体"/>
                <w:color w:val="auto"/>
                <w:sz w:val="24"/>
              </w:rPr>
              <w:t>□扩建</w:t>
            </w:r>
          </w:p>
          <w:p w14:paraId="42EF8C59">
            <w:pPr>
              <w:jc w:val="left"/>
              <w:rPr>
                <w:color w:val="auto"/>
                <w:sz w:val="24"/>
              </w:rPr>
            </w:pPr>
            <w:r>
              <w:rPr>
                <w:rFonts w:hint="eastAsia" w:ascii="宋体" w:hAnsi="宋体"/>
                <w:color w:val="auto"/>
                <w:sz w:val="24"/>
                <w:lang w:eastAsia="zh-CN"/>
              </w:rPr>
              <w:t>□</w:t>
            </w:r>
            <w:r>
              <w:rPr>
                <w:color w:val="auto"/>
                <w:sz w:val="24"/>
              </w:rPr>
              <w:t>技术改造</w:t>
            </w:r>
          </w:p>
        </w:tc>
        <w:tc>
          <w:tcPr>
            <w:tcW w:w="2116" w:type="dxa"/>
            <w:vAlign w:val="center"/>
          </w:tcPr>
          <w:p w14:paraId="7AE80A98">
            <w:pPr>
              <w:adjustRightInd w:val="0"/>
              <w:snapToGrid w:val="0"/>
              <w:jc w:val="center"/>
              <w:rPr>
                <w:color w:val="auto"/>
                <w:sz w:val="24"/>
              </w:rPr>
            </w:pPr>
            <w:r>
              <w:rPr>
                <w:color w:val="auto"/>
                <w:sz w:val="24"/>
              </w:rPr>
              <w:t>建设项目</w:t>
            </w:r>
          </w:p>
          <w:p w14:paraId="32EB73D6">
            <w:pPr>
              <w:adjustRightInd w:val="0"/>
              <w:snapToGrid w:val="0"/>
              <w:jc w:val="center"/>
              <w:rPr>
                <w:color w:val="auto"/>
                <w:sz w:val="24"/>
              </w:rPr>
            </w:pPr>
            <w:r>
              <w:rPr>
                <w:color w:val="auto"/>
                <w:sz w:val="24"/>
              </w:rPr>
              <w:t>申报情形</w:t>
            </w:r>
          </w:p>
        </w:tc>
        <w:tc>
          <w:tcPr>
            <w:tcW w:w="2762" w:type="dxa"/>
            <w:vAlign w:val="center"/>
          </w:tcPr>
          <w:p w14:paraId="0DC7B415">
            <w:pPr>
              <w:jc w:val="left"/>
              <w:rPr>
                <w:color w:val="auto"/>
                <w:sz w:val="24"/>
              </w:rPr>
            </w:pPr>
            <w:r>
              <w:rPr>
                <w:rFonts w:hint="eastAsia" w:ascii="Segoe UI Symbol" w:hAnsi="Segoe UI Symbol" w:eastAsia="宋体" w:cs="Segoe UI Symbol"/>
                <w:color w:val="auto"/>
                <w:sz w:val="24"/>
                <w:lang w:eastAsia="zh-CN"/>
              </w:rPr>
              <w:t>☑</w:t>
            </w:r>
            <w:r>
              <w:rPr>
                <w:color w:val="auto"/>
                <w:sz w:val="24"/>
              </w:rPr>
              <w:t xml:space="preserve">首次申报项目             </w:t>
            </w:r>
          </w:p>
          <w:p w14:paraId="41544D37">
            <w:pPr>
              <w:jc w:val="left"/>
              <w:rPr>
                <w:rFonts w:hint="eastAsia" w:ascii="宋体" w:hAnsi="宋体"/>
                <w:color w:val="auto"/>
                <w:sz w:val="24"/>
              </w:rPr>
            </w:pPr>
            <w:r>
              <w:rPr>
                <w:rFonts w:hint="eastAsia" w:ascii="宋体" w:hAnsi="宋体"/>
                <w:color w:val="auto"/>
                <w:sz w:val="24"/>
                <w:lang w:eastAsia="zh-CN"/>
              </w:rPr>
              <w:t>□</w:t>
            </w:r>
            <w:r>
              <w:rPr>
                <w:rFonts w:ascii="宋体" w:hAnsi="宋体"/>
                <w:color w:val="auto"/>
                <w:sz w:val="24"/>
              </w:rPr>
              <w:t>不予批准后再次申报项目</w:t>
            </w:r>
          </w:p>
          <w:p w14:paraId="5A230AAD">
            <w:pPr>
              <w:jc w:val="left"/>
              <w:rPr>
                <w:rFonts w:hint="eastAsia" w:ascii="宋体" w:hAnsi="宋体"/>
                <w:color w:val="auto"/>
                <w:sz w:val="24"/>
              </w:rPr>
            </w:pPr>
            <w:r>
              <w:rPr>
                <w:rFonts w:hint="eastAsia" w:ascii="宋体" w:hAnsi="宋体"/>
                <w:color w:val="auto"/>
                <w:sz w:val="24"/>
                <w:lang w:eastAsia="zh-CN"/>
              </w:rPr>
              <w:t>□</w:t>
            </w:r>
            <w:r>
              <w:rPr>
                <w:rFonts w:ascii="宋体" w:hAnsi="宋体"/>
                <w:color w:val="auto"/>
                <w:sz w:val="24"/>
              </w:rPr>
              <w:t xml:space="preserve">超五年重新审核项目     </w:t>
            </w:r>
          </w:p>
          <w:p w14:paraId="0D5D6492">
            <w:pPr>
              <w:jc w:val="left"/>
              <w:rPr>
                <w:color w:val="auto"/>
                <w:sz w:val="24"/>
              </w:rPr>
            </w:pPr>
            <w:r>
              <w:rPr>
                <w:rFonts w:hint="eastAsia" w:ascii="宋体" w:hAnsi="宋体"/>
                <w:color w:val="auto"/>
                <w:sz w:val="24"/>
                <w:lang w:eastAsia="zh-CN"/>
              </w:rPr>
              <w:t>□</w:t>
            </w:r>
            <w:r>
              <w:rPr>
                <w:color w:val="auto"/>
                <w:sz w:val="24"/>
              </w:rPr>
              <w:t>重大变动重新报批项目</w:t>
            </w:r>
          </w:p>
        </w:tc>
      </w:tr>
      <w:tr w14:paraId="2D89ED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8" w:hRule="atLeast"/>
          <w:jc w:val="center"/>
        </w:trPr>
        <w:tc>
          <w:tcPr>
            <w:tcW w:w="2123" w:type="dxa"/>
            <w:tcMar>
              <w:top w:w="16" w:type="dxa"/>
              <w:left w:w="16" w:type="dxa"/>
              <w:right w:w="16" w:type="dxa"/>
            </w:tcMar>
            <w:vAlign w:val="center"/>
          </w:tcPr>
          <w:p w14:paraId="66748BE2">
            <w:pPr>
              <w:adjustRightInd w:val="0"/>
              <w:snapToGrid w:val="0"/>
              <w:jc w:val="center"/>
              <w:rPr>
                <w:color w:val="auto"/>
                <w:sz w:val="24"/>
              </w:rPr>
            </w:pPr>
            <w:r>
              <w:rPr>
                <w:color w:val="auto"/>
                <w:sz w:val="24"/>
              </w:rPr>
              <w:t>项目审批</w:t>
            </w:r>
            <w:r>
              <w:rPr>
                <w:rFonts w:hint="eastAsia"/>
                <w:color w:val="auto"/>
                <w:sz w:val="24"/>
              </w:rPr>
              <w:t>（</w:t>
            </w:r>
            <w:r>
              <w:rPr>
                <w:color w:val="auto"/>
                <w:sz w:val="24"/>
              </w:rPr>
              <w:t>核准/备案</w:t>
            </w:r>
            <w:r>
              <w:rPr>
                <w:rFonts w:hint="eastAsia"/>
                <w:color w:val="auto"/>
                <w:sz w:val="24"/>
              </w:rPr>
              <w:t>）</w:t>
            </w:r>
            <w:r>
              <w:rPr>
                <w:color w:val="auto"/>
                <w:sz w:val="24"/>
              </w:rPr>
              <w:t>部门</w:t>
            </w:r>
            <w:r>
              <w:rPr>
                <w:rFonts w:hint="eastAsia"/>
                <w:color w:val="auto"/>
                <w:sz w:val="24"/>
              </w:rPr>
              <w:t>（</w:t>
            </w:r>
            <w:r>
              <w:rPr>
                <w:color w:val="auto"/>
                <w:sz w:val="24"/>
              </w:rPr>
              <w:t>选填</w:t>
            </w:r>
            <w:r>
              <w:rPr>
                <w:rFonts w:hint="eastAsia"/>
                <w:color w:val="auto"/>
                <w:sz w:val="24"/>
              </w:rPr>
              <w:t>）</w:t>
            </w:r>
          </w:p>
        </w:tc>
        <w:tc>
          <w:tcPr>
            <w:tcW w:w="1820" w:type="dxa"/>
            <w:vAlign w:val="center"/>
          </w:tcPr>
          <w:p w14:paraId="20275118">
            <w:pPr>
              <w:adjustRightInd w:val="0"/>
              <w:snapToGrid w:val="0"/>
              <w:jc w:val="center"/>
              <w:rPr>
                <w:rFonts w:hint="eastAsia" w:eastAsia="宋体"/>
                <w:color w:val="auto"/>
                <w:sz w:val="24"/>
                <w:lang w:eastAsia="zh-CN"/>
              </w:rPr>
            </w:pPr>
            <w:r>
              <w:rPr>
                <w:rFonts w:hint="eastAsia"/>
                <w:color w:val="auto"/>
                <w:sz w:val="24"/>
                <w:lang w:val="en-US" w:eastAsia="zh-CN"/>
              </w:rPr>
              <w:t>/</w:t>
            </w:r>
          </w:p>
        </w:tc>
        <w:tc>
          <w:tcPr>
            <w:tcW w:w="2116" w:type="dxa"/>
            <w:vAlign w:val="center"/>
          </w:tcPr>
          <w:p w14:paraId="1F5EC017">
            <w:pPr>
              <w:adjustRightInd w:val="0"/>
              <w:snapToGrid w:val="0"/>
              <w:jc w:val="center"/>
              <w:rPr>
                <w:color w:val="auto"/>
                <w:sz w:val="24"/>
              </w:rPr>
            </w:pPr>
            <w:r>
              <w:rPr>
                <w:color w:val="auto"/>
                <w:sz w:val="24"/>
              </w:rPr>
              <w:t>项目审批</w:t>
            </w:r>
            <w:r>
              <w:rPr>
                <w:rFonts w:hint="eastAsia"/>
                <w:color w:val="auto"/>
                <w:sz w:val="24"/>
              </w:rPr>
              <w:t>（</w:t>
            </w:r>
            <w:r>
              <w:rPr>
                <w:color w:val="auto"/>
                <w:sz w:val="24"/>
              </w:rPr>
              <w:t>核准/备案</w:t>
            </w:r>
            <w:r>
              <w:rPr>
                <w:rFonts w:hint="eastAsia"/>
                <w:color w:val="auto"/>
                <w:sz w:val="24"/>
              </w:rPr>
              <w:t>）</w:t>
            </w:r>
            <w:r>
              <w:rPr>
                <w:color w:val="auto"/>
                <w:sz w:val="24"/>
              </w:rPr>
              <w:t>文号</w:t>
            </w:r>
            <w:r>
              <w:rPr>
                <w:rFonts w:hint="eastAsia"/>
                <w:color w:val="auto"/>
                <w:sz w:val="24"/>
              </w:rPr>
              <w:t>（</w:t>
            </w:r>
            <w:r>
              <w:rPr>
                <w:color w:val="auto"/>
                <w:sz w:val="24"/>
              </w:rPr>
              <w:t>选填</w:t>
            </w:r>
            <w:r>
              <w:rPr>
                <w:rFonts w:hint="eastAsia"/>
                <w:color w:val="auto"/>
                <w:sz w:val="24"/>
              </w:rPr>
              <w:t>）</w:t>
            </w:r>
          </w:p>
        </w:tc>
        <w:tc>
          <w:tcPr>
            <w:tcW w:w="2762" w:type="dxa"/>
            <w:vAlign w:val="center"/>
          </w:tcPr>
          <w:p w14:paraId="10FBF8F1">
            <w:pPr>
              <w:adjustRightInd w:val="0"/>
              <w:snapToGrid w:val="0"/>
              <w:jc w:val="center"/>
              <w:rPr>
                <w:color w:val="auto"/>
                <w:sz w:val="24"/>
              </w:rPr>
            </w:pPr>
            <w:r>
              <w:rPr>
                <w:color w:val="auto"/>
                <w:sz w:val="24"/>
              </w:rPr>
              <w:t>/</w:t>
            </w:r>
          </w:p>
        </w:tc>
      </w:tr>
      <w:tr w14:paraId="3C7DF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14:paraId="1F58BC3C">
            <w:pPr>
              <w:adjustRightInd w:val="0"/>
              <w:snapToGrid w:val="0"/>
              <w:jc w:val="center"/>
              <w:rPr>
                <w:color w:val="auto"/>
                <w:sz w:val="24"/>
              </w:rPr>
            </w:pPr>
            <w:r>
              <w:rPr>
                <w:color w:val="auto"/>
                <w:sz w:val="24"/>
              </w:rPr>
              <w:t>总投资</w:t>
            </w:r>
            <w:r>
              <w:rPr>
                <w:rFonts w:hint="eastAsia"/>
                <w:color w:val="auto"/>
                <w:sz w:val="24"/>
              </w:rPr>
              <w:t>（</w:t>
            </w:r>
            <w:r>
              <w:rPr>
                <w:color w:val="auto"/>
                <w:sz w:val="24"/>
              </w:rPr>
              <w:t>万元</w:t>
            </w:r>
            <w:r>
              <w:rPr>
                <w:rFonts w:hint="eastAsia"/>
                <w:color w:val="auto"/>
                <w:sz w:val="24"/>
              </w:rPr>
              <w:t>）</w:t>
            </w:r>
          </w:p>
        </w:tc>
        <w:tc>
          <w:tcPr>
            <w:tcW w:w="1820" w:type="dxa"/>
            <w:vAlign w:val="center"/>
          </w:tcPr>
          <w:p w14:paraId="2A3A0478">
            <w:pPr>
              <w:adjustRightInd w:val="0"/>
              <w:snapToGrid w:val="0"/>
              <w:jc w:val="center"/>
              <w:rPr>
                <w:color w:val="auto"/>
                <w:sz w:val="24"/>
              </w:rPr>
            </w:pPr>
            <w:r>
              <w:rPr>
                <w:rFonts w:hint="eastAsia"/>
                <w:color w:val="auto"/>
                <w:sz w:val="24"/>
              </w:rPr>
              <w:t>20</w:t>
            </w:r>
          </w:p>
        </w:tc>
        <w:tc>
          <w:tcPr>
            <w:tcW w:w="2116" w:type="dxa"/>
            <w:tcMar>
              <w:top w:w="16" w:type="dxa"/>
              <w:left w:w="16" w:type="dxa"/>
              <w:right w:w="16" w:type="dxa"/>
            </w:tcMar>
            <w:vAlign w:val="center"/>
          </w:tcPr>
          <w:p w14:paraId="0ECA2BB1">
            <w:pPr>
              <w:adjustRightInd w:val="0"/>
              <w:snapToGrid w:val="0"/>
              <w:jc w:val="center"/>
              <w:rPr>
                <w:color w:val="auto"/>
                <w:sz w:val="24"/>
              </w:rPr>
            </w:pPr>
            <w:r>
              <w:rPr>
                <w:color w:val="auto"/>
                <w:sz w:val="24"/>
              </w:rPr>
              <w:t>环保投资（万元）</w:t>
            </w:r>
          </w:p>
        </w:tc>
        <w:tc>
          <w:tcPr>
            <w:tcW w:w="2762" w:type="dxa"/>
            <w:vAlign w:val="center"/>
          </w:tcPr>
          <w:p w14:paraId="7CFACC56">
            <w:pPr>
              <w:adjustRightInd w:val="0"/>
              <w:snapToGrid w:val="0"/>
              <w:jc w:val="center"/>
              <w:rPr>
                <w:rFonts w:hint="default" w:eastAsia="宋体"/>
                <w:color w:val="auto"/>
                <w:sz w:val="24"/>
                <w:lang w:val="en-US" w:eastAsia="zh-CN"/>
              </w:rPr>
            </w:pPr>
            <w:r>
              <w:rPr>
                <w:rFonts w:hint="eastAsia"/>
                <w:color w:val="auto"/>
                <w:sz w:val="24"/>
                <w:lang w:val="en-US" w:eastAsia="zh-CN"/>
              </w:rPr>
              <w:t>20</w:t>
            </w:r>
          </w:p>
        </w:tc>
      </w:tr>
      <w:tr w14:paraId="14624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123" w:type="dxa"/>
            <w:tcMar>
              <w:top w:w="16" w:type="dxa"/>
              <w:left w:w="16" w:type="dxa"/>
              <w:right w:w="16" w:type="dxa"/>
            </w:tcMar>
            <w:vAlign w:val="center"/>
          </w:tcPr>
          <w:p w14:paraId="46A40245">
            <w:pPr>
              <w:adjustRightInd w:val="0"/>
              <w:snapToGrid w:val="0"/>
              <w:jc w:val="center"/>
              <w:rPr>
                <w:color w:val="auto"/>
                <w:sz w:val="24"/>
              </w:rPr>
            </w:pPr>
            <w:r>
              <w:rPr>
                <w:color w:val="auto"/>
                <w:sz w:val="24"/>
              </w:rPr>
              <w:t>环保投资占比</w:t>
            </w:r>
            <w:r>
              <w:rPr>
                <w:rFonts w:hint="eastAsia"/>
                <w:color w:val="auto"/>
                <w:sz w:val="24"/>
              </w:rPr>
              <w:t>（</w:t>
            </w:r>
            <w:r>
              <w:rPr>
                <w:color w:val="auto"/>
                <w:sz w:val="24"/>
              </w:rPr>
              <w:t>%</w:t>
            </w:r>
            <w:r>
              <w:rPr>
                <w:rFonts w:hint="eastAsia"/>
                <w:color w:val="auto"/>
                <w:sz w:val="24"/>
              </w:rPr>
              <w:t>）</w:t>
            </w:r>
          </w:p>
        </w:tc>
        <w:tc>
          <w:tcPr>
            <w:tcW w:w="1820" w:type="dxa"/>
            <w:vAlign w:val="center"/>
          </w:tcPr>
          <w:p w14:paraId="1CF7EDD5">
            <w:pPr>
              <w:adjustRightInd w:val="0"/>
              <w:snapToGrid w:val="0"/>
              <w:jc w:val="center"/>
              <w:rPr>
                <w:rFonts w:hint="default" w:eastAsia="宋体"/>
                <w:color w:val="auto"/>
                <w:sz w:val="24"/>
                <w:lang w:val="en-US" w:eastAsia="zh-CN"/>
              </w:rPr>
            </w:pPr>
            <w:r>
              <w:rPr>
                <w:rFonts w:hint="eastAsia"/>
                <w:color w:val="auto"/>
                <w:sz w:val="24"/>
                <w:lang w:val="en-US" w:eastAsia="zh-CN"/>
              </w:rPr>
              <w:t>100</w:t>
            </w:r>
          </w:p>
        </w:tc>
        <w:tc>
          <w:tcPr>
            <w:tcW w:w="2116" w:type="dxa"/>
            <w:tcMar>
              <w:top w:w="16" w:type="dxa"/>
              <w:left w:w="16" w:type="dxa"/>
              <w:right w:w="16" w:type="dxa"/>
            </w:tcMar>
            <w:vAlign w:val="center"/>
          </w:tcPr>
          <w:p w14:paraId="6E6BB2E8">
            <w:pPr>
              <w:adjustRightInd w:val="0"/>
              <w:snapToGrid w:val="0"/>
              <w:jc w:val="center"/>
              <w:rPr>
                <w:color w:val="auto"/>
                <w:sz w:val="24"/>
              </w:rPr>
            </w:pPr>
            <w:r>
              <w:rPr>
                <w:color w:val="auto"/>
                <w:sz w:val="24"/>
              </w:rPr>
              <w:t>施工工期</w:t>
            </w:r>
          </w:p>
        </w:tc>
        <w:tc>
          <w:tcPr>
            <w:tcW w:w="2762" w:type="dxa"/>
            <w:vAlign w:val="center"/>
          </w:tcPr>
          <w:p w14:paraId="34BB66C4">
            <w:pPr>
              <w:adjustRightInd w:val="0"/>
              <w:snapToGrid w:val="0"/>
              <w:jc w:val="center"/>
              <w:rPr>
                <w:color w:val="auto"/>
                <w:sz w:val="24"/>
              </w:rPr>
            </w:pPr>
            <w:r>
              <w:rPr>
                <w:color w:val="auto"/>
                <w:sz w:val="24"/>
              </w:rPr>
              <w:t>1个月</w:t>
            </w:r>
          </w:p>
        </w:tc>
      </w:tr>
      <w:tr w14:paraId="6B19EE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2123" w:type="dxa"/>
            <w:tcMar>
              <w:top w:w="16" w:type="dxa"/>
              <w:left w:w="16" w:type="dxa"/>
              <w:right w:w="16" w:type="dxa"/>
            </w:tcMar>
            <w:vAlign w:val="center"/>
          </w:tcPr>
          <w:p w14:paraId="19BF3D7F">
            <w:pPr>
              <w:adjustRightInd w:val="0"/>
              <w:snapToGrid w:val="0"/>
              <w:jc w:val="center"/>
              <w:rPr>
                <w:color w:val="auto"/>
                <w:sz w:val="24"/>
              </w:rPr>
            </w:pPr>
            <w:r>
              <w:rPr>
                <w:color w:val="auto"/>
                <w:sz w:val="24"/>
              </w:rPr>
              <w:t>是否开工建设</w:t>
            </w:r>
          </w:p>
        </w:tc>
        <w:tc>
          <w:tcPr>
            <w:tcW w:w="1820" w:type="dxa"/>
            <w:vAlign w:val="center"/>
          </w:tcPr>
          <w:p w14:paraId="73B861CA">
            <w:pPr>
              <w:adjustRightInd w:val="0"/>
              <w:snapToGrid w:val="0"/>
              <w:rPr>
                <w:color w:val="auto"/>
                <w:sz w:val="24"/>
              </w:rPr>
            </w:pPr>
            <w:r>
              <w:rPr>
                <w:rFonts w:hint="eastAsia"/>
                <w:color w:val="auto"/>
                <w:sz w:val="24"/>
                <w:lang w:eastAsia="zh-CN"/>
              </w:rPr>
              <w:t>□</w:t>
            </w:r>
            <w:r>
              <w:rPr>
                <w:color w:val="auto"/>
                <w:sz w:val="24"/>
              </w:rPr>
              <w:t>否</w:t>
            </w:r>
          </w:p>
          <w:p w14:paraId="1996BEEE">
            <w:pPr>
              <w:adjustRightInd w:val="0"/>
              <w:snapToGrid w:val="0"/>
              <w:rPr>
                <w:color w:val="auto"/>
                <w:sz w:val="24"/>
              </w:rPr>
            </w:pPr>
            <w:r>
              <w:rPr>
                <w:color w:val="auto"/>
                <w:sz w:val="24"/>
              </w:rPr>
              <w:sym w:font="Wingdings 2" w:char="0052"/>
            </w:r>
            <w:r>
              <w:rPr>
                <w:color w:val="auto"/>
                <w:sz w:val="24"/>
              </w:rPr>
              <w:t>是</w:t>
            </w:r>
            <w:r>
              <w:rPr>
                <w:rFonts w:hint="eastAsia"/>
                <w:color w:val="auto"/>
                <w:sz w:val="24"/>
                <w:lang w:val="en-US" w:eastAsia="zh-CN"/>
              </w:rPr>
              <w:t>：</w:t>
            </w:r>
            <w:r>
              <w:rPr>
                <w:rFonts w:hint="eastAsia"/>
                <w:color w:val="auto"/>
                <w:sz w:val="24"/>
                <w:u w:val="single"/>
              </w:rPr>
              <w:t>本项目</w:t>
            </w:r>
            <w:r>
              <w:rPr>
                <w:rFonts w:hint="eastAsia"/>
                <w:color w:val="auto"/>
                <w:sz w:val="24"/>
                <w:u w:val="single"/>
                <w:lang w:val="en-US" w:eastAsia="zh-CN"/>
              </w:rPr>
              <w:t>酱腌菜加工厂</w:t>
            </w:r>
            <w:r>
              <w:rPr>
                <w:rFonts w:hint="eastAsia"/>
                <w:color w:val="auto"/>
                <w:sz w:val="24"/>
                <w:u w:val="single"/>
              </w:rPr>
              <w:t>已于</w:t>
            </w:r>
            <w:r>
              <w:rPr>
                <w:rFonts w:hint="eastAsia"/>
                <w:color w:val="auto"/>
                <w:sz w:val="24"/>
                <w:highlight w:val="none"/>
                <w:u w:val="single"/>
              </w:rPr>
              <w:t>20</w:t>
            </w:r>
            <w:r>
              <w:rPr>
                <w:rFonts w:hint="eastAsia"/>
                <w:color w:val="auto"/>
                <w:sz w:val="24"/>
                <w:highlight w:val="none"/>
                <w:u w:val="single"/>
                <w:lang w:val="en-US" w:eastAsia="zh-CN"/>
              </w:rPr>
              <w:t>12</w:t>
            </w:r>
            <w:r>
              <w:rPr>
                <w:rFonts w:hint="eastAsia"/>
                <w:color w:val="auto"/>
                <w:sz w:val="24"/>
                <w:highlight w:val="none"/>
                <w:u w:val="single"/>
              </w:rPr>
              <w:t>年</w:t>
            </w:r>
            <w:r>
              <w:rPr>
                <w:rFonts w:hint="eastAsia"/>
                <w:color w:val="auto"/>
                <w:sz w:val="24"/>
                <w:highlight w:val="none"/>
                <w:u w:val="single"/>
                <w:lang w:val="en-US" w:eastAsia="zh-CN"/>
              </w:rPr>
              <w:t>3</w:t>
            </w:r>
            <w:r>
              <w:rPr>
                <w:rFonts w:hint="eastAsia"/>
                <w:color w:val="auto"/>
                <w:sz w:val="24"/>
                <w:highlight w:val="none"/>
                <w:u w:val="single"/>
              </w:rPr>
              <w:t>月</w:t>
            </w:r>
            <w:r>
              <w:rPr>
                <w:rFonts w:hint="eastAsia"/>
                <w:color w:val="auto"/>
                <w:sz w:val="24"/>
                <w:u w:val="single"/>
              </w:rPr>
              <w:t>建设完成并运营</w:t>
            </w:r>
            <w:r>
              <w:rPr>
                <w:rFonts w:hint="eastAsia"/>
                <w:color w:val="auto"/>
                <w:sz w:val="24"/>
                <w:u w:val="single"/>
                <w:lang w:eastAsia="zh-CN"/>
              </w:rPr>
              <w:t>，</w:t>
            </w:r>
            <w:r>
              <w:rPr>
                <w:rFonts w:hint="eastAsia"/>
                <w:color w:val="auto"/>
                <w:sz w:val="24"/>
                <w:u w:val="single"/>
                <w:lang w:val="en-US" w:eastAsia="zh-CN"/>
              </w:rPr>
              <w:t>本次新增废水储罐于2014年10月建设完成</w:t>
            </w:r>
            <w:r>
              <w:rPr>
                <w:rFonts w:hint="eastAsia"/>
                <w:bCs/>
                <w:color w:val="auto"/>
                <w:sz w:val="24"/>
                <w:u w:val="single"/>
              </w:rPr>
              <w:t>。</w:t>
            </w:r>
            <w:r>
              <w:rPr>
                <w:color w:val="auto"/>
                <w:sz w:val="24"/>
                <w:u w:val="single"/>
              </w:rPr>
              <w:t xml:space="preserve">        </w:t>
            </w:r>
          </w:p>
        </w:tc>
        <w:tc>
          <w:tcPr>
            <w:tcW w:w="2116" w:type="dxa"/>
            <w:tcMar>
              <w:top w:w="16" w:type="dxa"/>
              <w:left w:w="16" w:type="dxa"/>
              <w:right w:w="16" w:type="dxa"/>
            </w:tcMar>
            <w:vAlign w:val="center"/>
          </w:tcPr>
          <w:p w14:paraId="47276270">
            <w:pPr>
              <w:adjustRightInd w:val="0"/>
              <w:snapToGrid w:val="0"/>
              <w:jc w:val="center"/>
              <w:rPr>
                <w:color w:val="auto"/>
                <w:sz w:val="24"/>
              </w:rPr>
            </w:pPr>
            <w:r>
              <w:rPr>
                <w:color w:val="auto"/>
                <w:spacing w:val="-6"/>
                <w:sz w:val="24"/>
              </w:rPr>
              <w:t>用地面积（</w:t>
            </w:r>
            <w:r>
              <w:rPr>
                <w:rFonts w:hint="eastAsia"/>
                <w:color w:val="auto"/>
                <w:spacing w:val="-6"/>
                <w:sz w:val="24"/>
                <w:vertAlign w:val="baseline"/>
                <w:lang w:eastAsia="zh-CN"/>
              </w:rPr>
              <w:t>m</w:t>
            </w:r>
            <w:r>
              <w:rPr>
                <w:rFonts w:hint="eastAsia"/>
                <w:color w:val="auto"/>
                <w:spacing w:val="-6"/>
                <w:sz w:val="24"/>
                <w:vertAlign w:val="superscript"/>
                <w:lang w:eastAsia="zh-CN"/>
              </w:rPr>
              <w:t>2</w:t>
            </w:r>
            <w:r>
              <w:rPr>
                <w:color w:val="auto"/>
                <w:spacing w:val="-6"/>
                <w:sz w:val="24"/>
              </w:rPr>
              <w:t>）</w:t>
            </w:r>
          </w:p>
        </w:tc>
        <w:tc>
          <w:tcPr>
            <w:tcW w:w="2762" w:type="dxa"/>
            <w:vAlign w:val="center"/>
          </w:tcPr>
          <w:p w14:paraId="4CF84272">
            <w:pPr>
              <w:adjustRightInd w:val="0"/>
              <w:snapToGrid w:val="0"/>
              <w:jc w:val="center"/>
              <w:rPr>
                <w:rFonts w:hint="eastAsia" w:eastAsia="宋体"/>
                <w:color w:val="auto"/>
                <w:sz w:val="24"/>
                <w:lang w:eastAsia="zh-CN"/>
              </w:rPr>
            </w:pPr>
            <w:r>
              <w:rPr>
                <w:rFonts w:hint="eastAsia"/>
                <w:color w:val="auto"/>
                <w:sz w:val="24"/>
                <w:lang w:eastAsia="zh-CN"/>
              </w:rPr>
              <w:t>4196</w:t>
            </w:r>
          </w:p>
        </w:tc>
      </w:tr>
      <w:tr w14:paraId="5F5A80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123" w:type="dxa"/>
            <w:vAlign w:val="center"/>
          </w:tcPr>
          <w:p w14:paraId="5CDF6B3B">
            <w:pPr>
              <w:autoSpaceDE w:val="0"/>
              <w:autoSpaceDN w:val="0"/>
              <w:adjustRightInd w:val="0"/>
              <w:snapToGrid w:val="0"/>
              <w:jc w:val="center"/>
              <w:rPr>
                <w:color w:val="auto"/>
                <w:kern w:val="0"/>
                <w:sz w:val="24"/>
              </w:rPr>
            </w:pPr>
            <w:r>
              <w:rPr>
                <w:color w:val="auto"/>
                <w:kern w:val="0"/>
                <w:sz w:val="24"/>
              </w:rPr>
              <w:t>专项评价设置情况</w:t>
            </w:r>
          </w:p>
        </w:tc>
        <w:tc>
          <w:tcPr>
            <w:tcW w:w="6698" w:type="dxa"/>
            <w:gridSpan w:val="3"/>
            <w:vAlign w:val="center"/>
          </w:tcPr>
          <w:p w14:paraId="0221A242">
            <w:pPr>
              <w:autoSpaceDE w:val="0"/>
              <w:autoSpaceDN w:val="0"/>
              <w:adjustRightInd w:val="0"/>
              <w:snapToGrid w:val="0"/>
              <w:jc w:val="center"/>
              <w:rPr>
                <w:color w:val="auto"/>
                <w:kern w:val="0"/>
                <w:sz w:val="24"/>
              </w:rPr>
            </w:pPr>
            <w:r>
              <w:rPr>
                <w:color w:val="auto"/>
                <w:kern w:val="0"/>
                <w:sz w:val="24"/>
              </w:rPr>
              <w:t>无</w:t>
            </w:r>
          </w:p>
        </w:tc>
      </w:tr>
      <w:tr w14:paraId="54C3A2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123" w:type="dxa"/>
            <w:vAlign w:val="center"/>
          </w:tcPr>
          <w:p w14:paraId="2DEFC799">
            <w:pPr>
              <w:autoSpaceDE w:val="0"/>
              <w:autoSpaceDN w:val="0"/>
              <w:adjustRightInd w:val="0"/>
              <w:snapToGrid w:val="0"/>
              <w:jc w:val="center"/>
              <w:rPr>
                <w:color w:val="auto"/>
                <w:kern w:val="0"/>
                <w:sz w:val="24"/>
              </w:rPr>
            </w:pPr>
            <w:r>
              <w:rPr>
                <w:color w:val="auto"/>
                <w:sz w:val="24"/>
              </w:rPr>
              <w:t>规划情况</w:t>
            </w:r>
          </w:p>
        </w:tc>
        <w:tc>
          <w:tcPr>
            <w:tcW w:w="6698" w:type="dxa"/>
            <w:gridSpan w:val="3"/>
            <w:vAlign w:val="center"/>
          </w:tcPr>
          <w:p w14:paraId="62C904A2">
            <w:pPr>
              <w:autoSpaceDE w:val="0"/>
              <w:autoSpaceDN w:val="0"/>
              <w:adjustRightInd w:val="0"/>
              <w:snapToGrid w:val="0"/>
              <w:jc w:val="center"/>
              <w:rPr>
                <w:color w:val="auto"/>
                <w:kern w:val="0"/>
                <w:sz w:val="24"/>
              </w:rPr>
            </w:pPr>
            <w:r>
              <w:rPr>
                <w:color w:val="auto"/>
                <w:kern w:val="0"/>
                <w:sz w:val="24"/>
              </w:rPr>
              <w:t>无</w:t>
            </w:r>
          </w:p>
        </w:tc>
      </w:tr>
      <w:tr w14:paraId="62F13C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123" w:type="dxa"/>
            <w:vAlign w:val="center"/>
          </w:tcPr>
          <w:p w14:paraId="3AA95267">
            <w:pPr>
              <w:adjustRightInd w:val="0"/>
              <w:snapToGrid w:val="0"/>
              <w:jc w:val="center"/>
              <w:rPr>
                <w:color w:val="auto"/>
                <w:kern w:val="0"/>
                <w:sz w:val="24"/>
              </w:rPr>
            </w:pPr>
            <w:r>
              <w:rPr>
                <w:color w:val="auto"/>
                <w:sz w:val="24"/>
              </w:rPr>
              <w:t>规划环境影响评价情况</w:t>
            </w:r>
          </w:p>
        </w:tc>
        <w:tc>
          <w:tcPr>
            <w:tcW w:w="6698" w:type="dxa"/>
            <w:gridSpan w:val="3"/>
            <w:vAlign w:val="center"/>
          </w:tcPr>
          <w:p w14:paraId="0CCB00FA">
            <w:pPr>
              <w:autoSpaceDE w:val="0"/>
              <w:autoSpaceDN w:val="0"/>
              <w:adjustRightInd w:val="0"/>
              <w:snapToGrid w:val="0"/>
              <w:spacing w:line="360" w:lineRule="auto"/>
              <w:jc w:val="center"/>
              <w:rPr>
                <w:color w:val="auto"/>
                <w:kern w:val="0"/>
                <w:sz w:val="24"/>
              </w:rPr>
            </w:pPr>
            <w:r>
              <w:rPr>
                <w:color w:val="auto"/>
                <w:kern w:val="0"/>
                <w:sz w:val="24"/>
              </w:rPr>
              <w:t>无</w:t>
            </w:r>
          </w:p>
        </w:tc>
      </w:tr>
      <w:tr w14:paraId="2EE57B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123" w:type="dxa"/>
            <w:vAlign w:val="center"/>
          </w:tcPr>
          <w:p w14:paraId="0FD9BA6B">
            <w:pPr>
              <w:adjustRightInd w:val="0"/>
              <w:snapToGrid w:val="0"/>
              <w:jc w:val="center"/>
              <w:rPr>
                <w:color w:val="auto"/>
                <w:kern w:val="0"/>
                <w:sz w:val="24"/>
              </w:rPr>
            </w:pPr>
            <w:r>
              <w:rPr>
                <w:color w:val="auto"/>
                <w:sz w:val="24"/>
              </w:rPr>
              <w:t>规划及规划环境影响评价符合性分析</w:t>
            </w:r>
          </w:p>
        </w:tc>
        <w:tc>
          <w:tcPr>
            <w:tcW w:w="6698" w:type="dxa"/>
            <w:gridSpan w:val="3"/>
            <w:vAlign w:val="center"/>
          </w:tcPr>
          <w:p w14:paraId="2ED14F8C">
            <w:pPr>
              <w:autoSpaceDE w:val="0"/>
              <w:autoSpaceDN w:val="0"/>
              <w:adjustRightInd w:val="0"/>
              <w:snapToGrid w:val="0"/>
              <w:spacing w:line="360" w:lineRule="auto"/>
              <w:jc w:val="center"/>
              <w:rPr>
                <w:bCs/>
                <w:color w:val="auto"/>
                <w:kern w:val="0"/>
                <w:sz w:val="24"/>
              </w:rPr>
            </w:pPr>
            <w:r>
              <w:rPr>
                <w:bCs/>
                <w:color w:val="auto"/>
                <w:kern w:val="0"/>
                <w:sz w:val="24"/>
              </w:rPr>
              <w:t>无</w:t>
            </w:r>
          </w:p>
        </w:tc>
      </w:tr>
      <w:tr w14:paraId="483A9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123" w:type="dxa"/>
            <w:vAlign w:val="center"/>
          </w:tcPr>
          <w:p w14:paraId="34D06401">
            <w:pPr>
              <w:autoSpaceDE w:val="0"/>
              <w:autoSpaceDN w:val="0"/>
              <w:adjustRightInd w:val="0"/>
              <w:snapToGrid w:val="0"/>
              <w:jc w:val="center"/>
              <w:rPr>
                <w:color w:val="auto"/>
                <w:kern w:val="0"/>
                <w:sz w:val="24"/>
              </w:rPr>
            </w:pPr>
            <w:r>
              <w:rPr>
                <w:color w:val="auto"/>
                <w:kern w:val="0"/>
                <w:sz w:val="24"/>
              </w:rPr>
              <w:t>其他符合性分析</w:t>
            </w:r>
          </w:p>
        </w:tc>
        <w:tc>
          <w:tcPr>
            <w:tcW w:w="6698" w:type="dxa"/>
            <w:gridSpan w:val="3"/>
            <w:vAlign w:val="center"/>
          </w:tcPr>
          <w:p w14:paraId="39994E95">
            <w:pPr>
              <w:autoSpaceDE w:val="0"/>
              <w:autoSpaceDN w:val="0"/>
              <w:adjustRightInd w:val="0"/>
              <w:snapToGrid w:val="0"/>
              <w:spacing w:line="360" w:lineRule="auto"/>
              <w:ind w:firstLine="480" w:firstLineChars="200"/>
              <w:jc w:val="left"/>
              <w:rPr>
                <w:color w:val="auto"/>
                <w:sz w:val="24"/>
              </w:rPr>
            </w:pPr>
            <w:r>
              <w:rPr>
                <w:color w:val="auto"/>
                <w:sz w:val="24"/>
              </w:rPr>
              <w:t>1</w:t>
            </w:r>
            <w:r>
              <w:rPr>
                <w:rFonts w:hint="eastAsia"/>
                <w:color w:val="auto"/>
                <w:sz w:val="24"/>
              </w:rPr>
              <w:t>.</w:t>
            </w:r>
            <w:r>
              <w:rPr>
                <w:rFonts w:hint="eastAsia"/>
                <w:color w:val="auto"/>
                <w:sz w:val="24"/>
                <w:lang w:eastAsia="zh-CN"/>
              </w:rPr>
              <w:t>“</w:t>
            </w:r>
            <w:r>
              <w:rPr>
                <w:color w:val="auto"/>
                <w:sz w:val="24"/>
              </w:rPr>
              <w:t>三线一单</w:t>
            </w:r>
            <w:r>
              <w:rPr>
                <w:rFonts w:hint="eastAsia"/>
                <w:color w:val="auto"/>
                <w:sz w:val="24"/>
                <w:lang w:eastAsia="zh-CN"/>
              </w:rPr>
              <w:t>”</w:t>
            </w:r>
            <w:r>
              <w:rPr>
                <w:color w:val="auto"/>
                <w:sz w:val="24"/>
              </w:rPr>
              <w:t>符合性分析</w:t>
            </w:r>
          </w:p>
          <w:p w14:paraId="49688A43">
            <w:pPr>
              <w:autoSpaceDE w:val="0"/>
              <w:autoSpaceDN w:val="0"/>
              <w:adjustRightInd w:val="0"/>
              <w:snapToGrid w:val="0"/>
              <w:spacing w:line="360" w:lineRule="auto"/>
              <w:ind w:firstLine="480" w:firstLineChars="200"/>
              <w:jc w:val="left"/>
              <w:rPr>
                <w:color w:val="auto"/>
                <w:sz w:val="24"/>
              </w:rPr>
            </w:pPr>
            <w:r>
              <w:rPr>
                <w:rFonts w:hint="eastAsia"/>
                <w:color w:val="auto"/>
                <w:sz w:val="24"/>
              </w:rPr>
              <w:t>（</w:t>
            </w:r>
            <w:r>
              <w:rPr>
                <w:color w:val="auto"/>
                <w:sz w:val="24"/>
              </w:rPr>
              <w:t>1</w:t>
            </w:r>
            <w:r>
              <w:rPr>
                <w:rFonts w:hint="eastAsia"/>
                <w:color w:val="auto"/>
                <w:sz w:val="24"/>
              </w:rPr>
              <w:t>）</w:t>
            </w:r>
            <w:r>
              <w:rPr>
                <w:color w:val="auto"/>
                <w:sz w:val="24"/>
              </w:rPr>
              <w:t>生态保护红线</w:t>
            </w:r>
          </w:p>
          <w:p w14:paraId="4A8D07E7">
            <w:pPr>
              <w:autoSpaceDE w:val="0"/>
              <w:autoSpaceDN w:val="0"/>
              <w:adjustRightInd w:val="0"/>
              <w:snapToGrid w:val="0"/>
              <w:spacing w:line="360" w:lineRule="auto"/>
              <w:ind w:firstLine="480" w:firstLineChars="200"/>
              <w:jc w:val="left"/>
              <w:rPr>
                <w:bCs/>
                <w:color w:val="auto"/>
                <w:sz w:val="24"/>
              </w:rPr>
            </w:pPr>
            <w:r>
              <w:rPr>
                <w:bCs/>
                <w:color w:val="auto"/>
                <w:sz w:val="24"/>
              </w:rPr>
              <w:t>根据</w:t>
            </w:r>
            <w:r>
              <w:rPr>
                <w:rFonts w:hint="eastAsia"/>
                <w:bCs/>
                <w:color w:val="auto"/>
                <w:sz w:val="24"/>
              </w:rPr>
              <w:t>《鄂尔多斯市生态环境分区管控动态更新成果（2023年版）》</w:t>
            </w:r>
            <w:r>
              <w:rPr>
                <w:bCs/>
                <w:color w:val="auto"/>
                <w:sz w:val="24"/>
              </w:rPr>
              <w:t>，</w:t>
            </w:r>
            <w:r>
              <w:rPr>
                <w:rFonts w:hint="eastAsia"/>
                <w:bCs/>
                <w:color w:val="auto"/>
                <w:sz w:val="24"/>
              </w:rPr>
              <w:t>全市按优先保护、重点管控、一般管控三大类划分为171个环境管控单元。其中，优先保护单元76个，面积占比64.35%；重点管控单元86个，面积占比28.10%；一般管控单元9个，面积占比7.56%。优先保护单元突出系统性保护，保持空间格局基本稳定，部分单元结合生态保护红线予以调整；重点管控单元突出精细化管理，空间格局与环境治理格局相匹配，部分单元根据产业园区、矿区和城镇开发边界进行调整；一般管控单元保持基本稳定，为经济社会发展和生态环境保护预留空间。</w:t>
            </w:r>
          </w:p>
          <w:p w14:paraId="1F750169">
            <w:pPr>
              <w:autoSpaceDE w:val="0"/>
              <w:autoSpaceDN w:val="0"/>
              <w:adjustRightInd w:val="0"/>
              <w:snapToGrid w:val="0"/>
              <w:spacing w:line="360" w:lineRule="auto"/>
              <w:ind w:firstLine="480" w:firstLineChars="200"/>
              <w:jc w:val="left"/>
              <w:rPr>
                <w:bCs/>
                <w:color w:val="auto"/>
                <w:sz w:val="24"/>
              </w:rPr>
            </w:pPr>
            <w:r>
              <w:rPr>
                <w:bCs/>
                <w:color w:val="auto"/>
                <w:sz w:val="24"/>
              </w:rPr>
              <w:t>本项目位于锡尼镇</w:t>
            </w:r>
            <w:r>
              <w:rPr>
                <w:rFonts w:hint="eastAsia"/>
                <w:bCs/>
                <w:color w:val="auto"/>
                <w:sz w:val="24"/>
                <w:lang w:eastAsia="zh-CN"/>
              </w:rPr>
              <w:t>中图村</w:t>
            </w:r>
            <w:r>
              <w:rPr>
                <w:bCs/>
                <w:color w:val="auto"/>
                <w:sz w:val="24"/>
              </w:rPr>
              <w:t>，</w:t>
            </w:r>
            <w:r>
              <w:rPr>
                <w:color w:val="auto"/>
                <w:sz w:val="24"/>
              </w:rPr>
              <w:t>所在地为</w:t>
            </w:r>
            <w:r>
              <w:rPr>
                <w:rFonts w:hint="eastAsia"/>
                <w:color w:val="auto"/>
                <w:sz w:val="24"/>
              </w:rPr>
              <w:t>优先保护单元。</w:t>
            </w:r>
            <w:r>
              <w:rPr>
                <w:bCs/>
                <w:color w:val="auto"/>
                <w:sz w:val="24"/>
              </w:rPr>
              <w:t>经调查评价范围内无饮用水水源地、自然保护区、风景名胜区等特殊环境敏感区，不涉及生态</w:t>
            </w:r>
            <w:r>
              <w:rPr>
                <w:rFonts w:hint="eastAsia"/>
                <w:bCs/>
                <w:color w:val="auto"/>
                <w:sz w:val="24"/>
              </w:rPr>
              <w:t>环境</w:t>
            </w:r>
            <w:r>
              <w:rPr>
                <w:bCs/>
                <w:color w:val="auto"/>
                <w:sz w:val="24"/>
              </w:rPr>
              <w:t>脆弱区、禁止开发区域以及其他各类保护地</w:t>
            </w:r>
            <w:r>
              <w:rPr>
                <w:rFonts w:hint="eastAsia"/>
                <w:bCs/>
                <w:color w:val="auto"/>
                <w:sz w:val="24"/>
              </w:rPr>
              <w:t>，项目的建设符合生态保护红线的要求。</w:t>
            </w:r>
          </w:p>
          <w:p w14:paraId="66C3E079">
            <w:pPr>
              <w:autoSpaceDE w:val="0"/>
              <w:autoSpaceDN w:val="0"/>
              <w:adjustRightInd w:val="0"/>
              <w:snapToGrid w:val="0"/>
              <w:spacing w:line="360" w:lineRule="auto"/>
              <w:ind w:firstLine="480" w:firstLineChars="200"/>
              <w:jc w:val="left"/>
              <w:rPr>
                <w:bCs/>
                <w:color w:val="auto"/>
                <w:sz w:val="24"/>
              </w:rPr>
            </w:pPr>
            <w:r>
              <w:rPr>
                <w:bCs/>
                <w:color w:val="auto"/>
                <w:sz w:val="24"/>
              </w:rPr>
              <w:t>综上所述，本项目符合生态保护红线的要求。</w:t>
            </w:r>
          </w:p>
          <w:p w14:paraId="03877F2B">
            <w:pPr>
              <w:autoSpaceDE w:val="0"/>
              <w:autoSpaceDN w:val="0"/>
              <w:adjustRightInd w:val="0"/>
              <w:snapToGrid w:val="0"/>
              <w:spacing w:line="360" w:lineRule="auto"/>
              <w:ind w:firstLine="480" w:firstLineChars="200"/>
              <w:jc w:val="left"/>
              <w:rPr>
                <w:color w:val="auto"/>
                <w:sz w:val="24"/>
              </w:rPr>
            </w:pPr>
            <w:r>
              <w:rPr>
                <w:rFonts w:hint="eastAsia"/>
                <w:color w:val="auto"/>
                <w:sz w:val="24"/>
              </w:rPr>
              <w:t>（</w:t>
            </w:r>
            <w:r>
              <w:rPr>
                <w:color w:val="auto"/>
                <w:sz w:val="24"/>
              </w:rPr>
              <w:t>2</w:t>
            </w:r>
            <w:r>
              <w:rPr>
                <w:rFonts w:hint="eastAsia"/>
                <w:color w:val="auto"/>
                <w:sz w:val="24"/>
              </w:rPr>
              <w:t>）</w:t>
            </w:r>
            <w:r>
              <w:rPr>
                <w:color w:val="auto"/>
                <w:sz w:val="24"/>
              </w:rPr>
              <w:t>环境质量底线</w:t>
            </w:r>
          </w:p>
          <w:p w14:paraId="002635BE">
            <w:pPr>
              <w:autoSpaceDE w:val="0"/>
              <w:autoSpaceDN w:val="0"/>
              <w:adjustRightInd w:val="0"/>
              <w:snapToGrid w:val="0"/>
              <w:spacing w:line="360" w:lineRule="auto"/>
              <w:ind w:firstLine="480" w:firstLineChars="200"/>
              <w:jc w:val="left"/>
              <w:rPr>
                <w:bCs/>
                <w:color w:val="auto"/>
                <w:sz w:val="24"/>
              </w:rPr>
            </w:pPr>
            <w:r>
              <w:rPr>
                <w:bCs/>
                <w:color w:val="auto"/>
                <w:sz w:val="24"/>
              </w:rPr>
              <w:t>根据</w:t>
            </w:r>
            <w:r>
              <w:rPr>
                <w:rFonts w:hint="eastAsia"/>
                <w:bCs/>
                <w:color w:val="auto"/>
                <w:sz w:val="24"/>
              </w:rPr>
              <w:t>2024年6月内蒙古自治区生态环境厅发布的《2023年内蒙古自治区生态环境状况公报》，报告指出</w:t>
            </w:r>
            <w:r>
              <w:rPr>
                <w:rFonts w:hint="eastAsia"/>
                <w:bCs/>
                <w:color w:val="auto"/>
                <w:sz w:val="24"/>
                <w:lang w:eastAsia="zh-CN"/>
              </w:rPr>
              <w:t>“</w:t>
            </w:r>
            <w:r>
              <w:rPr>
                <w:rFonts w:hint="eastAsia"/>
                <w:bCs/>
                <w:color w:val="auto"/>
                <w:sz w:val="24"/>
              </w:rPr>
              <w:t>2023年，全区12个盟市中，除乌海市外，其他11个盟市环境空气质量均达标</w:t>
            </w:r>
            <w:r>
              <w:rPr>
                <w:rFonts w:hint="eastAsia"/>
                <w:bCs/>
                <w:color w:val="auto"/>
                <w:sz w:val="24"/>
                <w:lang w:eastAsia="zh-CN"/>
              </w:rPr>
              <w:t>”</w:t>
            </w:r>
            <w:r>
              <w:rPr>
                <w:rFonts w:hint="eastAsia"/>
                <w:bCs/>
                <w:color w:val="auto"/>
                <w:sz w:val="24"/>
              </w:rPr>
              <w:t>。故</w:t>
            </w:r>
            <w:r>
              <w:rPr>
                <w:bCs/>
                <w:color w:val="auto"/>
                <w:sz w:val="24"/>
              </w:rPr>
              <w:t>项目所在区域为达标区域。</w:t>
            </w:r>
          </w:p>
          <w:p w14:paraId="54E87870">
            <w:pPr>
              <w:autoSpaceDE w:val="0"/>
              <w:autoSpaceDN w:val="0"/>
              <w:adjustRightInd w:val="0"/>
              <w:snapToGrid w:val="0"/>
              <w:spacing w:line="360" w:lineRule="auto"/>
              <w:ind w:firstLine="480" w:firstLineChars="200"/>
              <w:jc w:val="left"/>
              <w:rPr>
                <w:color w:val="auto"/>
                <w:sz w:val="24"/>
              </w:rPr>
            </w:pPr>
            <w:r>
              <w:rPr>
                <w:rFonts w:hint="eastAsia"/>
                <w:bCs/>
                <w:color w:val="auto"/>
                <w:sz w:val="24"/>
                <w:lang w:val="en-US" w:eastAsia="zh-CN"/>
              </w:rPr>
              <w:t>本项目酱腌菜加工厂已于2012年建成并运行，本次主要埋设废水储罐设施1套</w:t>
            </w:r>
            <w:r>
              <w:rPr>
                <w:bCs/>
                <w:color w:val="auto"/>
                <w:sz w:val="24"/>
              </w:rPr>
              <w:t>，</w:t>
            </w:r>
            <w:r>
              <w:rPr>
                <w:rFonts w:hint="eastAsia"/>
                <w:color w:val="auto"/>
                <w:lang w:val="en-US" w:eastAsia="zh-CN"/>
              </w:rPr>
              <w:t>酱腌菜加工厂</w:t>
            </w:r>
            <w:r>
              <w:rPr>
                <w:rFonts w:hint="eastAsia"/>
                <w:bCs/>
                <w:color w:val="auto"/>
                <w:sz w:val="24"/>
              </w:rPr>
              <w:t>运营过程中会产生一定量的废气、废水</w:t>
            </w:r>
            <w:r>
              <w:rPr>
                <w:rFonts w:hint="eastAsia"/>
                <w:bCs/>
                <w:color w:val="auto"/>
                <w:sz w:val="24"/>
                <w:lang w:eastAsia="zh-CN"/>
              </w:rPr>
              <w:t>、</w:t>
            </w:r>
            <w:r>
              <w:rPr>
                <w:rFonts w:hint="eastAsia"/>
                <w:bCs/>
                <w:color w:val="auto"/>
                <w:sz w:val="24"/>
                <w:lang w:val="en-US" w:eastAsia="zh-CN"/>
              </w:rPr>
              <w:t>噪声、固废等污染</w:t>
            </w:r>
            <w:r>
              <w:rPr>
                <w:rFonts w:hint="eastAsia"/>
                <w:bCs/>
                <w:color w:val="auto"/>
                <w:sz w:val="24"/>
              </w:rPr>
              <w:t>，采取相应措施后均可达标排放，不会明显降低区域环境质量现状，符合环境质量底线要求</w:t>
            </w:r>
            <w:r>
              <w:rPr>
                <w:bCs/>
                <w:color w:val="auto"/>
                <w:sz w:val="24"/>
              </w:rPr>
              <w:t>。</w:t>
            </w:r>
          </w:p>
          <w:p w14:paraId="7561464A">
            <w:pPr>
              <w:autoSpaceDE w:val="0"/>
              <w:autoSpaceDN w:val="0"/>
              <w:adjustRightInd w:val="0"/>
              <w:snapToGrid w:val="0"/>
              <w:spacing w:line="360" w:lineRule="auto"/>
              <w:ind w:firstLine="480" w:firstLineChars="200"/>
              <w:jc w:val="left"/>
              <w:rPr>
                <w:color w:val="auto"/>
                <w:sz w:val="24"/>
              </w:rPr>
            </w:pPr>
            <w:r>
              <w:rPr>
                <w:rFonts w:hint="eastAsia"/>
                <w:color w:val="auto"/>
                <w:sz w:val="24"/>
              </w:rPr>
              <w:t>（</w:t>
            </w:r>
            <w:r>
              <w:rPr>
                <w:color w:val="auto"/>
                <w:sz w:val="24"/>
              </w:rPr>
              <w:t>3</w:t>
            </w:r>
            <w:r>
              <w:rPr>
                <w:rFonts w:hint="eastAsia"/>
                <w:color w:val="auto"/>
                <w:sz w:val="24"/>
              </w:rPr>
              <w:t>）</w:t>
            </w:r>
            <w:r>
              <w:rPr>
                <w:color w:val="auto"/>
                <w:sz w:val="24"/>
              </w:rPr>
              <w:t>资源利用上线</w:t>
            </w:r>
          </w:p>
          <w:p w14:paraId="2FD278CC">
            <w:pPr>
              <w:autoSpaceDE w:val="0"/>
              <w:autoSpaceDN w:val="0"/>
              <w:adjustRightInd w:val="0"/>
              <w:snapToGrid w:val="0"/>
              <w:spacing w:line="360" w:lineRule="auto"/>
              <w:ind w:firstLine="480" w:firstLineChars="200"/>
              <w:rPr>
                <w:color w:val="auto"/>
                <w:sz w:val="24"/>
              </w:rPr>
            </w:pPr>
            <w:r>
              <w:rPr>
                <w:bCs/>
                <w:color w:val="auto"/>
                <w:sz w:val="24"/>
              </w:rPr>
              <w:t>本项目不属于高污染、高能耗产业类型，项目资源利用包括水、电、土地和原料，项目用水量、用电量和土地使用量相对较小，即项目水、电等资源利用不会突破区域的资源利用上线</w:t>
            </w:r>
            <w:r>
              <w:rPr>
                <w:color w:val="auto"/>
                <w:sz w:val="24"/>
              </w:rPr>
              <w:t>。</w:t>
            </w:r>
          </w:p>
          <w:p w14:paraId="387103F3">
            <w:pPr>
              <w:autoSpaceDE w:val="0"/>
              <w:autoSpaceDN w:val="0"/>
              <w:spacing w:line="360" w:lineRule="auto"/>
              <w:ind w:firstLine="480" w:firstLineChars="200"/>
              <w:jc w:val="left"/>
              <w:rPr>
                <w:color w:val="auto"/>
                <w:sz w:val="24"/>
              </w:rPr>
            </w:pPr>
            <w:r>
              <w:rPr>
                <w:rFonts w:hint="eastAsia"/>
                <w:color w:val="auto"/>
                <w:sz w:val="24"/>
              </w:rPr>
              <w:t>（</w:t>
            </w:r>
            <w:r>
              <w:rPr>
                <w:color w:val="auto"/>
                <w:sz w:val="24"/>
              </w:rPr>
              <w:t>4</w:t>
            </w:r>
            <w:r>
              <w:rPr>
                <w:rFonts w:hint="eastAsia"/>
                <w:color w:val="auto"/>
                <w:sz w:val="24"/>
              </w:rPr>
              <w:t>）</w:t>
            </w:r>
            <w:r>
              <w:rPr>
                <w:color w:val="auto"/>
                <w:sz w:val="24"/>
              </w:rPr>
              <w:t>生态环境准入清单</w:t>
            </w:r>
          </w:p>
          <w:p w14:paraId="62B152F3">
            <w:pPr>
              <w:spacing w:line="360" w:lineRule="auto"/>
              <w:ind w:firstLine="480" w:firstLineChars="200"/>
              <w:rPr>
                <w:bCs/>
                <w:color w:val="auto"/>
                <w:sz w:val="24"/>
              </w:rPr>
            </w:pPr>
            <w:r>
              <w:rPr>
                <w:bCs/>
                <w:color w:val="auto"/>
                <w:sz w:val="24"/>
              </w:rPr>
              <w:t>本项目位于鄂尔多斯市杭锦旗锡尼镇</w:t>
            </w:r>
            <w:r>
              <w:rPr>
                <w:rFonts w:hint="eastAsia"/>
                <w:bCs/>
                <w:color w:val="auto"/>
                <w:sz w:val="24"/>
                <w:lang w:eastAsia="zh-CN"/>
              </w:rPr>
              <w:t>中图村</w:t>
            </w:r>
            <w:r>
              <w:rPr>
                <w:bCs/>
                <w:color w:val="auto"/>
                <w:sz w:val="24"/>
              </w:rPr>
              <w:t>，根据《鄂尔多斯市生态环境准入清单》，本项目所在区域为</w:t>
            </w:r>
            <w:r>
              <w:rPr>
                <w:rFonts w:hint="eastAsia"/>
                <w:bCs/>
                <w:color w:val="auto"/>
                <w:sz w:val="24"/>
              </w:rPr>
              <w:t>优先保护单元</w:t>
            </w:r>
            <w:r>
              <w:rPr>
                <w:bCs/>
                <w:color w:val="auto"/>
                <w:sz w:val="24"/>
              </w:rPr>
              <w:t>，环境管控单元名称</w:t>
            </w:r>
            <w:r>
              <w:rPr>
                <w:rFonts w:hint="eastAsia"/>
                <w:bCs/>
                <w:color w:val="auto"/>
                <w:sz w:val="24"/>
                <w:lang w:eastAsia="zh-CN"/>
              </w:rPr>
              <w:t>为</w:t>
            </w:r>
            <w:r>
              <w:rPr>
                <w:rFonts w:hint="eastAsia"/>
                <w:bCs/>
                <w:color w:val="auto"/>
                <w:sz w:val="24"/>
              </w:rPr>
              <w:t>杭锦旗</w:t>
            </w:r>
            <w:r>
              <w:rPr>
                <w:rFonts w:ascii="Times New Roman" w:hAnsi="Times New Roman" w:eastAsia="宋体" w:cs="Times New Roman"/>
                <w:bCs/>
                <w:color w:val="auto"/>
                <w:sz w:val="24"/>
              </w:rPr>
              <w:t>—</w:t>
            </w:r>
            <w:r>
              <w:rPr>
                <w:rFonts w:hint="eastAsia"/>
                <w:bCs/>
                <w:color w:val="auto"/>
                <w:sz w:val="24"/>
              </w:rPr>
              <w:t>水土保持生态功能重要区域</w:t>
            </w:r>
            <w:r>
              <w:rPr>
                <w:bCs/>
                <w:color w:val="auto"/>
                <w:sz w:val="24"/>
              </w:rPr>
              <w:t>，管控单元编码为ZH15062510002。</w:t>
            </w:r>
          </w:p>
          <w:p w14:paraId="47C80DAB">
            <w:pPr>
              <w:spacing w:line="360" w:lineRule="auto"/>
              <w:ind w:firstLine="480" w:firstLineChars="200"/>
              <w:rPr>
                <w:color w:val="auto"/>
                <w:sz w:val="24"/>
              </w:rPr>
            </w:pPr>
            <w:r>
              <w:rPr>
                <w:color w:val="auto"/>
                <w:sz w:val="24"/>
              </w:rPr>
              <w:t>本项目与该单元的管控要求</w:t>
            </w:r>
            <w:r>
              <w:rPr>
                <w:rFonts w:hint="eastAsia"/>
                <w:color w:val="auto"/>
                <w:sz w:val="24"/>
              </w:rPr>
              <w:t>的</w:t>
            </w:r>
            <w:r>
              <w:rPr>
                <w:color w:val="auto"/>
                <w:sz w:val="24"/>
              </w:rPr>
              <w:t>符合性见下表：</w:t>
            </w:r>
          </w:p>
          <w:p w14:paraId="60C12758">
            <w:pPr>
              <w:pStyle w:val="26"/>
              <w:rPr>
                <w:color w:val="auto"/>
              </w:rPr>
            </w:pPr>
            <w:r>
              <w:rPr>
                <w:color w:val="auto"/>
              </w:rPr>
              <w:t>表1-1  项目与《鄂尔多斯市生态环境准入清单》相符性分析</w:t>
            </w:r>
          </w:p>
          <w:tbl>
            <w:tblPr>
              <w:tblStyle w:val="17"/>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56"/>
              <w:gridCol w:w="2907"/>
              <w:gridCol w:w="2473"/>
              <w:gridCol w:w="641"/>
            </w:tblGrid>
            <w:tr w14:paraId="6A1B2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1" w:hRule="atLeast"/>
                <w:jc w:val="center"/>
              </w:trPr>
              <w:tc>
                <w:tcPr>
                  <w:tcW w:w="352" w:type="pct"/>
                  <w:vAlign w:val="center"/>
                </w:tcPr>
                <w:p w14:paraId="6DE778A3">
                  <w:pPr>
                    <w:adjustRightInd w:val="0"/>
                    <w:snapToGrid w:val="0"/>
                    <w:jc w:val="center"/>
                    <w:rPr>
                      <w:color w:val="auto"/>
                      <w:szCs w:val="21"/>
                    </w:rPr>
                  </w:pPr>
                  <w:r>
                    <w:rPr>
                      <w:color w:val="auto"/>
                      <w:szCs w:val="21"/>
                    </w:rPr>
                    <w:t>内容</w:t>
                  </w:r>
                </w:p>
              </w:tc>
              <w:tc>
                <w:tcPr>
                  <w:tcW w:w="2244" w:type="pct"/>
                  <w:vAlign w:val="center"/>
                </w:tcPr>
                <w:p w14:paraId="640BF5D5">
                  <w:pPr>
                    <w:adjustRightInd w:val="0"/>
                    <w:snapToGrid w:val="0"/>
                    <w:jc w:val="center"/>
                    <w:rPr>
                      <w:color w:val="auto"/>
                      <w:szCs w:val="21"/>
                    </w:rPr>
                  </w:pPr>
                  <w:r>
                    <w:rPr>
                      <w:color w:val="auto"/>
                      <w:szCs w:val="21"/>
                    </w:rPr>
                    <w:t>管控要求</w:t>
                  </w:r>
                </w:p>
              </w:tc>
              <w:tc>
                <w:tcPr>
                  <w:tcW w:w="1909" w:type="pct"/>
                  <w:vAlign w:val="center"/>
                </w:tcPr>
                <w:p w14:paraId="39E2C685">
                  <w:pPr>
                    <w:adjustRightInd w:val="0"/>
                    <w:snapToGrid w:val="0"/>
                    <w:jc w:val="center"/>
                    <w:rPr>
                      <w:color w:val="auto"/>
                      <w:szCs w:val="21"/>
                    </w:rPr>
                  </w:pPr>
                  <w:r>
                    <w:rPr>
                      <w:color w:val="auto"/>
                      <w:szCs w:val="21"/>
                    </w:rPr>
                    <w:t>符合性分析</w:t>
                  </w:r>
                </w:p>
              </w:tc>
              <w:tc>
                <w:tcPr>
                  <w:tcW w:w="494" w:type="pct"/>
                  <w:vAlign w:val="center"/>
                </w:tcPr>
                <w:p w14:paraId="4BE6A37F">
                  <w:pPr>
                    <w:adjustRightInd w:val="0"/>
                    <w:snapToGrid w:val="0"/>
                    <w:jc w:val="center"/>
                    <w:rPr>
                      <w:color w:val="auto"/>
                      <w:szCs w:val="21"/>
                    </w:rPr>
                  </w:pPr>
                  <w:r>
                    <w:rPr>
                      <w:color w:val="auto"/>
                      <w:szCs w:val="21"/>
                    </w:rPr>
                    <w:t>相符性</w:t>
                  </w:r>
                </w:p>
              </w:tc>
            </w:tr>
            <w:tr w14:paraId="54F46B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352" w:type="pct"/>
                  <w:vMerge w:val="restart"/>
                  <w:vAlign w:val="center"/>
                </w:tcPr>
                <w:p w14:paraId="2FD01B82">
                  <w:pPr>
                    <w:adjustRightInd w:val="0"/>
                    <w:snapToGrid w:val="0"/>
                    <w:jc w:val="center"/>
                    <w:rPr>
                      <w:color w:val="auto"/>
                      <w:szCs w:val="21"/>
                    </w:rPr>
                  </w:pPr>
                  <w:r>
                    <w:rPr>
                      <w:color w:val="auto"/>
                      <w:szCs w:val="21"/>
                    </w:rPr>
                    <w:t>空间布局约束</w:t>
                  </w:r>
                </w:p>
              </w:tc>
              <w:tc>
                <w:tcPr>
                  <w:tcW w:w="2244" w:type="pct"/>
                  <w:vAlign w:val="center"/>
                </w:tcPr>
                <w:p w14:paraId="5DBC07E4">
                  <w:pPr>
                    <w:adjustRightInd w:val="0"/>
                    <w:snapToGrid w:val="0"/>
                    <w:jc w:val="center"/>
                    <w:rPr>
                      <w:color w:val="auto"/>
                      <w:szCs w:val="21"/>
                    </w:rPr>
                  </w:pPr>
                  <w:r>
                    <w:rPr>
                      <w:color w:val="auto"/>
                      <w:szCs w:val="21"/>
                    </w:rPr>
                    <w:t>1.</w:t>
                  </w:r>
                  <w:r>
                    <w:rPr>
                      <w:rFonts w:hint="eastAsia"/>
                      <w:color w:val="auto"/>
                      <w:szCs w:val="21"/>
                    </w:rPr>
                    <w:t>大力推行节水灌溉和雨水集蓄利用，发展旱作节水农业。限制陡坡垦殖和超载过牧。加强小流域综合治理，实行封山禁牧，恢复退化植被。加强对能源和矿产资源开发及建设项目的监管，加大矿山环境整治修复力度，最大限度地减少</w:t>
                  </w:r>
                  <w:r>
                    <w:rPr>
                      <w:rFonts w:hint="eastAsia"/>
                      <w:color w:val="auto"/>
                      <w:szCs w:val="21"/>
                      <w:lang w:eastAsia="zh-CN"/>
                    </w:rPr>
                    <w:t>因</w:t>
                  </w:r>
                  <w:r>
                    <w:rPr>
                      <w:rFonts w:hint="eastAsia"/>
                      <w:color w:val="auto"/>
                      <w:szCs w:val="21"/>
                    </w:rPr>
                    <w:t>人为因素造成新的水土流失。拓宽农民增收渠道，解决农民长远生计</w:t>
                  </w:r>
                  <w:r>
                    <w:rPr>
                      <w:rFonts w:hint="eastAsia"/>
                      <w:color w:val="auto"/>
                      <w:szCs w:val="21"/>
                      <w:lang w:eastAsia="zh-CN"/>
                    </w:rPr>
                    <w:t>问题</w:t>
                  </w:r>
                  <w:r>
                    <w:rPr>
                      <w:rFonts w:hint="eastAsia"/>
                      <w:color w:val="auto"/>
                      <w:szCs w:val="21"/>
                    </w:rPr>
                    <w:t>，巩固水土流失治理、退耕还林、退牧还草</w:t>
                  </w:r>
                  <w:r>
                    <w:rPr>
                      <w:rFonts w:hint="eastAsia"/>
                      <w:color w:val="auto"/>
                      <w:szCs w:val="21"/>
                      <w:lang w:eastAsia="zh-CN"/>
                    </w:rPr>
                    <w:t>等</w:t>
                  </w:r>
                  <w:r>
                    <w:rPr>
                      <w:rFonts w:hint="eastAsia"/>
                      <w:color w:val="auto"/>
                      <w:szCs w:val="21"/>
                    </w:rPr>
                    <w:t>成果。</w:t>
                  </w:r>
                </w:p>
              </w:tc>
              <w:tc>
                <w:tcPr>
                  <w:tcW w:w="1909" w:type="pct"/>
                  <w:vAlign w:val="center"/>
                </w:tcPr>
                <w:p w14:paraId="1187A27A">
                  <w:pPr>
                    <w:adjustRightInd w:val="0"/>
                    <w:snapToGrid w:val="0"/>
                    <w:jc w:val="center"/>
                    <w:rPr>
                      <w:rFonts w:hint="default" w:eastAsia="宋体"/>
                      <w:color w:val="auto"/>
                      <w:szCs w:val="21"/>
                      <w:lang w:val="en-US" w:eastAsia="zh-CN"/>
                    </w:rPr>
                  </w:pPr>
                  <w:r>
                    <w:rPr>
                      <w:bCs/>
                      <w:color w:val="auto"/>
                      <w:szCs w:val="21"/>
                    </w:rPr>
                    <w:t>本项目</w:t>
                  </w:r>
                  <w:r>
                    <w:rPr>
                      <w:rFonts w:hint="eastAsia"/>
                      <w:color w:val="auto"/>
                      <w:szCs w:val="21"/>
                      <w:lang w:val="en-US" w:eastAsia="zh-CN"/>
                    </w:rPr>
                    <w:t>不涉及农业生产、矿产资源开发等。</w:t>
                  </w:r>
                </w:p>
              </w:tc>
              <w:tc>
                <w:tcPr>
                  <w:tcW w:w="494" w:type="pct"/>
                  <w:vAlign w:val="center"/>
                </w:tcPr>
                <w:p w14:paraId="1B70E456">
                  <w:pPr>
                    <w:adjustRightInd w:val="0"/>
                    <w:snapToGrid w:val="0"/>
                    <w:jc w:val="center"/>
                    <w:rPr>
                      <w:color w:val="auto"/>
                      <w:szCs w:val="21"/>
                    </w:rPr>
                  </w:pPr>
                  <w:r>
                    <w:rPr>
                      <w:color w:val="auto"/>
                      <w:szCs w:val="21"/>
                    </w:rPr>
                    <w:t>符合</w:t>
                  </w:r>
                </w:p>
              </w:tc>
            </w:tr>
            <w:tr w14:paraId="704347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352" w:type="pct"/>
                  <w:vMerge w:val="continue"/>
                  <w:vAlign w:val="center"/>
                </w:tcPr>
                <w:p w14:paraId="3FD444D6">
                  <w:pPr>
                    <w:adjustRightInd w:val="0"/>
                    <w:snapToGrid w:val="0"/>
                    <w:jc w:val="center"/>
                    <w:rPr>
                      <w:color w:val="auto"/>
                      <w:szCs w:val="21"/>
                    </w:rPr>
                  </w:pPr>
                </w:p>
              </w:tc>
              <w:tc>
                <w:tcPr>
                  <w:tcW w:w="2244" w:type="pct"/>
                  <w:vAlign w:val="center"/>
                </w:tcPr>
                <w:p w14:paraId="4D618FEC">
                  <w:pPr>
                    <w:adjustRightInd w:val="0"/>
                    <w:snapToGrid w:val="0"/>
                    <w:jc w:val="center"/>
                    <w:rPr>
                      <w:color w:val="auto"/>
                      <w:szCs w:val="21"/>
                    </w:rPr>
                  </w:pPr>
                  <w:r>
                    <w:rPr>
                      <w:color w:val="auto"/>
                      <w:szCs w:val="21"/>
                    </w:rPr>
                    <w:t>2.</w:t>
                  </w:r>
                  <w:r>
                    <w:rPr>
                      <w:rFonts w:hint="eastAsia"/>
                      <w:color w:val="auto"/>
                      <w:szCs w:val="21"/>
                    </w:rPr>
                    <w:t>在生态保护红线内的有限人为活动管理要求</w:t>
                  </w:r>
                  <w:r>
                    <w:rPr>
                      <w:rFonts w:hint="eastAsia"/>
                      <w:color w:val="auto"/>
                      <w:szCs w:val="21"/>
                      <w:lang w:eastAsia="zh-CN"/>
                    </w:rPr>
                    <w:t>，</w:t>
                  </w:r>
                  <w:r>
                    <w:rPr>
                      <w:rFonts w:hint="eastAsia"/>
                      <w:color w:val="auto"/>
                      <w:szCs w:val="21"/>
                    </w:rPr>
                    <w:t>按照《自然资源部</w:t>
                  </w:r>
                  <w:r>
                    <w:rPr>
                      <w:color w:val="auto"/>
                      <w:szCs w:val="21"/>
                    </w:rPr>
                    <w:t xml:space="preserve"> </w:t>
                  </w:r>
                  <w:r>
                    <w:rPr>
                      <w:rFonts w:hint="eastAsia"/>
                      <w:color w:val="auto"/>
                      <w:szCs w:val="21"/>
                    </w:rPr>
                    <w:t>生态环境部</w:t>
                  </w:r>
                  <w:r>
                    <w:rPr>
                      <w:color w:val="auto"/>
                      <w:szCs w:val="21"/>
                    </w:rPr>
                    <w:t xml:space="preserve"> </w:t>
                  </w:r>
                  <w:r>
                    <w:rPr>
                      <w:rFonts w:hint="eastAsia"/>
                      <w:color w:val="auto"/>
                      <w:szCs w:val="21"/>
                    </w:rPr>
                    <w:t>国家林业和草原局关于加强生态保护红线管理的通知（试行）》（自然资发〔</w:t>
                  </w:r>
                  <w:r>
                    <w:rPr>
                      <w:color w:val="auto"/>
                      <w:szCs w:val="21"/>
                    </w:rPr>
                    <w:t>2022</w:t>
                  </w:r>
                  <w:r>
                    <w:rPr>
                      <w:rFonts w:hint="eastAsia"/>
                      <w:color w:val="auto"/>
                      <w:szCs w:val="21"/>
                    </w:rPr>
                    <w:t>〕</w:t>
                  </w:r>
                  <w:r>
                    <w:rPr>
                      <w:color w:val="auto"/>
                      <w:szCs w:val="21"/>
                    </w:rPr>
                    <w:t>142</w:t>
                  </w:r>
                  <w:r>
                    <w:rPr>
                      <w:rFonts w:hint="eastAsia"/>
                      <w:color w:val="auto"/>
                      <w:szCs w:val="21"/>
                    </w:rPr>
                    <w:t>号）相关规定执行。</w:t>
                  </w:r>
                </w:p>
              </w:tc>
              <w:tc>
                <w:tcPr>
                  <w:tcW w:w="1909" w:type="pct"/>
                  <w:vAlign w:val="center"/>
                </w:tcPr>
                <w:p w14:paraId="32DB23D5">
                  <w:pPr>
                    <w:adjustRightInd w:val="0"/>
                    <w:snapToGrid w:val="0"/>
                    <w:jc w:val="center"/>
                    <w:rPr>
                      <w:color w:val="auto"/>
                      <w:szCs w:val="21"/>
                    </w:rPr>
                  </w:pPr>
                  <w:r>
                    <w:rPr>
                      <w:color w:val="auto"/>
                      <w:szCs w:val="21"/>
                    </w:rPr>
                    <w:t>本项目</w:t>
                  </w:r>
                  <w:r>
                    <w:rPr>
                      <w:rFonts w:hint="eastAsia"/>
                      <w:color w:val="auto"/>
                      <w:szCs w:val="21"/>
                    </w:rPr>
                    <w:t>不涉及生态红线</w:t>
                  </w:r>
                  <w:r>
                    <w:rPr>
                      <w:color w:val="auto"/>
                      <w:szCs w:val="21"/>
                    </w:rPr>
                    <w:t>。</w:t>
                  </w:r>
                </w:p>
              </w:tc>
              <w:tc>
                <w:tcPr>
                  <w:tcW w:w="494" w:type="pct"/>
                  <w:vAlign w:val="center"/>
                </w:tcPr>
                <w:p w14:paraId="1BFA66B7">
                  <w:pPr>
                    <w:jc w:val="center"/>
                    <w:rPr>
                      <w:color w:val="auto"/>
                      <w:szCs w:val="21"/>
                    </w:rPr>
                  </w:pPr>
                  <w:r>
                    <w:rPr>
                      <w:color w:val="auto"/>
                      <w:szCs w:val="21"/>
                    </w:rPr>
                    <w:t>符合</w:t>
                  </w:r>
                </w:p>
              </w:tc>
            </w:tr>
          </w:tbl>
          <w:p w14:paraId="766D997D">
            <w:pPr>
              <w:autoSpaceDE w:val="0"/>
              <w:autoSpaceDN w:val="0"/>
              <w:spacing w:line="360" w:lineRule="auto"/>
              <w:ind w:firstLine="480" w:firstLineChars="200"/>
              <w:jc w:val="left"/>
              <w:rPr>
                <w:color w:val="auto"/>
                <w:sz w:val="24"/>
              </w:rPr>
            </w:pPr>
            <w:r>
              <w:rPr>
                <w:color w:val="auto"/>
                <w:sz w:val="24"/>
              </w:rPr>
              <w:t>2</w:t>
            </w:r>
            <w:r>
              <w:rPr>
                <w:rFonts w:hint="eastAsia"/>
                <w:color w:val="auto"/>
                <w:sz w:val="24"/>
              </w:rPr>
              <w:t>.</w:t>
            </w:r>
            <w:r>
              <w:rPr>
                <w:color w:val="auto"/>
                <w:sz w:val="24"/>
              </w:rPr>
              <w:t>选址合理性分析</w:t>
            </w:r>
          </w:p>
          <w:p w14:paraId="167CD4C0">
            <w:pPr>
              <w:autoSpaceDE w:val="0"/>
              <w:autoSpaceDN w:val="0"/>
              <w:spacing w:line="360" w:lineRule="auto"/>
              <w:ind w:firstLine="480" w:firstLineChars="200"/>
              <w:rPr>
                <w:rFonts w:hint="default"/>
                <w:color w:val="auto"/>
                <w:sz w:val="24"/>
                <w:lang w:val="en-US"/>
              </w:rPr>
            </w:pPr>
            <w:r>
              <w:rPr>
                <w:color w:val="auto"/>
                <w:sz w:val="24"/>
              </w:rPr>
              <w:t>本项目位于鄂尔多斯市杭锦旗锡尼镇</w:t>
            </w:r>
            <w:r>
              <w:rPr>
                <w:rFonts w:hint="eastAsia"/>
                <w:color w:val="auto"/>
                <w:sz w:val="24"/>
                <w:lang w:eastAsia="zh-CN"/>
              </w:rPr>
              <w:t>中图村</w:t>
            </w:r>
            <w:r>
              <w:rPr>
                <w:rFonts w:hint="eastAsia"/>
                <w:color w:val="auto"/>
                <w:sz w:val="24"/>
              </w:rPr>
              <w:t>，</w:t>
            </w:r>
            <w:r>
              <w:rPr>
                <w:rFonts w:hint="eastAsia"/>
                <w:color w:val="auto"/>
                <w:sz w:val="24"/>
                <w:lang w:val="en-US" w:eastAsia="zh-CN"/>
              </w:rPr>
              <w:t>总占地面积4196</w:t>
            </w:r>
            <w:r>
              <w:rPr>
                <w:rFonts w:hint="eastAsia"/>
                <w:color w:val="auto"/>
                <w:sz w:val="24"/>
                <w:vertAlign w:val="baseline"/>
                <w:lang w:val="en-US" w:eastAsia="zh-CN"/>
              </w:rPr>
              <w:t>m</w:t>
            </w:r>
            <w:r>
              <w:rPr>
                <w:rFonts w:hint="eastAsia"/>
                <w:color w:val="auto"/>
                <w:sz w:val="24"/>
                <w:vertAlign w:val="superscript"/>
                <w:lang w:val="en-US" w:eastAsia="zh-CN"/>
              </w:rPr>
              <w:t>2</w:t>
            </w:r>
            <w:r>
              <w:rPr>
                <w:rFonts w:hint="eastAsia"/>
                <w:color w:val="auto"/>
                <w:sz w:val="24"/>
                <w:lang w:val="en-US" w:eastAsia="zh-CN"/>
              </w:rPr>
              <w:t>，</w:t>
            </w:r>
            <w:r>
              <w:rPr>
                <w:rFonts w:hint="eastAsia"/>
                <w:color w:val="auto"/>
                <w:sz w:val="24"/>
              </w:rPr>
              <w:t>土地权属为杭锦旗锡尼镇中图村农民集体土地。</w:t>
            </w:r>
            <w:r>
              <w:rPr>
                <w:color w:val="auto"/>
                <w:sz w:val="24"/>
              </w:rPr>
              <w:t>所在区域未占用农田、林地、自然保护区、风景名胜区</w:t>
            </w:r>
            <w:r>
              <w:rPr>
                <w:rFonts w:hint="eastAsia"/>
                <w:color w:val="auto"/>
                <w:sz w:val="24"/>
                <w:lang w:eastAsia="zh-CN"/>
              </w:rPr>
              <w:t>、</w:t>
            </w:r>
            <w:r>
              <w:rPr>
                <w:rFonts w:hint="eastAsia"/>
                <w:color w:val="auto"/>
                <w:sz w:val="24"/>
                <w:lang w:val="en-US" w:eastAsia="zh-CN"/>
              </w:rPr>
              <w:t>生态保护红线</w:t>
            </w:r>
            <w:r>
              <w:rPr>
                <w:color w:val="auto"/>
                <w:sz w:val="24"/>
              </w:rPr>
              <w:t>等</w:t>
            </w:r>
            <w:r>
              <w:rPr>
                <w:rFonts w:hint="eastAsia"/>
                <w:color w:val="auto"/>
                <w:sz w:val="24"/>
                <w:lang w:eastAsia="zh-CN"/>
              </w:rPr>
              <w:t>。</w:t>
            </w:r>
          </w:p>
          <w:p w14:paraId="2D814382">
            <w:pPr>
              <w:autoSpaceDE w:val="0"/>
              <w:autoSpaceDN w:val="0"/>
              <w:spacing w:line="360" w:lineRule="auto"/>
              <w:ind w:firstLine="480" w:firstLineChars="200"/>
              <w:rPr>
                <w:bCs/>
                <w:color w:val="auto"/>
                <w:sz w:val="24"/>
              </w:rPr>
            </w:pPr>
            <w:r>
              <w:rPr>
                <w:bCs/>
                <w:color w:val="auto"/>
                <w:sz w:val="24"/>
              </w:rPr>
              <w:t>本项目厂址500</w:t>
            </w:r>
            <w:r>
              <w:rPr>
                <w:rFonts w:hint="eastAsia"/>
                <w:bCs/>
                <w:color w:val="auto"/>
                <w:sz w:val="24"/>
                <w:vertAlign w:val="baseline"/>
                <w:lang w:eastAsia="zh-CN"/>
              </w:rPr>
              <w:t>m</w:t>
            </w:r>
            <w:r>
              <w:rPr>
                <w:bCs/>
                <w:color w:val="auto"/>
                <w:sz w:val="24"/>
              </w:rPr>
              <w:t>范围内</w:t>
            </w:r>
            <w:r>
              <w:rPr>
                <w:rFonts w:hint="eastAsia"/>
                <w:bCs/>
                <w:color w:val="auto"/>
                <w:sz w:val="24"/>
                <w:lang w:eastAsia="zh-CN"/>
              </w:rPr>
              <w:t>有</w:t>
            </w:r>
            <w:r>
              <w:rPr>
                <w:rFonts w:hint="eastAsia"/>
                <w:bCs/>
                <w:color w:val="auto"/>
                <w:sz w:val="24"/>
                <w:lang w:val="en-US" w:eastAsia="zh-CN"/>
              </w:rPr>
              <w:t>7</w:t>
            </w:r>
            <w:r>
              <w:rPr>
                <w:rFonts w:hint="eastAsia"/>
                <w:bCs/>
                <w:color w:val="auto"/>
                <w:sz w:val="24"/>
              </w:rPr>
              <w:t>户村民住宅，</w:t>
            </w:r>
            <w:r>
              <w:rPr>
                <w:rFonts w:hint="eastAsia"/>
                <w:bCs/>
                <w:color w:val="auto"/>
                <w:sz w:val="24"/>
                <w:lang w:val="en-US" w:eastAsia="zh-CN"/>
              </w:rPr>
              <w:t>最近的位于项目北侧20</w:t>
            </w:r>
            <w:r>
              <w:rPr>
                <w:rFonts w:hint="eastAsia"/>
                <w:bCs/>
                <w:color w:val="auto"/>
                <w:sz w:val="24"/>
                <w:vertAlign w:val="baseline"/>
                <w:lang w:val="en-US" w:eastAsia="zh-CN"/>
              </w:rPr>
              <w:t>m</w:t>
            </w:r>
            <w:r>
              <w:rPr>
                <w:rFonts w:hint="eastAsia"/>
                <w:bCs/>
                <w:color w:val="auto"/>
                <w:sz w:val="24"/>
                <w:lang w:val="en-US" w:eastAsia="zh-CN"/>
              </w:rPr>
              <w:t>处。本项目为新建腌酸菜废水污水处理项目，属于农副食品加工配套设施项目。</w:t>
            </w:r>
            <w:r>
              <w:rPr>
                <w:bCs/>
                <w:color w:val="auto"/>
                <w:sz w:val="24"/>
              </w:rPr>
              <w:t>通过采取报告表</w:t>
            </w:r>
            <w:r>
              <w:rPr>
                <w:rFonts w:hint="eastAsia"/>
                <w:bCs/>
                <w:color w:val="auto"/>
                <w:sz w:val="24"/>
              </w:rPr>
              <w:t>中</w:t>
            </w:r>
            <w:r>
              <w:rPr>
                <w:bCs/>
                <w:color w:val="auto"/>
                <w:sz w:val="24"/>
              </w:rPr>
              <w:t>提出的各项环保措施后，本项目的建设对环境影响较小。</w:t>
            </w:r>
          </w:p>
          <w:p w14:paraId="3949DEF4">
            <w:pPr>
              <w:autoSpaceDE w:val="0"/>
              <w:autoSpaceDN w:val="0"/>
              <w:spacing w:line="360" w:lineRule="auto"/>
              <w:ind w:firstLine="480" w:firstLineChars="200"/>
              <w:rPr>
                <w:bCs/>
                <w:color w:val="auto"/>
                <w:sz w:val="24"/>
              </w:rPr>
            </w:pPr>
            <w:r>
              <w:rPr>
                <w:rFonts w:hint="eastAsia"/>
                <w:bCs/>
                <w:color w:val="auto"/>
                <w:sz w:val="24"/>
                <w:lang w:val="en-US" w:eastAsia="zh-CN"/>
              </w:rPr>
              <w:t>综上</w:t>
            </w:r>
            <w:r>
              <w:rPr>
                <w:bCs/>
                <w:color w:val="auto"/>
                <w:sz w:val="24"/>
              </w:rPr>
              <w:t>，本项目选址合理</w:t>
            </w:r>
            <w:r>
              <w:rPr>
                <w:color w:val="auto"/>
                <w:sz w:val="24"/>
              </w:rPr>
              <w:t>。</w:t>
            </w:r>
          </w:p>
          <w:p w14:paraId="61FB10B4">
            <w:pPr>
              <w:autoSpaceDE w:val="0"/>
              <w:autoSpaceDN w:val="0"/>
              <w:spacing w:line="360" w:lineRule="auto"/>
              <w:ind w:firstLine="480" w:firstLineChars="200"/>
              <w:jc w:val="left"/>
              <w:rPr>
                <w:color w:val="auto"/>
                <w:sz w:val="24"/>
              </w:rPr>
            </w:pPr>
            <w:r>
              <w:rPr>
                <w:color w:val="auto"/>
                <w:sz w:val="24"/>
              </w:rPr>
              <w:t>3</w:t>
            </w:r>
            <w:r>
              <w:rPr>
                <w:rFonts w:hint="eastAsia"/>
                <w:color w:val="auto"/>
                <w:sz w:val="24"/>
              </w:rPr>
              <w:t>.</w:t>
            </w:r>
            <w:r>
              <w:rPr>
                <w:color w:val="auto"/>
                <w:sz w:val="24"/>
              </w:rPr>
              <w:t>产业政策符合性分析</w:t>
            </w:r>
          </w:p>
          <w:p w14:paraId="77BCAFF7">
            <w:pPr>
              <w:autoSpaceDE w:val="0"/>
              <w:autoSpaceDN w:val="0"/>
              <w:spacing w:line="360" w:lineRule="auto"/>
              <w:ind w:firstLine="480" w:firstLineChars="200"/>
              <w:jc w:val="left"/>
              <w:rPr>
                <w:color w:val="auto"/>
                <w:sz w:val="24"/>
                <w:szCs w:val="24"/>
              </w:rPr>
            </w:pPr>
            <w:r>
              <w:rPr>
                <w:color w:val="auto"/>
                <w:sz w:val="24"/>
                <w:szCs w:val="24"/>
              </w:rPr>
              <w:t>本项目</w:t>
            </w:r>
            <w:r>
              <w:rPr>
                <w:rFonts w:hint="eastAsia"/>
                <w:color w:val="auto"/>
                <w:sz w:val="24"/>
                <w:szCs w:val="24"/>
                <w:lang w:val="en-US" w:eastAsia="zh-CN"/>
              </w:rPr>
              <w:t>为新建腌酸菜废水污水处理项目</w:t>
            </w:r>
            <w:r>
              <w:rPr>
                <w:color w:val="auto"/>
                <w:sz w:val="24"/>
                <w:szCs w:val="24"/>
              </w:rPr>
              <w:t>，项目不属于《产业结构调整指导目录</w:t>
            </w:r>
            <w:r>
              <w:rPr>
                <w:rFonts w:hint="eastAsia"/>
                <w:color w:val="auto"/>
                <w:sz w:val="24"/>
                <w:szCs w:val="24"/>
              </w:rPr>
              <w:t>（</w:t>
            </w:r>
            <w:r>
              <w:rPr>
                <w:color w:val="auto"/>
                <w:sz w:val="24"/>
                <w:szCs w:val="24"/>
              </w:rPr>
              <w:t>2024年本</w:t>
            </w:r>
            <w:r>
              <w:rPr>
                <w:rFonts w:hint="eastAsia"/>
                <w:color w:val="auto"/>
                <w:sz w:val="24"/>
                <w:szCs w:val="24"/>
              </w:rPr>
              <w:t>）</w:t>
            </w:r>
            <w:r>
              <w:rPr>
                <w:color w:val="auto"/>
                <w:sz w:val="24"/>
                <w:szCs w:val="24"/>
              </w:rPr>
              <w:t>》</w:t>
            </w:r>
            <w:r>
              <w:rPr>
                <w:rFonts w:hint="eastAsia"/>
                <w:color w:val="auto"/>
                <w:sz w:val="24"/>
                <w:szCs w:val="24"/>
              </w:rPr>
              <w:t>（</w:t>
            </w:r>
            <w:r>
              <w:rPr>
                <w:color w:val="auto"/>
                <w:sz w:val="24"/>
                <w:szCs w:val="24"/>
              </w:rPr>
              <w:t>中华人民共和国国家发展和改革委员会令第7号，自2024年2月1日起施行</w:t>
            </w:r>
            <w:r>
              <w:rPr>
                <w:rFonts w:hint="eastAsia"/>
                <w:color w:val="auto"/>
                <w:sz w:val="24"/>
                <w:szCs w:val="24"/>
              </w:rPr>
              <w:t>）</w:t>
            </w:r>
            <w:r>
              <w:rPr>
                <w:color w:val="auto"/>
                <w:sz w:val="24"/>
                <w:szCs w:val="24"/>
              </w:rPr>
              <w:t>中限制类、淘汰类、鼓励类项目，为允许类项目，项目的建设符合国家产业政策</w:t>
            </w:r>
            <w:r>
              <w:rPr>
                <w:rFonts w:hint="eastAsia"/>
                <w:color w:val="auto"/>
                <w:sz w:val="24"/>
                <w:szCs w:val="24"/>
                <w:lang w:eastAsia="zh-CN"/>
              </w:rPr>
              <w:t>。</w:t>
            </w:r>
          </w:p>
          <w:p w14:paraId="1CB78A1F">
            <w:pPr>
              <w:rPr>
                <w:color w:val="auto"/>
                <w:sz w:val="24"/>
              </w:rPr>
            </w:pPr>
          </w:p>
        </w:tc>
      </w:tr>
    </w:tbl>
    <w:p w14:paraId="0B2C7212">
      <w:pPr>
        <w:spacing w:line="360" w:lineRule="auto"/>
        <w:outlineLvl w:val="0"/>
        <w:rPr>
          <w:rFonts w:eastAsia="黑体"/>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3AB15398">
      <w:pPr>
        <w:pStyle w:val="14"/>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二、建设项目工程分析</w:t>
      </w:r>
    </w:p>
    <w:tbl>
      <w:tblPr>
        <w:tblStyle w:val="17"/>
        <w:tblW w:w="490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4"/>
        <w:gridCol w:w="8457"/>
      </w:tblGrid>
      <w:tr w14:paraId="474E3B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17" w:hRule="atLeast"/>
          <w:jc w:val="center"/>
        </w:trPr>
        <w:tc>
          <w:tcPr>
            <w:tcW w:w="239" w:type="pct"/>
            <w:vAlign w:val="center"/>
          </w:tcPr>
          <w:p w14:paraId="3FE0D4B9">
            <w:pPr>
              <w:pStyle w:val="14"/>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建设内容</w:t>
            </w:r>
          </w:p>
        </w:tc>
        <w:tc>
          <w:tcPr>
            <w:tcW w:w="4760" w:type="pct"/>
          </w:tcPr>
          <w:p w14:paraId="2F4D8344">
            <w:pPr>
              <w:spacing w:line="360" w:lineRule="auto"/>
              <w:jc w:val="left"/>
              <w:rPr>
                <w:b/>
                <w:bCs/>
                <w:color w:val="auto"/>
                <w:sz w:val="24"/>
              </w:rPr>
            </w:pPr>
            <w:r>
              <w:rPr>
                <w:b/>
                <w:bCs/>
                <w:color w:val="auto"/>
                <w:sz w:val="24"/>
              </w:rPr>
              <w:t>1</w:t>
            </w:r>
            <w:r>
              <w:rPr>
                <w:rFonts w:hint="eastAsia"/>
                <w:b/>
                <w:bCs/>
                <w:color w:val="auto"/>
                <w:sz w:val="24"/>
              </w:rPr>
              <w:t>.</w:t>
            </w:r>
            <w:r>
              <w:rPr>
                <w:b/>
                <w:bCs/>
                <w:color w:val="auto"/>
                <w:sz w:val="24"/>
              </w:rPr>
              <w:t>项目由来</w:t>
            </w:r>
          </w:p>
          <w:p w14:paraId="4E7FCA1A">
            <w:pPr>
              <w:spacing w:line="360" w:lineRule="auto"/>
              <w:ind w:firstLine="480" w:firstLineChars="200"/>
              <w:jc w:val="left"/>
              <w:rPr>
                <w:rFonts w:hint="eastAsia"/>
                <w:bCs/>
                <w:color w:val="auto"/>
                <w:sz w:val="24"/>
                <w:lang w:val="en-US" w:eastAsia="zh-CN" w:bidi="zh-TW"/>
              </w:rPr>
            </w:pPr>
            <w:r>
              <w:rPr>
                <w:rFonts w:hint="eastAsia"/>
                <w:bCs/>
                <w:color w:val="auto"/>
                <w:sz w:val="24"/>
                <w:lang w:val="en-US" w:eastAsia="zh-CN" w:bidi="zh-TW"/>
              </w:rPr>
              <w:t>随着近两年国内蔬菜消费结构的变化，酱腌菜产品的市场需求空间较大，产品价格较高且稳中有升，生产效益良好，因此农民的生产积极性很高。同时，杭锦旗锡尼镇镇区周边属于杭锦旗蔬菜生产的优势区域，也给蔬菜加工企业带来了巨大的商机。</w:t>
            </w:r>
          </w:p>
          <w:p w14:paraId="2E44342C">
            <w:pPr>
              <w:spacing w:line="360" w:lineRule="auto"/>
              <w:ind w:firstLine="480" w:firstLineChars="200"/>
              <w:jc w:val="left"/>
              <w:rPr>
                <w:rFonts w:hint="default"/>
                <w:bCs/>
                <w:color w:val="auto"/>
                <w:sz w:val="24"/>
                <w:lang w:val="en-US" w:eastAsia="zh-CN" w:bidi="zh-TW"/>
              </w:rPr>
            </w:pPr>
            <w:r>
              <w:rPr>
                <w:rFonts w:hint="eastAsia"/>
                <w:bCs/>
                <w:color w:val="auto"/>
                <w:sz w:val="24"/>
                <w:lang w:val="en-US" w:eastAsia="zh-CN" w:bidi="zh-TW"/>
              </w:rPr>
              <w:t>2012年3月，杭锦旗库科杭盖蔬菜有限责任公司成立，法人刘候爱，在锡尼镇中图村建成酱腌菜加工厂生产车间。项目建成后，通过合作社+基地+农牧户（低收入户）的利益联接方式，由农户种植蔬菜，合作社负责订单收购并加工销售。项目的建设可带动杭锦旗锡尼镇周边300户农牧户，450名农牧民发展蔬菜种植业，自身形成完整蔬菜生产加工产业链。包括：种植、加工、购销、预制菜及酱腌菜加工及保鲜菜加工体系，自由终端营销体系。有完整产业链才能抵御市场风险，形成行业龙头，带动农牧民发家致富，得到政府全面支持，使合作社快速成长，取得社会效益和经济效益双重收获。2017年4月，法人刘候爱成立杭锦旗多丰长绿种植专业合作社，负责酱腌菜加工厂的生产运营。</w:t>
            </w:r>
          </w:p>
          <w:p w14:paraId="08E3D94F">
            <w:pPr>
              <w:spacing w:line="360" w:lineRule="auto"/>
              <w:ind w:firstLine="480" w:firstLineChars="200"/>
              <w:jc w:val="left"/>
              <w:rPr>
                <w:bCs/>
                <w:color w:val="auto"/>
                <w:sz w:val="24"/>
                <w:lang w:bidi="zh-TW"/>
              </w:rPr>
            </w:pPr>
            <w:r>
              <w:rPr>
                <w:rFonts w:hint="eastAsia"/>
                <w:bCs/>
                <w:color w:val="auto"/>
                <w:sz w:val="24"/>
                <w:lang w:val="en-US" w:eastAsia="zh-CN" w:bidi="zh-TW"/>
              </w:rPr>
              <w:t>本项目酱腌菜加工厂已于2012年建成并运行，本次主要埋设废水储罐设施1套。</w:t>
            </w:r>
            <w:r>
              <w:rPr>
                <w:bCs/>
                <w:color w:val="auto"/>
                <w:sz w:val="24"/>
                <w:lang w:bidi="zh-TW"/>
              </w:rPr>
              <w:t>根据《建设项目环境影响评价分类管理名录</w:t>
            </w:r>
            <w:r>
              <w:rPr>
                <w:rFonts w:hint="eastAsia"/>
                <w:bCs/>
                <w:color w:val="auto"/>
                <w:sz w:val="24"/>
                <w:lang w:bidi="zh-TW"/>
              </w:rPr>
              <w:t>（</w:t>
            </w:r>
            <w:r>
              <w:rPr>
                <w:bCs/>
                <w:color w:val="auto"/>
                <w:sz w:val="24"/>
                <w:lang w:bidi="zh-TW"/>
              </w:rPr>
              <w:t>2021版</w:t>
            </w:r>
            <w:r>
              <w:rPr>
                <w:rFonts w:hint="eastAsia"/>
                <w:bCs/>
                <w:color w:val="auto"/>
                <w:sz w:val="24"/>
                <w:lang w:bidi="zh-TW"/>
              </w:rPr>
              <w:t>）</w:t>
            </w:r>
            <w:r>
              <w:rPr>
                <w:bCs/>
                <w:color w:val="auto"/>
                <w:sz w:val="24"/>
                <w:lang w:bidi="zh-TW"/>
              </w:rPr>
              <w:t>》，本项目属于</w:t>
            </w:r>
            <w:r>
              <w:rPr>
                <w:rFonts w:hint="eastAsia"/>
                <w:bCs/>
                <w:color w:val="auto"/>
                <w:sz w:val="24"/>
                <w:lang w:eastAsia="zh-CN" w:bidi="zh-TW"/>
              </w:rPr>
              <w:t>“</w:t>
            </w:r>
            <w:r>
              <w:rPr>
                <w:rFonts w:hint="eastAsia"/>
                <w:bCs/>
                <w:color w:val="auto"/>
                <w:sz w:val="24"/>
                <w:lang w:val="en-US" w:eastAsia="zh-CN" w:bidi="zh-TW"/>
              </w:rPr>
              <w:t>四十三、水的生产和供应业</w:t>
            </w:r>
            <w:r>
              <w:rPr>
                <w:rFonts w:hint="eastAsia"/>
                <w:bCs/>
                <w:color w:val="auto"/>
                <w:sz w:val="24"/>
                <w:lang w:eastAsia="zh-CN" w:bidi="zh-TW"/>
              </w:rPr>
              <w:t>”</w:t>
            </w:r>
            <w:r>
              <w:rPr>
                <w:bCs/>
                <w:color w:val="auto"/>
                <w:sz w:val="24"/>
                <w:lang w:bidi="zh-TW"/>
              </w:rPr>
              <w:t>中</w:t>
            </w:r>
            <w:r>
              <w:rPr>
                <w:rFonts w:hint="eastAsia"/>
                <w:bCs/>
                <w:color w:val="auto"/>
                <w:sz w:val="24"/>
                <w:lang w:eastAsia="zh-CN" w:bidi="zh-TW"/>
              </w:rPr>
              <w:t>“</w:t>
            </w:r>
            <w:r>
              <w:rPr>
                <w:rFonts w:hint="eastAsia"/>
                <w:bCs/>
                <w:color w:val="auto"/>
                <w:sz w:val="24"/>
              </w:rPr>
              <w:t>9</w:t>
            </w:r>
            <w:r>
              <w:rPr>
                <w:rFonts w:hint="eastAsia"/>
                <w:bCs/>
                <w:color w:val="auto"/>
                <w:sz w:val="24"/>
                <w:lang w:val="en-US" w:eastAsia="zh-CN"/>
              </w:rPr>
              <w:t>6其他水的处理、利用与分配－全部</w:t>
            </w:r>
            <w:r>
              <w:rPr>
                <w:rFonts w:hint="eastAsia"/>
                <w:bCs/>
                <w:color w:val="auto"/>
                <w:sz w:val="24"/>
                <w:lang w:eastAsia="zh-CN" w:bidi="zh-TW"/>
              </w:rPr>
              <w:t>”</w:t>
            </w:r>
            <w:r>
              <w:rPr>
                <w:bCs/>
                <w:color w:val="auto"/>
                <w:sz w:val="24"/>
                <w:lang w:bidi="zh-TW"/>
              </w:rPr>
              <w:t>，需编制环境影响评价报告表。因此，</w:t>
            </w:r>
            <w:r>
              <w:rPr>
                <w:rFonts w:hint="eastAsia"/>
                <w:bCs/>
                <w:color w:val="auto"/>
                <w:sz w:val="24"/>
                <w:lang w:eastAsia="zh-CN"/>
              </w:rPr>
              <w:t>杭锦旗多丰长绿种植专业合作社</w:t>
            </w:r>
            <w:r>
              <w:rPr>
                <w:bCs/>
                <w:color w:val="auto"/>
                <w:sz w:val="24"/>
                <w:lang w:bidi="zh-TW"/>
              </w:rPr>
              <w:t>委托我公司承担了本项目的环境影响评价工作。接到委托后，我</w:t>
            </w:r>
            <w:r>
              <w:rPr>
                <w:rFonts w:hint="eastAsia"/>
                <w:bCs/>
                <w:color w:val="auto"/>
                <w:sz w:val="24"/>
                <w:lang w:bidi="zh-TW"/>
              </w:rPr>
              <w:t>公司</w:t>
            </w:r>
            <w:r>
              <w:rPr>
                <w:bCs/>
                <w:color w:val="auto"/>
                <w:sz w:val="24"/>
                <w:lang w:bidi="zh-TW"/>
              </w:rPr>
              <w:t>第一时间进行现场踏勘、必要的现状监测及工程分析，依据《建设项目环境影响报告表编制技术指南</w:t>
            </w:r>
            <w:r>
              <w:rPr>
                <w:rFonts w:hint="eastAsia"/>
                <w:bCs/>
                <w:color w:val="auto"/>
                <w:sz w:val="24"/>
                <w:lang w:bidi="zh-TW"/>
              </w:rPr>
              <w:t>（</w:t>
            </w:r>
            <w:r>
              <w:rPr>
                <w:bCs/>
                <w:color w:val="auto"/>
                <w:sz w:val="24"/>
                <w:lang w:bidi="zh-TW"/>
              </w:rPr>
              <w:t>污染影响类</w:t>
            </w:r>
            <w:r>
              <w:rPr>
                <w:rFonts w:hint="eastAsia"/>
                <w:bCs/>
                <w:color w:val="auto"/>
                <w:sz w:val="24"/>
                <w:lang w:bidi="zh-TW"/>
              </w:rPr>
              <w:t>）（</w:t>
            </w:r>
            <w:r>
              <w:rPr>
                <w:bCs/>
                <w:color w:val="auto"/>
                <w:sz w:val="24"/>
                <w:lang w:bidi="zh-TW"/>
              </w:rPr>
              <w:t>试行</w:t>
            </w:r>
            <w:r>
              <w:rPr>
                <w:rFonts w:hint="eastAsia"/>
                <w:bCs/>
                <w:color w:val="auto"/>
                <w:sz w:val="24"/>
                <w:lang w:bidi="zh-TW"/>
              </w:rPr>
              <w:t>）</w:t>
            </w:r>
            <w:r>
              <w:rPr>
                <w:bCs/>
                <w:color w:val="auto"/>
                <w:sz w:val="24"/>
                <w:lang w:bidi="zh-TW"/>
              </w:rPr>
              <w:t>》的要求编制完成了本项目的环境影响评价报告表。</w:t>
            </w:r>
          </w:p>
          <w:p w14:paraId="28145A15">
            <w:pPr>
              <w:spacing w:line="360" w:lineRule="auto"/>
              <w:jc w:val="left"/>
              <w:rPr>
                <w:b/>
                <w:bCs/>
                <w:color w:val="auto"/>
                <w:sz w:val="24"/>
              </w:rPr>
            </w:pPr>
            <w:r>
              <w:rPr>
                <w:b/>
                <w:bCs/>
                <w:color w:val="auto"/>
                <w:sz w:val="24"/>
              </w:rPr>
              <w:t>2</w:t>
            </w:r>
            <w:r>
              <w:rPr>
                <w:rFonts w:hint="eastAsia"/>
                <w:b/>
                <w:bCs/>
                <w:color w:val="auto"/>
                <w:sz w:val="24"/>
              </w:rPr>
              <w:t>.</w:t>
            </w:r>
            <w:r>
              <w:rPr>
                <w:b/>
                <w:bCs/>
                <w:color w:val="auto"/>
                <w:sz w:val="24"/>
              </w:rPr>
              <w:t>建设内容</w:t>
            </w:r>
          </w:p>
          <w:p w14:paraId="2FD09BD1">
            <w:pPr>
              <w:spacing w:line="360" w:lineRule="auto"/>
              <w:ind w:firstLine="482" w:firstLineChars="200"/>
              <w:jc w:val="left"/>
              <w:rPr>
                <w:rFonts w:hint="eastAsia" w:eastAsia="宋体"/>
                <w:bCs/>
                <w:color w:val="auto"/>
                <w:sz w:val="24"/>
                <w:lang w:eastAsia="zh-CN"/>
              </w:rPr>
            </w:pPr>
            <w:r>
              <w:rPr>
                <w:b/>
                <w:bCs/>
                <w:color w:val="auto"/>
                <w:sz w:val="24"/>
              </w:rPr>
              <w:t>项目名称：</w:t>
            </w:r>
            <w:r>
              <w:rPr>
                <w:rFonts w:hint="eastAsia"/>
                <w:bCs/>
                <w:color w:val="auto"/>
                <w:sz w:val="24"/>
                <w:lang w:eastAsia="zh-CN"/>
              </w:rPr>
              <w:t>杭锦旗多丰长绿种植专业合作社酱腌菜加工厂污水处理项目</w:t>
            </w:r>
          </w:p>
          <w:p w14:paraId="70F65FA3">
            <w:pPr>
              <w:spacing w:line="360" w:lineRule="auto"/>
              <w:ind w:firstLine="482" w:firstLineChars="200"/>
              <w:jc w:val="left"/>
              <w:rPr>
                <w:rFonts w:hint="eastAsia" w:eastAsia="宋体"/>
                <w:bCs/>
                <w:color w:val="auto"/>
                <w:sz w:val="24"/>
                <w:lang w:eastAsia="zh-CN"/>
              </w:rPr>
            </w:pPr>
            <w:r>
              <w:rPr>
                <w:b/>
                <w:bCs/>
                <w:color w:val="auto"/>
                <w:sz w:val="24"/>
              </w:rPr>
              <w:t>建设单位：</w:t>
            </w:r>
            <w:r>
              <w:rPr>
                <w:rFonts w:hint="eastAsia"/>
                <w:bCs/>
                <w:color w:val="auto"/>
                <w:sz w:val="24"/>
                <w:lang w:eastAsia="zh-CN"/>
              </w:rPr>
              <w:t>杭锦旗多丰长绿种植专业合作社</w:t>
            </w:r>
          </w:p>
          <w:p w14:paraId="36BFF1B1">
            <w:pPr>
              <w:spacing w:line="360" w:lineRule="auto"/>
              <w:ind w:firstLine="482" w:firstLineChars="200"/>
              <w:jc w:val="left"/>
              <w:rPr>
                <w:rFonts w:hint="eastAsia" w:eastAsia="宋体"/>
                <w:b/>
                <w:bCs/>
                <w:color w:val="auto"/>
                <w:sz w:val="24"/>
                <w:lang w:val="en-US" w:eastAsia="zh-CN"/>
              </w:rPr>
            </w:pPr>
            <w:r>
              <w:rPr>
                <w:b/>
                <w:bCs/>
                <w:color w:val="auto"/>
                <w:sz w:val="24"/>
              </w:rPr>
              <w:t>建设性质：</w:t>
            </w:r>
            <w:r>
              <w:rPr>
                <w:rFonts w:hint="eastAsia"/>
                <w:b w:val="0"/>
                <w:bCs w:val="0"/>
                <w:color w:val="auto"/>
                <w:sz w:val="24"/>
                <w:lang w:val="en-US" w:eastAsia="zh-CN"/>
              </w:rPr>
              <w:t>新建</w:t>
            </w:r>
          </w:p>
          <w:p w14:paraId="4A58C1F9">
            <w:pPr>
              <w:spacing w:line="360" w:lineRule="auto"/>
              <w:ind w:firstLine="482" w:firstLineChars="200"/>
              <w:jc w:val="left"/>
              <w:rPr>
                <w:bCs/>
                <w:color w:val="auto"/>
                <w:sz w:val="24"/>
              </w:rPr>
            </w:pPr>
            <w:r>
              <w:rPr>
                <w:b/>
                <w:bCs/>
                <w:color w:val="auto"/>
                <w:sz w:val="24"/>
              </w:rPr>
              <w:t>建设地点：</w:t>
            </w:r>
            <w:bookmarkStart w:id="2" w:name="_Hlk172558676"/>
            <w:r>
              <w:rPr>
                <w:bCs/>
                <w:color w:val="auto"/>
                <w:sz w:val="24"/>
              </w:rPr>
              <w:t>项目位于内蒙古自治区鄂尔多斯市</w:t>
            </w:r>
            <w:bookmarkStart w:id="3" w:name="_Hlk179453243"/>
            <w:r>
              <w:rPr>
                <w:bCs/>
                <w:color w:val="auto"/>
                <w:sz w:val="24"/>
              </w:rPr>
              <w:t>杭锦旗锡尼镇</w:t>
            </w:r>
            <w:bookmarkEnd w:id="2"/>
            <w:bookmarkEnd w:id="3"/>
            <w:r>
              <w:rPr>
                <w:rFonts w:hint="eastAsia"/>
                <w:bCs/>
                <w:color w:val="auto"/>
                <w:sz w:val="24"/>
                <w:lang w:eastAsia="zh-CN"/>
              </w:rPr>
              <w:t>中图村</w:t>
            </w:r>
            <w:r>
              <w:rPr>
                <w:rFonts w:hint="eastAsia"/>
                <w:bCs/>
                <w:color w:val="auto"/>
                <w:sz w:val="24"/>
              </w:rPr>
              <w:t>，</w:t>
            </w:r>
            <w:r>
              <w:rPr>
                <w:rFonts w:hint="eastAsia"/>
                <w:bCs/>
                <w:color w:val="auto"/>
                <w:sz w:val="24"/>
                <w:lang w:val="en-US" w:eastAsia="zh-CN"/>
              </w:rPr>
              <w:t>项目</w:t>
            </w:r>
            <w:r>
              <w:rPr>
                <w:bCs/>
                <w:color w:val="auto"/>
                <w:sz w:val="24"/>
              </w:rPr>
              <w:t>中心地理坐标为：E10</w:t>
            </w:r>
            <w:r>
              <w:rPr>
                <w:rFonts w:hint="eastAsia"/>
                <w:bCs/>
                <w:color w:val="auto"/>
                <w:sz w:val="24"/>
                <w:lang w:val="en-US" w:eastAsia="zh-CN"/>
              </w:rPr>
              <w:t>9</w:t>
            </w:r>
            <w:r>
              <w:rPr>
                <w:bCs/>
                <w:color w:val="auto"/>
                <w:sz w:val="24"/>
              </w:rPr>
              <w:t>°</w:t>
            </w:r>
            <w:r>
              <w:rPr>
                <w:rFonts w:hint="eastAsia"/>
                <w:bCs/>
                <w:color w:val="auto"/>
                <w:sz w:val="24"/>
                <w:lang w:val="en-US" w:eastAsia="zh-CN"/>
              </w:rPr>
              <w:t>1</w:t>
            </w:r>
            <w:r>
              <w:rPr>
                <w:bCs/>
                <w:color w:val="auto"/>
                <w:sz w:val="24"/>
              </w:rPr>
              <w:t>'</w:t>
            </w:r>
            <w:r>
              <w:rPr>
                <w:rFonts w:hint="eastAsia"/>
                <w:bCs/>
                <w:color w:val="auto"/>
                <w:sz w:val="24"/>
                <w:lang w:val="en-US" w:eastAsia="zh-CN"/>
              </w:rPr>
              <w:t>40.659</w:t>
            </w:r>
            <w:r>
              <w:rPr>
                <w:bCs/>
                <w:color w:val="auto"/>
                <w:sz w:val="24"/>
              </w:rPr>
              <w:t>"，N</w:t>
            </w:r>
            <w:r>
              <w:rPr>
                <w:rFonts w:hint="eastAsia"/>
                <w:bCs/>
                <w:color w:val="auto"/>
                <w:sz w:val="24"/>
              </w:rPr>
              <w:t>39</w:t>
            </w:r>
            <w:r>
              <w:rPr>
                <w:bCs/>
                <w:color w:val="auto"/>
                <w:sz w:val="24"/>
              </w:rPr>
              <w:t>°</w:t>
            </w:r>
            <w:r>
              <w:rPr>
                <w:rFonts w:hint="eastAsia"/>
                <w:bCs/>
                <w:color w:val="auto"/>
                <w:sz w:val="24"/>
                <w:lang w:val="en-US" w:eastAsia="zh-CN"/>
              </w:rPr>
              <w:t>4</w:t>
            </w:r>
            <w:r>
              <w:rPr>
                <w:rFonts w:hint="eastAsia"/>
                <w:bCs/>
                <w:color w:val="auto"/>
                <w:sz w:val="24"/>
              </w:rPr>
              <w:t>0</w:t>
            </w:r>
            <w:r>
              <w:rPr>
                <w:bCs/>
                <w:color w:val="auto"/>
                <w:sz w:val="24"/>
              </w:rPr>
              <w:t>'</w:t>
            </w:r>
            <w:r>
              <w:rPr>
                <w:rFonts w:hint="eastAsia"/>
                <w:bCs/>
                <w:color w:val="auto"/>
                <w:sz w:val="24"/>
                <w:lang w:val="en-US" w:eastAsia="zh-CN"/>
              </w:rPr>
              <w:t>52.624</w:t>
            </w:r>
            <w:r>
              <w:rPr>
                <w:bCs/>
                <w:color w:val="auto"/>
                <w:sz w:val="24"/>
              </w:rPr>
              <w:t>"。项目地理位置图见附图2。</w:t>
            </w:r>
          </w:p>
          <w:p w14:paraId="50895807">
            <w:pPr>
              <w:spacing w:line="360" w:lineRule="auto"/>
              <w:ind w:firstLine="482" w:firstLineChars="200"/>
              <w:jc w:val="left"/>
              <w:rPr>
                <w:b w:val="0"/>
                <w:bCs w:val="0"/>
                <w:color w:val="auto"/>
                <w:sz w:val="24"/>
              </w:rPr>
            </w:pPr>
            <w:r>
              <w:rPr>
                <w:b/>
                <w:bCs/>
                <w:color w:val="auto"/>
                <w:sz w:val="24"/>
              </w:rPr>
              <w:t>建设内容及规模：</w:t>
            </w:r>
            <w:r>
              <w:rPr>
                <w:rFonts w:hint="eastAsia"/>
                <w:b w:val="0"/>
                <w:bCs w:val="0"/>
                <w:color w:val="auto"/>
                <w:sz w:val="24"/>
                <w:lang w:val="en-US" w:eastAsia="zh-CN"/>
              </w:rPr>
              <w:t>本次主要埋设废水储罐设施1套</w:t>
            </w:r>
            <w:r>
              <w:rPr>
                <w:rFonts w:hint="eastAsia"/>
                <w:b w:val="0"/>
                <w:bCs w:val="0"/>
                <w:color w:val="auto"/>
                <w:sz w:val="24"/>
                <w:lang w:eastAsia="zh-CN"/>
              </w:rPr>
              <w:t>，</w:t>
            </w:r>
            <w:r>
              <w:rPr>
                <w:rFonts w:hint="eastAsia"/>
                <w:b w:val="0"/>
                <w:bCs w:val="0"/>
                <w:color w:val="auto"/>
                <w:sz w:val="24"/>
                <w:lang w:val="en-US" w:eastAsia="zh-CN"/>
              </w:rPr>
              <w:t>为3个30</w:t>
            </w:r>
            <w:r>
              <w:rPr>
                <w:rFonts w:hint="eastAsia"/>
                <w:b w:val="0"/>
                <w:bCs w:val="0"/>
                <w:color w:val="auto"/>
                <w:sz w:val="24"/>
                <w:vertAlign w:val="baseline"/>
                <w:lang w:val="en-US" w:eastAsia="zh-CN"/>
              </w:rPr>
              <w:t>m</w:t>
            </w:r>
            <w:r>
              <w:rPr>
                <w:rFonts w:hint="eastAsia"/>
                <w:b w:val="0"/>
                <w:bCs w:val="0"/>
                <w:color w:val="auto"/>
                <w:sz w:val="24"/>
                <w:vertAlign w:val="superscript"/>
                <w:lang w:val="en-US" w:eastAsia="zh-CN"/>
              </w:rPr>
              <w:t>3</w:t>
            </w:r>
            <w:r>
              <w:rPr>
                <w:rFonts w:hint="eastAsia"/>
                <w:b w:val="0"/>
                <w:bCs w:val="0"/>
                <w:color w:val="auto"/>
                <w:sz w:val="24"/>
                <w:lang w:val="en-US" w:eastAsia="zh-CN"/>
              </w:rPr>
              <w:t>废水储罐</w:t>
            </w:r>
            <w:r>
              <w:rPr>
                <w:b w:val="0"/>
                <w:bCs w:val="0"/>
                <w:color w:val="auto"/>
                <w:sz w:val="24"/>
              </w:rPr>
              <w:t>。</w:t>
            </w:r>
          </w:p>
          <w:p w14:paraId="4002D94A">
            <w:pPr>
              <w:spacing w:line="360" w:lineRule="auto"/>
              <w:ind w:firstLine="482" w:firstLineChars="200"/>
              <w:jc w:val="left"/>
              <w:rPr>
                <w:b/>
                <w:bCs/>
                <w:color w:val="auto"/>
                <w:sz w:val="24"/>
              </w:rPr>
            </w:pPr>
            <w:r>
              <w:rPr>
                <w:b/>
                <w:bCs/>
                <w:color w:val="auto"/>
                <w:sz w:val="24"/>
              </w:rPr>
              <w:t>占地面积：</w:t>
            </w:r>
            <w:r>
              <w:rPr>
                <w:color w:val="auto"/>
                <w:sz w:val="24"/>
              </w:rPr>
              <w:t>本项目占地面积</w:t>
            </w:r>
            <w:r>
              <w:rPr>
                <w:rFonts w:hint="eastAsia"/>
                <w:color w:val="auto"/>
                <w:sz w:val="24"/>
                <w:lang w:eastAsia="zh-CN"/>
              </w:rPr>
              <w:t>4196</w:t>
            </w:r>
            <w:r>
              <w:rPr>
                <w:rFonts w:hint="eastAsia"/>
                <w:color w:val="auto"/>
                <w:sz w:val="24"/>
                <w:vertAlign w:val="baseline"/>
                <w:lang w:eastAsia="zh-CN"/>
              </w:rPr>
              <w:t>m</w:t>
            </w:r>
            <w:r>
              <w:rPr>
                <w:rFonts w:hint="eastAsia"/>
                <w:color w:val="auto"/>
                <w:sz w:val="24"/>
                <w:vertAlign w:val="superscript"/>
                <w:lang w:eastAsia="zh-CN"/>
              </w:rPr>
              <w:t>2</w:t>
            </w:r>
            <w:r>
              <w:rPr>
                <w:color w:val="auto"/>
                <w:sz w:val="24"/>
              </w:rPr>
              <w:t>。</w:t>
            </w:r>
          </w:p>
          <w:p w14:paraId="4856B011">
            <w:pPr>
              <w:spacing w:line="360" w:lineRule="auto"/>
              <w:ind w:firstLine="482" w:firstLineChars="200"/>
              <w:jc w:val="left"/>
              <w:rPr>
                <w:b/>
                <w:bCs/>
                <w:iCs/>
                <w:color w:val="auto"/>
                <w:sz w:val="24"/>
              </w:rPr>
            </w:pPr>
            <w:r>
              <w:rPr>
                <w:b/>
                <w:bCs/>
                <w:color w:val="auto"/>
                <w:sz w:val="24"/>
              </w:rPr>
              <w:t>项目投资：</w:t>
            </w:r>
            <w:r>
              <w:rPr>
                <w:rFonts w:hint="eastAsia"/>
                <w:b w:val="0"/>
                <w:bCs w:val="0"/>
                <w:color w:val="auto"/>
                <w:sz w:val="24"/>
                <w:lang w:val="en-US" w:eastAsia="zh-CN"/>
              </w:rPr>
              <w:t>本次</w:t>
            </w:r>
            <w:r>
              <w:rPr>
                <w:bCs/>
                <w:color w:val="auto"/>
                <w:sz w:val="24"/>
              </w:rPr>
              <w:t>总投资为</w:t>
            </w:r>
            <w:r>
              <w:rPr>
                <w:rFonts w:hint="eastAsia"/>
                <w:bCs/>
                <w:color w:val="auto"/>
                <w:sz w:val="24"/>
              </w:rPr>
              <w:t>20</w:t>
            </w:r>
            <w:r>
              <w:rPr>
                <w:bCs/>
                <w:color w:val="auto"/>
                <w:sz w:val="24"/>
              </w:rPr>
              <w:t>万元，</w:t>
            </w:r>
            <w:r>
              <w:rPr>
                <w:rFonts w:hint="eastAsia"/>
                <w:bCs/>
                <w:color w:val="auto"/>
                <w:sz w:val="24"/>
                <w:lang w:val="en-US" w:eastAsia="zh-CN"/>
              </w:rPr>
              <w:t>全部为</w:t>
            </w:r>
            <w:r>
              <w:rPr>
                <w:bCs/>
                <w:color w:val="auto"/>
                <w:sz w:val="24"/>
              </w:rPr>
              <w:t>环保投资。</w:t>
            </w:r>
          </w:p>
          <w:p w14:paraId="40AD6141">
            <w:pPr>
              <w:spacing w:line="360" w:lineRule="auto"/>
              <w:ind w:firstLine="480" w:firstLineChars="200"/>
              <w:jc w:val="left"/>
              <w:rPr>
                <w:bCs/>
                <w:color w:val="auto"/>
                <w:sz w:val="24"/>
              </w:rPr>
            </w:pPr>
            <w:r>
              <w:rPr>
                <w:bCs/>
                <w:color w:val="auto"/>
                <w:sz w:val="24"/>
              </w:rPr>
              <w:t>本项目工程具体组成见表2-1。</w:t>
            </w:r>
          </w:p>
          <w:p w14:paraId="5678D5BA">
            <w:pPr>
              <w:pStyle w:val="26"/>
              <w:rPr>
                <w:color w:val="auto"/>
              </w:rPr>
            </w:pPr>
            <w:r>
              <w:rPr>
                <w:color w:val="auto"/>
              </w:rPr>
              <w:t>表2-1 项目组成一览表</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301"/>
              <w:gridCol w:w="5214"/>
              <w:gridCol w:w="1064"/>
            </w:tblGrid>
            <w:tr w14:paraId="2D6D19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tcMar>
                    <w:left w:w="28" w:type="dxa"/>
                    <w:right w:w="28" w:type="dxa"/>
                  </w:tcMar>
                  <w:vAlign w:val="center"/>
                </w:tcPr>
                <w:p w14:paraId="74AC159C">
                  <w:pPr>
                    <w:adjustRightInd w:val="0"/>
                    <w:snapToGrid w:val="0"/>
                    <w:jc w:val="center"/>
                    <w:rPr>
                      <w:color w:val="auto"/>
                      <w:szCs w:val="21"/>
                    </w:rPr>
                  </w:pPr>
                  <w:r>
                    <w:rPr>
                      <w:color w:val="auto"/>
                      <w:szCs w:val="21"/>
                    </w:rPr>
                    <w:t>类别</w:t>
                  </w:r>
                </w:p>
              </w:tc>
              <w:tc>
                <w:tcPr>
                  <w:tcW w:w="1301" w:type="dxa"/>
                  <w:tcMar>
                    <w:left w:w="28" w:type="dxa"/>
                    <w:right w:w="28" w:type="dxa"/>
                  </w:tcMar>
                  <w:vAlign w:val="center"/>
                </w:tcPr>
                <w:p w14:paraId="08C60819">
                  <w:pPr>
                    <w:adjustRightInd w:val="0"/>
                    <w:snapToGrid w:val="0"/>
                    <w:jc w:val="center"/>
                    <w:rPr>
                      <w:color w:val="auto"/>
                      <w:szCs w:val="21"/>
                    </w:rPr>
                  </w:pPr>
                  <w:r>
                    <w:rPr>
                      <w:color w:val="auto"/>
                      <w:szCs w:val="21"/>
                    </w:rPr>
                    <w:t>工程名称</w:t>
                  </w:r>
                </w:p>
              </w:tc>
              <w:tc>
                <w:tcPr>
                  <w:tcW w:w="5214" w:type="dxa"/>
                  <w:tcMar>
                    <w:left w:w="28" w:type="dxa"/>
                    <w:right w:w="28" w:type="dxa"/>
                  </w:tcMar>
                  <w:vAlign w:val="center"/>
                </w:tcPr>
                <w:p w14:paraId="30315577">
                  <w:pPr>
                    <w:adjustRightInd w:val="0"/>
                    <w:snapToGrid w:val="0"/>
                    <w:jc w:val="center"/>
                    <w:rPr>
                      <w:color w:val="auto"/>
                      <w:szCs w:val="21"/>
                    </w:rPr>
                  </w:pPr>
                  <w:r>
                    <w:rPr>
                      <w:color w:val="auto"/>
                      <w:szCs w:val="21"/>
                    </w:rPr>
                    <w:t>建设内容及规模</w:t>
                  </w:r>
                </w:p>
              </w:tc>
              <w:tc>
                <w:tcPr>
                  <w:tcW w:w="1064" w:type="dxa"/>
                  <w:vAlign w:val="center"/>
                </w:tcPr>
                <w:p w14:paraId="6FA87A6A">
                  <w:pPr>
                    <w:adjustRightInd w:val="0"/>
                    <w:snapToGrid w:val="0"/>
                    <w:jc w:val="center"/>
                    <w:rPr>
                      <w:color w:val="auto"/>
                      <w:szCs w:val="21"/>
                    </w:rPr>
                  </w:pPr>
                  <w:r>
                    <w:rPr>
                      <w:color w:val="auto"/>
                      <w:szCs w:val="21"/>
                    </w:rPr>
                    <w:t>备注</w:t>
                  </w:r>
                </w:p>
              </w:tc>
            </w:tr>
            <w:tr w14:paraId="7DED99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restart"/>
                  <w:tcMar>
                    <w:left w:w="28" w:type="dxa"/>
                    <w:right w:w="28" w:type="dxa"/>
                  </w:tcMar>
                  <w:vAlign w:val="center"/>
                </w:tcPr>
                <w:p w14:paraId="4D7B6AAE">
                  <w:pPr>
                    <w:adjustRightInd w:val="0"/>
                    <w:snapToGrid w:val="0"/>
                    <w:jc w:val="center"/>
                    <w:rPr>
                      <w:color w:val="auto"/>
                      <w:szCs w:val="21"/>
                    </w:rPr>
                  </w:pPr>
                  <w:r>
                    <w:rPr>
                      <w:color w:val="auto"/>
                      <w:szCs w:val="21"/>
                    </w:rPr>
                    <w:t>主体</w:t>
                  </w:r>
                </w:p>
                <w:p w14:paraId="12B8713A">
                  <w:pPr>
                    <w:adjustRightInd w:val="0"/>
                    <w:snapToGrid w:val="0"/>
                    <w:jc w:val="center"/>
                    <w:rPr>
                      <w:color w:val="auto"/>
                      <w:szCs w:val="21"/>
                    </w:rPr>
                  </w:pPr>
                  <w:r>
                    <w:rPr>
                      <w:color w:val="auto"/>
                      <w:szCs w:val="21"/>
                    </w:rPr>
                    <w:t>工程</w:t>
                  </w:r>
                </w:p>
              </w:tc>
              <w:tc>
                <w:tcPr>
                  <w:tcW w:w="1301" w:type="dxa"/>
                  <w:tcMar>
                    <w:left w:w="28" w:type="dxa"/>
                    <w:right w:w="28" w:type="dxa"/>
                  </w:tcMar>
                  <w:vAlign w:val="center"/>
                </w:tcPr>
                <w:p w14:paraId="48DC73A5">
                  <w:pPr>
                    <w:adjustRightInd w:val="0"/>
                    <w:snapToGrid w:val="0"/>
                    <w:jc w:val="center"/>
                    <w:rPr>
                      <w:rFonts w:hint="default" w:eastAsia="宋体"/>
                      <w:color w:val="auto"/>
                      <w:szCs w:val="21"/>
                      <w:lang w:val="en-US" w:eastAsia="zh-CN"/>
                    </w:rPr>
                  </w:pPr>
                  <w:r>
                    <w:rPr>
                      <w:rFonts w:hint="eastAsia"/>
                      <w:color w:val="auto"/>
                      <w:szCs w:val="21"/>
                      <w:lang w:val="en-US" w:eastAsia="zh-CN"/>
                    </w:rPr>
                    <w:t>生产车间</w:t>
                  </w:r>
                </w:p>
              </w:tc>
              <w:tc>
                <w:tcPr>
                  <w:tcW w:w="5214" w:type="dxa"/>
                  <w:tcMar>
                    <w:left w:w="28" w:type="dxa"/>
                    <w:right w:w="28" w:type="dxa"/>
                  </w:tcMar>
                  <w:vAlign w:val="center"/>
                </w:tcPr>
                <w:p w14:paraId="4C4D55E9">
                  <w:pPr>
                    <w:adjustRightInd w:val="0"/>
                    <w:snapToGrid w:val="0"/>
                    <w:rPr>
                      <w:color w:val="auto"/>
                      <w:szCs w:val="21"/>
                    </w:rPr>
                  </w:pPr>
                  <w:r>
                    <w:rPr>
                      <w:rFonts w:hint="eastAsia"/>
                      <w:color w:val="auto"/>
                      <w:szCs w:val="21"/>
                      <w:lang w:val="en-US" w:eastAsia="zh-CN"/>
                    </w:rPr>
                    <w:t>酱腌菜加工厂已建生产车间1座，1F，局部地下，建筑面积3000</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，内部分隔为385</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原辅材料库、200</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漂烫车间、210</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洗菜车间、38</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生腌生产线进料、576</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发酵池（地下）、903</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二次发酵车间、50</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洗酸菜车间、271</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包装车间、191</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成品库、98</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冷库、15</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维修车间、25</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更衣室、38</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二次发酵桶库房</w:t>
                  </w:r>
                  <w:r>
                    <w:rPr>
                      <w:color w:val="auto"/>
                      <w:szCs w:val="21"/>
                    </w:rPr>
                    <w:t>。</w:t>
                  </w:r>
                </w:p>
              </w:tc>
              <w:tc>
                <w:tcPr>
                  <w:tcW w:w="1064" w:type="dxa"/>
                  <w:vAlign w:val="center"/>
                </w:tcPr>
                <w:p w14:paraId="4DE5A4BC">
                  <w:pPr>
                    <w:adjustRightInd w:val="0"/>
                    <w:snapToGrid w:val="0"/>
                    <w:jc w:val="center"/>
                    <w:rPr>
                      <w:color w:val="auto"/>
                      <w:szCs w:val="21"/>
                    </w:rPr>
                  </w:pPr>
                  <w:r>
                    <w:rPr>
                      <w:rFonts w:hint="eastAsia"/>
                      <w:color w:val="auto"/>
                      <w:szCs w:val="21"/>
                    </w:rPr>
                    <w:t>已建</w:t>
                  </w:r>
                </w:p>
              </w:tc>
            </w:tr>
            <w:tr w14:paraId="5B9DC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1F13E454">
                  <w:pPr>
                    <w:adjustRightInd w:val="0"/>
                    <w:snapToGrid w:val="0"/>
                    <w:jc w:val="center"/>
                    <w:rPr>
                      <w:color w:val="auto"/>
                      <w:szCs w:val="21"/>
                    </w:rPr>
                  </w:pPr>
                </w:p>
              </w:tc>
              <w:tc>
                <w:tcPr>
                  <w:tcW w:w="1301" w:type="dxa"/>
                  <w:tcMar>
                    <w:left w:w="28" w:type="dxa"/>
                    <w:right w:w="28" w:type="dxa"/>
                  </w:tcMar>
                  <w:vAlign w:val="center"/>
                </w:tcPr>
                <w:p w14:paraId="592B3511">
                  <w:pPr>
                    <w:adjustRightInd w:val="0"/>
                    <w:snapToGrid w:val="0"/>
                    <w:jc w:val="center"/>
                    <w:rPr>
                      <w:color w:val="auto"/>
                      <w:szCs w:val="21"/>
                    </w:rPr>
                  </w:pPr>
                  <w:r>
                    <w:rPr>
                      <w:rFonts w:hint="eastAsia"/>
                      <w:color w:val="auto"/>
                      <w:szCs w:val="21"/>
                      <w:lang w:val="en-US" w:eastAsia="zh-CN"/>
                    </w:rPr>
                    <w:t>废水储罐</w:t>
                  </w:r>
                  <w:r>
                    <w:rPr>
                      <w:rFonts w:hint="eastAsia"/>
                      <w:color w:val="auto"/>
                      <w:szCs w:val="21"/>
                    </w:rPr>
                    <w:t>设备</w:t>
                  </w:r>
                </w:p>
              </w:tc>
              <w:tc>
                <w:tcPr>
                  <w:tcW w:w="5214" w:type="dxa"/>
                  <w:tcMar>
                    <w:left w:w="28" w:type="dxa"/>
                    <w:right w:w="28" w:type="dxa"/>
                  </w:tcMar>
                  <w:vAlign w:val="center"/>
                </w:tcPr>
                <w:p w14:paraId="2CC255BE">
                  <w:pPr>
                    <w:adjustRightInd w:val="0"/>
                    <w:snapToGrid w:val="0"/>
                    <w:rPr>
                      <w:rFonts w:hint="default"/>
                      <w:color w:val="auto"/>
                      <w:szCs w:val="21"/>
                      <w:highlight w:val="yellow"/>
                      <w:lang w:val="en-US" w:eastAsia="zh-CN"/>
                    </w:rPr>
                  </w:pPr>
                  <w:r>
                    <w:rPr>
                      <w:rFonts w:hint="eastAsia"/>
                      <w:color w:val="auto"/>
                      <w:szCs w:val="21"/>
                      <w:lang w:val="en-US" w:eastAsia="zh-CN"/>
                    </w:rPr>
                    <w:t>厂房东侧地下设置废水储罐3个，容积均为</w:t>
                  </w:r>
                  <w:r>
                    <w:rPr>
                      <w:rFonts w:hint="eastAsia"/>
                      <w:color w:val="auto"/>
                      <w:szCs w:val="21"/>
                      <w:highlight w:val="none"/>
                      <w:lang w:val="en-US" w:eastAsia="zh-CN"/>
                    </w:rPr>
                    <w:t>30</w:t>
                  </w:r>
                  <w:r>
                    <w:rPr>
                      <w:rFonts w:hint="eastAsia"/>
                      <w:color w:val="auto"/>
                      <w:szCs w:val="21"/>
                      <w:highlight w:val="none"/>
                      <w:vertAlign w:val="baseline"/>
                      <w:lang w:val="en-US" w:eastAsia="zh-CN"/>
                    </w:rPr>
                    <w:t>m</w:t>
                  </w:r>
                  <w:r>
                    <w:rPr>
                      <w:rFonts w:hint="eastAsia"/>
                      <w:color w:val="auto"/>
                      <w:szCs w:val="21"/>
                      <w:highlight w:val="none"/>
                      <w:vertAlign w:val="superscript"/>
                      <w:lang w:val="en-US" w:eastAsia="zh-CN"/>
                    </w:rPr>
                    <w:t>3</w:t>
                  </w:r>
                  <w:r>
                    <w:rPr>
                      <w:rFonts w:hint="eastAsia"/>
                      <w:color w:val="auto"/>
                      <w:szCs w:val="21"/>
                      <w:highlight w:val="none"/>
                      <w:lang w:val="en-US" w:eastAsia="zh-CN"/>
                    </w:rPr>
                    <w:t>，占地面积50</w:t>
                  </w:r>
                  <w:r>
                    <w:rPr>
                      <w:rFonts w:hint="eastAsia"/>
                      <w:color w:val="auto"/>
                      <w:szCs w:val="21"/>
                      <w:highlight w:val="none"/>
                      <w:vertAlign w:val="baseline"/>
                      <w:lang w:val="en-US" w:eastAsia="zh-CN"/>
                    </w:rPr>
                    <w:t>m</w:t>
                  </w:r>
                  <w:r>
                    <w:rPr>
                      <w:rFonts w:hint="eastAsia"/>
                      <w:color w:val="auto"/>
                      <w:szCs w:val="21"/>
                      <w:highlight w:val="none"/>
                      <w:vertAlign w:val="superscript"/>
                      <w:lang w:val="en-US" w:eastAsia="zh-CN"/>
                    </w:rPr>
                    <w:t>2</w:t>
                  </w:r>
                  <w:r>
                    <w:rPr>
                      <w:rFonts w:hint="eastAsia"/>
                      <w:color w:val="auto"/>
                      <w:szCs w:val="21"/>
                      <w:highlight w:val="none"/>
                      <w:lang w:val="en-US" w:eastAsia="zh-CN"/>
                    </w:rPr>
                    <w:t>。</w:t>
                  </w:r>
                </w:p>
                <w:p w14:paraId="57C3116C">
                  <w:pPr>
                    <w:adjustRightInd w:val="0"/>
                    <w:snapToGrid w:val="0"/>
                    <w:rPr>
                      <w:rFonts w:hint="eastAsia"/>
                      <w:color w:val="auto"/>
                      <w:szCs w:val="21"/>
                      <w:highlight w:val="none"/>
                      <w:lang w:val="en-US" w:eastAsia="zh-CN"/>
                    </w:rPr>
                  </w:pPr>
                  <w:r>
                    <w:rPr>
                      <w:rFonts w:hint="eastAsia"/>
                      <w:color w:val="auto"/>
                      <w:szCs w:val="21"/>
                      <w:highlight w:val="none"/>
                      <w:lang w:val="en-US" w:eastAsia="zh-CN"/>
                    </w:rPr>
                    <w:t>新鲜蔬菜漂烫清洗废水经1#废水储罐收集冷却后，拉运至周边农田，用于农田灌溉。</w:t>
                  </w:r>
                </w:p>
                <w:p w14:paraId="699FC31C">
                  <w:pPr>
                    <w:adjustRightInd w:val="0"/>
                    <w:snapToGrid w:val="0"/>
                    <w:rPr>
                      <w:rFonts w:hint="eastAsia"/>
                      <w:color w:val="auto"/>
                      <w:szCs w:val="21"/>
                      <w:highlight w:val="none"/>
                      <w:lang w:val="en-US" w:eastAsia="zh-CN"/>
                    </w:rPr>
                  </w:pPr>
                  <w:r>
                    <w:rPr>
                      <w:rFonts w:hint="eastAsia"/>
                      <w:color w:val="auto"/>
                      <w:szCs w:val="21"/>
                      <w:highlight w:val="none"/>
                      <w:lang w:val="en-US" w:eastAsia="zh-CN"/>
                    </w:rPr>
                    <w:t>酸菜清洗废水经2#废水储罐收集后，定期拉运至杭锦旗锡尼镇污水处理厂进行处理，不外排。</w:t>
                  </w:r>
                </w:p>
                <w:p w14:paraId="655B4067">
                  <w:pPr>
                    <w:adjustRightInd w:val="0"/>
                    <w:snapToGrid w:val="0"/>
                    <w:rPr>
                      <w:rFonts w:hint="default"/>
                      <w:color w:val="auto"/>
                      <w:szCs w:val="21"/>
                      <w:highlight w:val="none"/>
                      <w:lang w:val="en-US" w:eastAsia="zh-CN"/>
                    </w:rPr>
                  </w:pPr>
                  <w:r>
                    <w:rPr>
                      <w:rFonts w:hint="default"/>
                      <w:color w:val="auto"/>
                      <w:szCs w:val="21"/>
                      <w:highlight w:val="none"/>
                      <w:lang w:val="en-US" w:eastAsia="zh-CN"/>
                    </w:rPr>
                    <w:t>酸菜发酵废水经</w:t>
                  </w:r>
                  <w:r>
                    <w:rPr>
                      <w:rFonts w:hint="eastAsia"/>
                      <w:color w:val="auto"/>
                      <w:szCs w:val="21"/>
                      <w:highlight w:val="none"/>
                      <w:lang w:val="en-US" w:eastAsia="zh-CN"/>
                    </w:rPr>
                    <w:t>3#废水储罐</w:t>
                  </w:r>
                  <w:r>
                    <w:rPr>
                      <w:rFonts w:hint="default"/>
                      <w:color w:val="auto"/>
                      <w:szCs w:val="21"/>
                      <w:highlight w:val="none"/>
                      <w:lang w:val="en-US" w:eastAsia="zh-CN"/>
                    </w:rPr>
                    <w:t>收集后，定期拉运至蒙苏经济开发区零碳产业园工业污水处理厂处理，不外排。</w:t>
                  </w:r>
                </w:p>
              </w:tc>
              <w:tc>
                <w:tcPr>
                  <w:tcW w:w="1064" w:type="dxa"/>
                  <w:vAlign w:val="center"/>
                </w:tcPr>
                <w:p w14:paraId="310D05A1">
                  <w:pPr>
                    <w:adjustRightInd w:val="0"/>
                    <w:snapToGrid w:val="0"/>
                    <w:jc w:val="center"/>
                    <w:rPr>
                      <w:rFonts w:hint="eastAsia" w:eastAsia="宋体"/>
                      <w:color w:val="auto"/>
                      <w:szCs w:val="21"/>
                      <w:lang w:eastAsia="zh-CN"/>
                    </w:rPr>
                  </w:pPr>
                  <w:r>
                    <w:rPr>
                      <w:rFonts w:hint="eastAsia"/>
                      <w:color w:val="auto"/>
                      <w:szCs w:val="21"/>
                      <w:lang w:val="en-US" w:eastAsia="zh-CN"/>
                    </w:rPr>
                    <w:t>新建</w:t>
                  </w:r>
                </w:p>
              </w:tc>
            </w:tr>
            <w:tr w14:paraId="5017F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tcMar>
                    <w:left w:w="28" w:type="dxa"/>
                    <w:right w:w="28" w:type="dxa"/>
                  </w:tcMar>
                  <w:vAlign w:val="center"/>
                </w:tcPr>
                <w:p w14:paraId="214ED420">
                  <w:pPr>
                    <w:adjustRightInd w:val="0"/>
                    <w:snapToGrid w:val="0"/>
                    <w:jc w:val="center"/>
                    <w:rPr>
                      <w:color w:val="auto"/>
                      <w:szCs w:val="21"/>
                    </w:rPr>
                  </w:pPr>
                  <w:r>
                    <w:rPr>
                      <w:color w:val="auto"/>
                      <w:szCs w:val="21"/>
                    </w:rPr>
                    <w:t>辅助工程</w:t>
                  </w:r>
                </w:p>
              </w:tc>
              <w:tc>
                <w:tcPr>
                  <w:tcW w:w="1301" w:type="dxa"/>
                  <w:tcBorders>
                    <w:top w:val="single" w:color="auto" w:sz="4" w:space="0"/>
                  </w:tcBorders>
                  <w:tcMar>
                    <w:left w:w="28" w:type="dxa"/>
                    <w:right w:w="28" w:type="dxa"/>
                  </w:tcMar>
                  <w:vAlign w:val="center"/>
                </w:tcPr>
                <w:p w14:paraId="682C8B31">
                  <w:pPr>
                    <w:adjustRightInd w:val="0"/>
                    <w:snapToGrid w:val="0"/>
                    <w:jc w:val="center"/>
                    <w:rPr>
                      <w:color w:val="auto"/>
                      <w:kern w:val="0"/>
                      <w:szCs w:val="21"/>
                    </w:rPr>
                  </w:pPr>
                  <w:r>
                    <w:rPr>
                      <w:color w:val="auto"/>
                      <w:kern w:val="0"/>
                      <w:szCs w:val="21"/>
                    </w:rPr>
                    <w:t>办公区</w:t>
                  </w:r>
                </w:p>
              </w:tc>
              <w:tc>
                <w:tcPr>
                  <w:tcW w:w="5214" w:type="dxa"/>
                  <w:tcBorders>
                    <w:top w:val="single" w:color="auto" w:sz="4" w:space="0"/>
                  </w:tcBorders>
                  <w:tcMar>
                    <w:left w:w="28" w:type="dxa"/>
                    <w:right w:w="28" w:type="dxa"/>
                  </w:tcMar>
                  <w:vAlign w:val="center"/>
                </w:tcPr>
                <w:p w14:paraId="0FE4C027">
                  <w:pPr>
                    <w:adjustRightInd w:val="0"/>
                    <w:snapToGrid w:val="0"/>
                    <w:jc w:val="both"/>
                    <w:rPr>
                      <w:color w:val="auto"/>
                      <w:szCs w:val="21"/>
                    </w:rPr>
                  </w:pPr>
                  <w:r>
                    <w:rPr>
                      <w:rFonts w:hint="eastAsia"/>
                      <w:color w:val="auto"/>
                      <w:szCs w:val="21"/>
                      <w:lang w:val="en-US" w:eastAsia="zh-CN"/>
                    </w:rPr>
                    <w:t>建筑面积15</w:t>
                  </w:r>
                  <w:r>
                    <w:rPr>
                      <w:rFonts w:hint="eastAsia"/>
                      <w:color w:val="auto"/>
                      <w:szCs w:val="21"/>
                      <w:vertAlign w:val="baseline"/>
                      <w:lang w:val="en-US" w:eastAsia="zh-CN"/>
                    </w:rPr>
                    <w:t>m</w:t>
                  </w:r>
                  <w:r>
                    <w:rPr>
                      <w:rFonts w:hint="eastAsia"/>
                      <w:color w:val="auto"/>
                      <w:szCs w:val="21"/>
                      <w:vertAlign w:val="superscript"/>
                      <w:lang w:val="en-US" w:eastAsia="zh-CN"/>
                    </w:rPr>
                    <w:t>2</w:t>
                  </w:r>
                  <w:r>
                    <w:rPr>
                      <w:rFonts w:hint="eastAsia"/>
                      <w:color w:val="auto"/>
                      <w:szCs w:val="21"/>
                      <w:lang w:val="en-US" w:eastAsia="zh-CN"/>
                    </w:rPr>
                    <w:t>，位于车间东北侧，用于值班人员办公</w:t>
                  </w:r>
                  <w:r>
                    <w:rPr>
                      <w:rFonts w:hint="eastAsia"/>
                      <w:color w:val="auto"/>
                      <w:szCs w:val="21"/>
                    </w:rPr>
                    <w:t>。</w:t>
                  </w:r>
                </w:p>
              </w:tc>
              <w:tc>
                <w:tcPr>
                  <w:tcW w:w="1064" w:type="dxa"/>
                  <w:vAlign w:val="center"/>
                </w:tcPr>
                <w:p w14:paraId="55AC5A7A">
                  <w:pPr>
                    <w:adjustRightInd w:val="0"/>
                    <w:snapToGrid w:val="0"/>
                    <w:jc w:val="center"/>
                    <w:rPr>
                      <w:color w:val="auto"/>
                      <w:szCs w:val="21"/>
                    </w:rPr>
                  </w:pPr>
                  <w:r>
                    <w:rPr>
                      <w:rFonts w:hint="eastAsia"/>
                      <w:color w:val="auto"/>
                      <w:szCs w:val="21"/>
                    </w:rPr>
                    <w:t>已建</w:t>
                  </w:r>
                </w:p>
              </w:tc>
            </w:tr>
            <w:tr w14:paraId="5A0A0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restart"/>
                  <w:tcMar>
                    <w:left w:w="28" w:type="dxa"/>
                    <w:right w:w="28" w:type="dxa"/>
                  </w:tcMar>
                  <w:vAlign w:val="center"/>
                </w:tcPr>
                <w:p w14:paraId="4185A8C7">
                  <w:pPr>
                    <w:adjustRightInd w:val="0"/>
                    <w:snapToGrid w:val="0"/>
                    <w:jc w:val="center"/>
                    <w:rPr>
                      <w:color w:val="auto"/>
                      <w:szCs w:val="21"/>
                    </w:rPr>
                  </w:pPr>
                  <w:r>
                    <w:rPr>
                      <w:color w:val="auto"/>
                      <w:szCs w:val="21"/>
                    </w:rPr>
                    <w:t>公用</w:t>
                  </w:r>
                </w:p>
                <w:p w14:paraId="3FA8A5F9">
                  <w:pPr>
                    <w:adjustRightInd w:val="0"/>
                    <w:snapToGrid w:val="0"/>
                    <w:jc w:val="center"/>
                    <w:rPr>
                      <w:color w:val="auto"/>
                      <w:szCs w:val="21"/>
                    </w:rPr>
                  </w:pPr>
                  <w:r>
                    <w:rPr>
                      <w:color w:val="auto"/>
                      <w:szCs w:val="21"/>
                    </w:rPr>
                    <w:t>工程</w:t>
                  </w:r>
                </w:p>
              </w:tc>
              <w:tc>
                <w:tcPr>
                  <w:tcW w:w="1301" w:type="dxa"/>
                  <w:tcMar>
                    <w:left w:w="28" w:type="dxa"/>
                    <w:right w:w="28" w:type="dxa"/>
                  </w:tcMar>
                  <w:vAlign w:val="center"/>
                </w:tcPr>
                <w:p w14:paraId="43F40677">
                  <w:pPr>
                    <w:adjustRightInd w:val="0"/>
                    <w:snapToGrid w:val="0"/>
                    <w:jc w:val="center"/>
                    <w:rPr>
                      <w:color w:val="auto"/>
                      <w:szCs w:val="21"/>
                    </w:rPr>
                  </w:pPr>
                  <w:r>
                    <w:rPr>
                      <w:color w:val="auto"/>
                      <w:szCs w:val="21"/>
                    </w:rPr>
                    <w:t>给水工程</w:t>
                  </w:r>
                </w:p>
              </w:tc>
              <w:tc>
                <w:tcPr>
                  <w:tcW w:w="5214" w:type="dxa"/>
                  <w:tcMar>
                    <w:left w:w="28" w:type="dxa"/>
                    <w:right w:w="28" w:type="dxa"/>
                  </w:tcMar>
                  <w:vAlign w:val="center"/>
                </w:tcPr>
                <w:p w14:paraId="03A8E83D">
                  <w:pPr>
                    <w:adjustRightInd w:val="0"/>
                    <w:snapToGrid w:val="0"/>
                    <w:rPr>
                      <w:color w:val="auto"/>
                      <w:szCs w:val="21"/>
                    </w:rPr>
                  </w:pPr>
                  <w:r>
                    <w:rPr>
                      <w:rFonts w:hint="eastAsia"/>
                      <w:color w:val="auto"/>
                      <w:szCs w:val="21"/>
                      <w:lang w:val="en-US" w:eastAsia="zh-CN"/>
                    </w:rPr>
                    <w:t>项目用水由自备井提供</w:t>
                  </w:r>
                  <w:r>
                    <w:rPr>
                      <w:color w:val="auto"/>
                      <w:szCs w:val="21"/>
                    </w:rPr>
                    <w:t>。</w:t>
                  </w:r>
                </w:p>
              </w:tc>
              <w:tc>
                <w:tcPr>
                  <w:tcW w:w="1064" w:type="dxa"/>
                  <w:vAlign w:val="center"/>
                </w:tcPr>
                <w:p w14:paraId="01E219F2">
                  <w:pPr>
                    <w:adjustRightInd w:val="0"/>
                    <w:snapToGrid w:val="0"/>
                    <w:jc w:val="center"/>
                    <w:rPr>
                      <w:rFonts w:hint="eastAsia" w:eastAsia="宋体"/>
                      <w:color w:val="auto"/>
                      <w:szCs w:val="21"/>
                      <w:lang w:eastAsia="zh-CN"/>
                    </w:rPr>
                  </w:pPr>
                  <w:r>
                    <w:rPr>
                      <w:rFonts w:hint="eastAsia"/>
                      <w:color w:val="auto"/>
                      <w:szCs w:val="21"/>
                      <w:lang w:val="en-US" w:eastAsia="zh-CN"/>
                    </w:rPr>
                    <w:t>/</w:t>
                  </w:r>
                </w:p>
              </w:tc>
            </w:tr>
            <w:tr w14:paraId="52A6B1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4E704B2A">
                  <w:pPr>
                    <w:adjustRightInd w:val="0"/>
                    <w:snapToGrid w:val="0"/>
                    <w:jc w:val="center"/>
                    <w:rPr>
                      <w:color w:val="auto"/>
                      <w:szCs w:val="21"/>
                    </w:rPr>
                  </w:pPr>
                </w:p>
              </w:tc>
              <w:tc>
                <w:tcPr>
                  <w:tcW w:w="1301" w:type="dxa"/>
                  <w:vMerge w:val="restart"/>
                  <w:tcMar>
                    <w:left w:w="28" w:type="dxa"/>
                    <w:right w:w="28" w:type="dxa"/>
                  </w:tcMar>
                  <w:vAlign w:val="center"/>
                </w:tcPr>
                <w:p w14:paraId="45007960">
                  <w:pPr>
                    <w:adjustRightInd w:val="0"/>
                    <w:snapToGrid w:val="0"/>
                    <w:jc w:val="center"/>
                    <w:rPr>
                      <w:color w:val="auto"/>
                      <w:szCs w:val="21"/>
                    </w:rPr>
                  </w:pPr>
                  <w:r>
                    <w:rPr>
                      <w:color w:val="auto"/>
                      <w:szCs w:val="21"/>
                    </w:rPr>
                    <w:t>排水工程</w:t>
                  </w:r>
                </w:p>
              </w:tc>
              <w:tc>
                <w:tcPr>
                  <w:tcW w:w="5214" w:type="dxa"/>
                  <w:tcMar>
                    <w:left w:w="28" w:type="dxa"/>
                    <w:right w:w="28" w:type="dxa"/>
                  </w:tcMar>
                  <w:vAlign w:val="center"/>
                </w:tcPr>
                <w:p w14:paraId="3E3D4007">
                  <w:pPr>
                    <w:adjustRightInd w:val="0"/>
                    <w:snapToGrid w:val="0"/>
                    <w:rPr>
                      <w:color w:val="auto"/>
                      <w:szCs w:val="21"/>
                    </w:rPr>
                  </w:pPr>
                  <w:r>
                    <w:rPr>
                      <w:color w:val="auto"/>
                      <w:szCs w:val="21"/>
                    </w:rPr>
                    <w:t>本项目生活污水经化粪池收集后，定期拉运至</w:t>
                  </w:r>
                  <w:r>
                    <w:rPr>
                      <w:rFonts w:hint="eastAsia"/>
                      <w:color w:val="auto"/>
                      <w:szCs w:val="21"/>
                      <w:lang w:val="en-US" w:eastAsia="zh-CN"/>
                    </w:rPr>
                    <w:t>杭锦旗锡尼镇污水处理厂进行处理</w:t>
                  </w:r>
                  <w:r>
                    <w:rPr>
                      <w:color w:val="auto"/>
                      <w:szCs w:val="21"/>
                    </w:rPr>
                    <w:t>；</w:t>
                  </w:r>
                </w:p>
              </w:tc>
              <w:tc>
                <w:tcPr>
                  <w:tcW w:w="1064" w:type="dxa"/>
                  <w:vAlign w:val="center"/>
                </w:tcPr>
                <w:p w14:paraId="4ECE1273">
                  <w:pPr>
                    <w:adjustRightInd w:val="0"/>
                    <w:snapToGrid w:val="0"/>
                    <w:jc w:val="center"/>
                    <w:rPr>
                      <w:color w:val="auto"/>
                      <w:szCs w:val="21"/>
                    </w:rPr>
                  </w:pPr>
                  <w:r>
                    <w:rPr>
                      <w:rFonts w:hint="eastAsia"/>
                      <w:color w:val="auto"/>
                      <w:szCs w:val="21"/>
                    </w:rPr>
                    <w:t>已建</w:t>
                  </w:r>
                </w:p>
              </w:tc>
            </w:tr>
            <w:tr w14:paraId="3D9E1F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70D00724">
                  <w:pPr>
                    <w:adjustRightInd w:val="0"/>
                    <w:snapToGrid w:val="0"/>
                    <w:jc w:val="center"/>
                    <w:rPr>
                      <w:color w:val="auto"/>
                      <w:szCs w:val="21"/>
                    </w:rPr>
                  </w:pPr>
                </w:p>
              </w:tc>
              <w:tc>
                <w:tcPr>
                  <w:tcW w:w="1301" w:type="dxa"/>
                  <w:vMerge w:val="continue"/>
                  <w:tcMar>
                    <w:left w:w="28" w:type="dxa"/>
                    <w:right w:w="28" w:type="dxa"/>
                  </w:tcMar>
                  <w:vAlign w:val="center"/>
                </w:tcPr>
                <w:p w14:paraId="6E53FC28">
                  <w:pPr>
                    <w:adjustRightInd w:val="0"/>
                    <w:snapToGrid w:val="0"/>
                    <w:jc w:val="center"/>
                    <w:rPr>
                      <w:color w:val="auto"/>
                      <w:szCs w:val="21"/>
                    </w:rPr>
                  </w:pPr>
                </w:p>
              </w:tc>
              <w:tc>
                <w:tcPr>
                  <w:tcW w:w="5214" w:type="dxa"/>
                  <w:tcMar>
                    <w:left w:w="28" w:type="dxa"/>
                    <w:right w:w="28" w:type="dxa"/>
                  </w:tcMar>
                  <w:vAlign w:val="center"/>
                </w:tcPr>
                <w:p w14:paraId="03739413">
                  <w:pPr>
                    <w:adjustRightInd w:val="0"/>
                    <w:snapToGrid w:val="0"/>
                    <w:rPr>
                      <w:rFonts w:hint="eastAsia"/>
                      <w:color w:val="auto"/>
                      <w:szCs w:val="21"/>
                      <w:lang w:val="en-US" w:eastAsia="zh-CN"/>
                    </w:rPr>
                  </w:pPr>
                  <w:r>
                    <w:rPr>
                      <w:rFonts w:hint="eastAsia"/>
                      <w:color w:val="000000" w:themeColor="text1"/>
                      <w:szCs w:val="21"/>
                      <w:lang w:val="en-US" w:eastAsia="zh-CN"/>
                      <w14:textFill>
                        <w14:solidFill>
                          <w14:schemeClr w14:val="tx1"/>
                        </w14:solidFill>
                      </w14:textFill>
                    </w:rPr>
                    <w:t>新鲜蔬菜漂烫清洗废水</w:t>
                  </w:r>
                  <w:r>
                    <w:rPr>
                      <w:rFonts w:hint="eastAsia"/>
                      <w:color w:val="auto"/>
                      <w:szCs w:val="21"/>
                      <w:lang w:val="en-US" w:eastAsia="zh-CN"/>
                    </w:rPr>
                    <w:t>仅含少量悬浮物，可用于农田灌溉；</w:t>
                  </w:r>
                </w:p>
                <w:p w14:paraId="2B42F68A">
                  <w:pPr>
                    <w:adjustRightInd w:val="0"/>
                    <w:snapToGrid w:val="0"/>
                    <w:rPr>
                      <w:rFonts w:hint="eastAsia"/>
                      <w:color w:val="auto"/>
                      <w:szCs w:val="21"/>
                      <w:lang w:val="en-US" w:eastAsia="zh-CN"/>
                    </w:rPr>
                  </w:pPr>
                  <w:r>
                    <w:rPr>
                      <w:rFonts w:hint="eastAsia"/>
                      <w:color w:val="auto"/>
                      <w:szCs w:val="21"/>
                      <w:lang w:val="en-US" w:eastAsia="zh-CN"/>
                    </w:rPr>
                    <w:t>清洗酸菜水定期拉运至杭锦旗锡尼镇污水处理厂处理，不外排；</w:t>
                  </w:r>
                </w:p>
                <w:p w14:paraId="3CBD1F40">
                  <w:pPr>
                    <w:adjustRightInd w:val="0"/>
                    <w:snapToGrid w:val="0"/>
                    <w:rPr>
                      <w:rFonts w:hint="eastAsia"/>
                      <w:color w:val="auto"/>
                      <w:szCs w:val="21"/>
                      <w:lang w:val="en-US" w:eastAsia="zh-CN"/>
                    </w:rPr>
                  </w:pPr>
                  <w:r>
                    <w:rPr>
                      <w:rFonts w:hint="eastAsia"/>
                      <w:color w:val="auto"/>
                      <w:szCs w:val="21"/>
                      <w:lang w:val="en-US" w:eastAsia="zh-CN"/>
                    </w:rPr>
                    <w:t>酸菜发酵废水收集后定期拉运至蒙苏经济开发区零碳产业园工业污水处理厂处理，不</w:t>
                  </w:r>
                  <w:r>
                    <w:rPr>
                      <w:color w:val="auto"/>
                      <w:szCs w:val="21"/>
                    </w:rPr>
                    <w:t>外排。</w:t>
                  </w:r>
                </w:p>
              </w:tc>
              <w:tc>
                <w:tcPr>
                  <w:tcW w:w="1064" w:type="dxa"/>
                  <w:vAlign w:val="center"/>
                </w:tcPr>
                <w:p w14:paraId="4EE98A7C">
                  <w:pPr>
                    <w:adjustRightInd w:val="0"/>
                    <w:snapToGrid w:val="0"/>
                    <w:jc w:val="center"/>
                    <w:rPr>
                      <w:rFonts w:hint="eastAsia"/>
                      <w:color w:val="auto"/>
                      <w:szCs w:val="21"/>
                      <w:lang w:val="en-US" w:eastAsia="zh-CN"/>
                    </w:rPr>
                  </w:pPr>
                  <w:r>
                    <w:rPr>
                      <w:rFonts w:hint="eastAsia"/>
                      <w:color w:val="auto"/>
                      <w:szCs w:val="21"/>
                      <w:lang w:val="en-US" w:eastAsia="zh-CN"/>
                    </w:rPr>
                    <w:t>新</w:t>
                  </w:r>
                  <w:r>
                    <w:rPr>
                      <w:rFonts w:hint="eastAsia"/>
                      <w:color w:val="auto"/>
                      <w:szCs w:val="21"/>
                    </w:rPr>
                    <w:t>建</w:t>
                  </w:r>
                </w:p>
              </w:tc>
            </w:tr>
            <w:tr w14:paraId="027EB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1A3B72CF">
                  <w:pPr>
                    <w:adjustRightInd w:val="0"/>
                    <w:snapToGrid w:val="0"/>
                    <w:jc w:val="center"/>
                    <w:rPr>
                      <w:color w:val="auto"/>
                      <w:szCs w:val="21"/>
                    </w:rPr>
                  </w:pPr>
                </w:p>
              </w:tc>
              <w:tc>
                <w:tcPr>
                  <w:tcW w:w="1301" w:type="dxa"/>
                  <w:tcMar>
                    <w:left w:w="28" w:type="dxa"/>
                    <w:right w:w="28" w:type="dxa"/>
                  </w:tcMar>
                  <w:vAlign w:val="center"/>
                </w:tcPr>
                <w:p w14:paraId="3BAB3594">
                  <w:pPr>
                    <w:adjustRightInd w:val="0"/>
                    <w:snapToGrid w:val="0"/>
                    <w:jc w:val="center"/>
                    <w:rPr>
                      <w:color w:val="auto"/>
                      <w:szCs w:val="21"/>
                    </w:rPr>
                  </w:pPr>
                  <w:r>
                    <w:rPr>
                      <w:color w:val="auto"/>
                      <w:szCs w:val="21"/>
                    </w:rPr>
                    <w:t>供电工程</w:t>
                  </w:r>
                </w:p>
              </w:tc>
              <w:tc>
                <w:tcPr>
                  <w:tcW w:w="5214" w:type="dxa"/>
                  <w:tcMar>
                    <w:left w:w="28" w:type="dxa"/>
                    <w:right w:w="28" w:type="dxa"/>
                  </w:tcMar>
                  <w:vAlign w:val="center"/>
                </w:tcPr>
                <w:p w14:paraId="32334A8E">
                  <w:pPr>
                    <w:adjustRightInd w:val="0"/>
                    <w:snapToGrid w:val="0"/>
                    <w:rPr>
                      <w:color w:val="auto"/>
                      <w:szCs w:val="21"/>
                    </w:rPr>
                  </w:pPr>
                  <w:r>
                    <w:rPr>
                      <w:color w:val="auto"/>
                      <w:szCs w:val="21"/>
                    </w:rPr>
                    <w:t>由当地电网供给。</w:t>
                  </w:r>
                </w:p>
              </w:tc>
              <w:tc>
                <w:tcPr>
                  <w:tcW w:w="1064" w:type="dxa"/>
                  <w:vAlign w:val="center"/>
                </w:tcPr>
                <w:p w14:paraId="74BFF09D">
                  <w:pPr>
                    <w:adjustRightInd w:val="0"/>
                    <w:snapToGrid w:val="0"/>
                    <w:jc w:val="center"/>
                    <w:rPr>
                      <w:color w:val="auto"/>
                      <w:szCs w:val="21"/>
                    </w:rPr>
                  </w:pPr>
                  <w:r>
                    <w:rPr>
                      <w:rFonts w:hint="eastAsia"/>
                      <w:color w:val="auto"/>
                      <w:szCs w:val="21"/>
                    </w:rPr>
                    <w:t>--</w:t>
                  </w:r>
                </w:p>
              </w:tc>
            </w:tr>
            <w:tr w14:paraId="50B65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5367E3F9">
                  <w:pPr>
                    <w:adjustRightInd w:val="0"/>
                    <w:snapToGrid w:val="0"/>
                    <w:jc w:val="center"/>
                    <w:rPr>
                      <w:color w:val="auto"/>
                      <w:szCs w:val="21"/>
                    </w:rPr>
                  </w:pPr>
                </w:p>
              </w:tc>
              <w:tc>
                <w:tcPr>
                  <w:tcW w:w="1301" w:type="dxa"/>
                  <w:tcMar>
                    <w:left w:w="28" w:type="dxa"/>
                    <w:right w:w="28" w:type="dxa"/>
                  </w:tcMar>
                  <w:vAlign w:val="center"/>
                </w:tcPr>
                <w:p w14:paraId="53A1B1B5">
                  <w:pPr>
                    <w:adjustRightInd w:val="0"/>
                    <w:snapToGrid w:val="0"/>
                    <w:jc w:val="center"/>
                    <w:rPr>
                      <w:color w:val="auto"/>
                      <w:szCs w:val="21"/>
                    </w:rPr>
                  </w:pPr>
                  <w:r>
                    <w:rPr>
                      <w:color w:val="auto"/>
                      <w:szCs w:val="21"/>
                    </w:rPr>
                    <w:t>供暖工程</w:t>
                  </w:r>
                </w:p>
              </w:tc>
              <w:tc>
                <w:tcPr>
                  <w:tcW w:w="5214" w:type="dxa"/>
                  <w:tcMar>
                    <w:left w:w="28" w:type="dxa"/>
                    <w:right w:w="28" w:type="dxa"/>
                  </w:tcMar>
                  <w:vAlign w:val="center"/>
                </w:tcPr>
                <w:p w14:paraId="7D2B4CF5">
                  <w:pPr>
                    <w:adjustRightInd w:val="0"/>
                    <w:snapToGrid w:val="0"/>
                    <w:rPr>
                      <w:color w:val="auto"/>
                      <w:szCs w:val="21"/>
                    </w:rPr>
                  </w:pPr>
                  <w:r>
                    <w:rPr>
                      <w:rFonts w:hint="eastAsia"/>
                      <w:color w:val="auto"/>
                      <w:szCs w:val="21"/>
                      <w:lang w:val="en-US" w:eastAsia="zh-CN"/>
                    </w:rPr>
                    <w:t>项目冬季采取电暖器供暖</w:t>
                  </w:r>
                  <w:r>
                    <w:rPr>
                      <w:color w:val="auto"/>
                      <w:szCs w:val="21"/>
                    </w:rPr>
                    <w:t>。</w:t>
                  </w:r>
                </w:p>
              </w:tc>
              <w:tc>
                <w:tcPr>
                  <w:tcW w:w="1064" w:type="dxa"/>
                  <w:vAlign w:val="center"/>
                </w:tcPr>
                <w:p w14:paraId="01345BE7">
                  <w:pPr>
                    <w:adjustRightInd w:val="0"/>
                    <w:snapToGrid w:val="0"/>
                    <w:jc w:val="center"/>
                    <w:rPr>
                      <w:color w:val="auto"/>
                      <w:szCs w:val="21"/>
                    </w:rPr>
                  </w:pPr>
                  <w:r>
                    <w:rPr>
                      <w:color w:val="auto"/>
                      <w:szCs w:val="21"/>
                    </w:rPr>
                    <w:t>--</w:t>
                  </w:r>
                </w:p>
              </w:tc>
            </w:tr>
            <w:tr w14:paraId="2B50C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662" w:type="dxa"/>
                  <w:vMerge w:val="restart"/>
                  <w:tcMar>
                    <w:left w:w="28" w:type="dxa"/>
                    <w:right w:w="28" w:type="dxa"/>
                  </w:tcMar>
                  <w:vAlign w:val="center"/>
                </w:tcPr>
                <w:p w14:paraId="7ECDDDAC">
                  <w:pPr>
                    <w:adjustRightInd w:val="0"/>
                    <w:snapToGrid w:val="0"/>
                    <w:jc w:val="center"/>
                    <w:rPr>
                      <w:color w:val="auto"/>
                      <w:szCs w:val="21"/>
                    </w:rPr>
                  </w:pPr>
                  <w:r>
                    <w:rPr>
                      <w:color w:val="auto"/>
                      <w:szCs w:val="21"/>
                    </w:rPr>
                    <w:t>环保</w:t>
                  </w:r>
                </w:p>
                <w:p w14:paraId="3ABE1083">
                  <w:pPr>
                    <w:adjustRightInd w:val="0"/>
                    <w:snapToGrid w:val="0"/>
                    <w:jc w:val="center"/>
                    <w:rPr>
                      <w:color w:val="auto"/>
                      <w:szCs w:val="21"/>
                    </w:rPr>
                  </w:pPr>
                  <w:r>
                    <w:rPr>
                      <w:color w:val="auto"/>
                      <w:szCs w:val="21"/>
                    </w:rPr>
                    <w:t>工程</w:t>
                  </w:r>
                </w:p>
              </w:tc>
              <w:tc>
                <w:tcPr>
                  <w:tcW w:w="1301" w:type="dxa"/>
                  <w:vMerge w:val="restart"/>
                  <w:tcMar>
                    <w:left w:w="28" w:type="dxa"/>
                    <w:right w:w="28" w:type="dxa"/>
                  </w:tcMar>
                  <w:vAlign w:val="center"/>
                </w:tcPr>
                <w:p w14:paraId="288C4357">
                  <w:pPr>
                    <w:adjustRightInd w:val="0"/>
                    <w:snapToGrid w:val="0"/>
                    <w:jc w:val="center"/>
                    <w:rPr>
                      <w:color w:val="auto"/>
                      <w:szCs w:val="21"/>
                    </w:rPr>
                  </w:pPr>
                  <w:r>
                    <w:rPr>
                      <w:color w:val="auto"/>
                      <w:szCs w:val="21"/>
                    </w:rPr>
                    <w:t>废气</w:t>
                  </w:r>
                </w:p>
              </w:tc>
              <w:tc>
                <w:tcPr>
                  <w:tcW w:w="5214" w:type="dxa"/>
                  <w:tcMar>
                    <w:left w:w="28" w:type="dxa"/>
                    <w:right w:w="28" w:type="dxa"/>
                  </w:tcMar>
                  <w:vAlign w:val="center"/>
                </w:tcPr>
                <w:p w14:paraId="28001A9A">
                  <w:pPr>
                    <w:adjustRightInd w:val="0"/>
                    <w:snapToGrid w:val="0"/>
                    <w:rPr>
                      <w:rFonts w:hint="eastAsia" w:eastAsia="宋体"/>
                      <w:color w:val="auto"/>
                      <w:szCs w:val="21"/>
                      <w:lang w:val="en-US" w:eastAsia="zh-CN"/>
                    </w:rPr>
                  </w:pPr>
                  <w:r>
                    <w:rPr>
                      <w:rFonts w:hint="eastAsia"/>
                      <w:color w:val="auto"/>
                      <w:szCs w:val="21"/>
                      <w:lang w:val="en-US" w:eastAsia="zh-CN"/>
                    </w:rPr>
                    <w:t>酱腌菜加工厂已建设酱腌菜发酵池36个（4</w:t>
                  </w:r>
                  <w:r>
                    <w:rPr>
                      <w:rFonts w:hint="eastAsia"/>
                      <w:color w:val="auto"/>
                      <w:szCs w:val="21"/>
                      <w:vertAlign w:val="baseline"/>
                      <w:lang w:val="en-US" w:eastAsia="zh-CN"/>
                    </w:rPr>
                    <w:t>m</w:t>
                  </w:r>
                  <w:r>
                    <w:rPr>
                      <w:rFonts w:hint="eastAsia"/>
                      <w:color w:val="auto"/>
                      <w:szCs w:val="21"/>
                      <w:lang w:val="en-US" w:eastAsia="zh-CN"/>
                    </w:rPr>
                    <w:t>×4</w:t>
                  </w:r>
                  <w:r>
                    <w:rPr>
                      <w:rFonts w:hint="eastAsia"/>
                      <w:color w:val="auto"/>
                      <w:szCs w:val="21"/>
                      <w:vertAlign w:val="baseline"/>
                      <w:lang w:val="en-US" w:eastAsia="zh-CN"/>
                    </w:rPr>
                    <w:t>m</w:t>
                  </w:r>
                  <w:r>
                    <w:rPr>
                      <w:rFonts w:hint="eastAsia"/>
                      <w:color w:val="auto"/>
                      <w:szCs w:val="21"/>
                      <w:lang w:val="en-US" w:eastAsia="zh-CN"/>
                    </w:rPr>
                    <w:t>×4</w:t>
                  </w:r>
                  <w:r>
                    <w:rPr>
                      <w:rFonts w:hint="eastAsia"/>
                      <w:color w:val="auto"/>
                      <w:szCs w:val="21"/>
                      <w:vertAlign w:val="baseline"/>
                      <w:lang w:val="en-US" w:eastAsia="zh-CN"/>
                    </w:rPr>
                    <w:t>m</w:t>
                  </w:r>
                  <w:r>
                    <w:rPr>
                      <w:rFonts w:hint="eastAsia"/>
                      <w:color w:val="auto"/>
                      <w:szCs w:val="21"/>
                      <w:lang w:val="en-US" w:eastAsia="zh-CN"/>
                    </w:rPr>
                    <w:t>），酱腌菜发酵池发酵期间全封闭，</w:t>
                  </w:r>
                  <w:r>
                    <w:rPr>
                      <w:rFonts w:hint="eastAsia"/>
                      <w:color w:val="auto"/>
                      <w:szCs w:val="21"/>
                      <w:highlight w:val="none"/>
                      <w:lang w:val="en-US" w:eastAsia="zh-CN"/>
                    </w:rPr>
                    <w:t>仅在开池期间取菜过程中会有一定量的异味散逸，采取封闭车间、地下发酵池塑料膜覆盖封闭、发酵桶加盖密闭等措施后，发酵异味对外环境的影响较小。</w:t>
                  </w:r>
                </w:p>
              </w:tc>
              <w:tc>
                <w:tcPr>
                  <w:tcW w:w="1064" w:type="dxa"/>
                  <w:vAlign w:val="center"/>
                </w:tcPr>
                <w:p w14:paraId="2709500D">
                  <w:pPr>
                    <w:adjustRightInd w:val="0"/>
                    <w:snapToGrid w:val="0"/>
                    <w:jc w:val="center"/>
                    <w:rPr>
                      <w:rFonts w:hint="eastAsia" w:eastAsia="宋体"/>
                      <w:color w:val="auto"/>
                      <w:szCs w:val="21"/>
                      <w:lang w:eastAsia="zh-CN"/>
                    </w:rPr>
                  </w:pPr>
                  <w:r>
                    <w:rPr>
                      <w:rFonts w:hint="eastAsia"/>
                      <w:color w:val="auto"/>
                      <w:szCs w:val="21"/>
                      <w:lang w:val="en-US" w:eastAsia="zh-CN"/>
                    </w:rPr>
                    <w:t>已建</w:t>
                  </w:r>
                </w:p>
              </w:tc>
            </w:tr>
            <w:tr w14:paraId="601511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2" w:type="dxa"/>
                  <w:vMerge w:val="continue"/>
                  <w:tcMar>
                    <w:left w:w="28" w:type="dxa"/>
                    <w:right w:w="28" w:type="dxa"/>
                  </w:tcMar>
                  <w:vAlign w:val="center"/>
                </w:tcPr>
                <w:p w14:paraId="46ACF73B">
                  <w:pPr>
                    <w:adjustRightInd w:val="0"/>
                    <w:snapToGrid w:val="0"/>
                    <w:jc w:val="center"/>
                    <w:rPr>
                      <w:color w:val="auto"/>
                      <w:szCs w:val="21"/>
                    </w:rPr>
                  </w:pPr>
                </w:p>
              </w:tc>
              <w:tc>
                <w:tcPr>
                  <w:tcW w:w="1301" w:type="dxa"/>
                  <w:vMerge w:val="continue"/>
                  <w:tcMar>
                    <w:left w:w="28" w:type="dxa"/>
                    <w:right w:w="28" w:type="dxa"/>
                  </w:tcMar>
                  <w:vAlign w:val="center"/>
                </w:tcPr>
                <w:p w14:paraId="4DB9697F">
                  <w:pPr>
                    <w:adjustRightInd w:val="0"/>
                    <w:snapToGrid w:val="0"/>
                    <w:jc w:val="center"/>
                    <w:rPr>
                      <w:color w:val="auto"/>
                      <w:szCs w:val="21"/>
                    </w:rPr>
                  </w:pPr>
                </w:p>
              </w:tc>
              <w:tc>
                <w:tcPr>
                  <w:tcW w:w="5214" w:type="dxa"/>
                  <w:tcMar>
                    <w:left w:w="28" w:type="dxa"/>
                    <w:right w:w="28" w:type="dxa"/>
                  </w:tcMar>
                  <w:vAlign w:val="center"/>
                </w:tcPr>
                <w:p w14:paraId="0C91FAE0">
                  <w:pPr>
                    <w:adjustRightInd w:val="0"/>
                    <w:snapToGrid w:val="0"/>
                    <w:rPr>
                      <w:rFonts w:hint="eastAsia"/>
                      <w:color w:val="auto"/>
                      <w:szCs w:val="21"/>
                      <w:lang w:val="en-US" w:eastAsia="zh-CN"/>
                    </w:rPr>
                  </w:pPr>
                  <w:r>
                    <w:rPr>
                      <w:rFonts w:hint="eastAsia"/>
                      <w:color w:val="auto"/>
                      <w:szCs w:val="21"/>
                      <w:lang w:val="en-US" w:eastAsia="zh-CN"/>
                    </w:rPr>
                    <w:t>废水储罐为加盖密闭结构地下储罐，清运时废水储罐开盖时间较短，且位于空旷地带，空气流动带动发酵异味迅速逸散，废水储罐发酵异味对外环境影响较小。</w:t>
                  </w:r>
                </w:p>
                <w:p w14:paraId="008D3F60">
                  <w:pPr>
                    <w:adjustRightInd w:val="0"/>
                    <w:snapToGrid w:val="0"/>
                    <w:rPr>
                      <w:rFonts w:hint="eastAsia"/>
                      <w:color w:val="auto"/>
                      <w:szCs w:val="21"/>
                      <w:lang w:val="en-US" w:eastAsia="zh-CN"/>
                    </w:rPr>
                  </w:pPr>
                  <w:r>
                    <w:rPr>
                      <w:rFonts w:hint="eastAsia"/>
                      <w:color w:val="auto"/>
                      <w:szCs w:val="21"/>
                      <w:lang w:val="en-US" w:eastAsia="zh-CN"/>
                    </w:rPr>
                    <w:t>废水运输车辆中间不进行开盖或倒罐，运输过程中仅有极少量的异味散逸。</w:t>
                  </w:r>
                </w:p>
              </w:tc>
              <w:tc>
                <w:tcPr>
                  <w:tcW w:w="1064" w:type="dxa"/>
                  <w:vAlign w:val="center"/>
                </w:tcPr>
                <w:p w14:paraId="7062F07D">
                  <w:pPr>
                    <w:adjustRightInd w:val="0"/>
                    <w:snapToGrid w:val="0"/>
                    <w:jc w:val="center"/>
                    <w:rPr>
                      <w:rFonts w:hint="eastAsia"/>
                      <w:color w:val="auto"/>
                      <w:szCs w:val="21"/>
                      <w:lang w:val="en-US" w:eastAsia="zh-CN"/>
                    </w:rPr>
                  </w:pPr>
                  <w:r>
                    <w:rPr>
                      <w:rFonts w:hint="eastAsia"/>
                      <w:color w:val="auto"/>
                      <w:szCs w:val="21"/>
                      <w:lang w:val="en-US" w:eastAsia="zh-CN"/>
                    </w:rPr>
                    <w:t>新建</w:t>
                  </w:r>
                </w:p>
              </w:tc>
            </w:tr>
            <w:tr w14:paraId="7FC63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4B8A140D">
                  <w:pPr>
                    <w:adjustRightInd w:val="0"/>
                    <w:snapToGrid w:val="0"/>
                    <w:jc w:val="center"/>
                    <w:rPr>
                      <w:color w:val="auto"/>
                      <w:szCs w:val="21"/>
                    </w:rPr>
                  </w:pPr>
                </w:p>
              </w:tc>
              <w:tc>
                <w:tcPr>
                  <w:tcW w:w="1301" w:type="dxa"/>
                  <w:vMerge w:val="restart"/>
                  <w:tcMar>
                    <w:left w:w="28" w:type="dxa"/>
                    <w:right w:w="28" w:type="dxa"/>
                  </w:tcMar>
                  <w:vAlign w:val="center"/>
                </w:tcPr>
                <w:p w14:paraId="4B744A69">
                  <w:pPr>
                    <w:adjustRightInd w:val="0"/>
                    <w:snapToGrid w:val="0"/>
                    <w:jc w:val="center"/>
                    <w:rPr>
                      <w:color w:val="auto"/>
                      <w:szCs w:val="21"/>
                    </w:rPr>
                  </w:pPr>
                  <w:r>
                    <w:rPr>
                      <w:color w:val="auto"/>
                      <w:szCs w:val="21"/>
                    </w:rPr>
                    <w:t>废水</w:t>
                  </w:r>
                </w:p>
              </w:tc>
              <w:tc>
                <w:tcPr>
                  <w:tcW w:w="5214" w:type="dxa"/>
                  <w:tcMar>
                    <w:left w:w="28" w:type="dxa"/>
                    <w:right w:w="28" w:type="dxa"/>
                  </w:tcMar>
                  <w:vAlign w:val="center"/>
                </w:tcPr>
                <w:p w14:paraId="0EC0A5F0">
                  <w:pPr>
                    <w:adjustRightInd w:val="0"/>
                    <w:snapToGrid w:val="0"/>
                    <w:rPr>
                      <w:rFonts w:hint="eastAsia"/>
                      <w:color w:val="auto"/>
                      <w:szCs w:val="21"/>
                      <w:lang w:val="en-US" w:eastAsia="zh-CN"/>
                    </w:rPr>
                  </w:pPr>
                  <w:r>
                    <w:rPr>
                      <w:rFonts w:hint="eastAsia"/>
                      <w:color w:val="auto"/>
                      <w:szCs w:val="21"/>
                      <w:lang w:val="en-US" w:eastAsia="zh-CN"/>
                    </w:rPr>
                    <w:t>项目设置地下废水储罐3个，容积均为30m</w:t>
                  </w:r>
                  <w:r>
                    <w:rPr>
                      <w:rFonts w:hint="eastAsia"/>
                      <w:color w:val="auto"/>
                      <w:szCs w:val="21"/>
                      <w:vertAlign w:val="superscript"/>
                      <w:lang w:val="en-US" w:eastAsia="zh-CN"/>
                    </w:rPr>
                    <w:t>3</w:t>
                  </w:r>
                  <w:r>
                    <w:rPr>
                      <w:rFonts w:hint="eastAsia"/>
                      <w:color w:val="auto"/>
                      <w:szCs w:val="21"/>
                      <w:vertAlign w:val="baseline"/>
                      <w:lang w:val="en-US" w:eastAsia="zh-CN"/>
                    </w:rPr>
                    <w:t>。</w:t>
                  </w:r>
                </w:p>
                <w:p w14:paraId="66423443">
                  <w:pPr>
                    <w:adjustRightInd w:val="0"/>
                    <w:snapToGrid w:val="0"/>
                    <w:rPr>
                      <w:rFonts w:hint="eastAsia"/>
                      <w:color w:val="auto"/>
                      <w:szCs w:val="21"/>
                      <w:lang w:val="en-US" w:eastAsia="zh-CN"/>
                    </w:rPr>
                  </w:pPr>
                  <w:r>
                    <w:rPr>
                      <w:rFonts w:hint="eastAsia"/>
                      <w:color w:val="auto"/>
                      <w:szCs w:val="21"/>
                      <w:lang w:val="en-US" w:eastAsia="zh-CN"/>
                    </w:rPr>
                    <w:t>新鲜白菜漂烫清洗废水仅含少量悬浮物，且仅在6-8月份产生，经1#废水储罐收集冷却后，拉运至周边农田，用于农田灌溉。</w:t>
                  </w:r>
                </w:p>
                <w:p w14:paraId="6159572C">
                  <w:pPr>
                    <w:adjustRightInd w:val="0"/>
                    <w:snapToGrid w:val="0"/>
                    <w:rPr>
                      <w:rFonts w:hint="eastAsia"/>
                      <w:color w:val="auto"/>
                      <w:szCs w:val="21"/>
                      <w:lang w:val="en-US" w:eastAsia="zh-CN"/>
                    </w:rPr>
                  </w:pPr>
                  <w:r>
                    <w:rPr>
                      <w:rFonts w:hint="eastAsia"/>
                      <w:color w:val="auto"/>
                      <w:szCs w:val="21"/>
                      <w:lang w:val="en-US" w:eastAsia="zh-CN"/>
                    </w:rPr>
                    <w:t>设备清洗废水、地面清洗废水、清洗酸菜废水经2#废水储罐收集后，定期拉运至杭锦旗锡尼镇污水处理厂处理，不外排。</w:t>
                  </w:r>
                </w:p>
                <w:p w14:paraId="47577044">
                  <w:pPr>
                    <w:adjustRightInd w:val="0"/>
                    <w:snapToGrid w:val="0"/>
                    <w:rPr>
                      <w:color w:val="auto"/>
                      <w:szCs w:val="21"/>
                    </w:rPr>
                  </w:pPr>
                  <w:r>
                    <w:rPr>
                      <w:rFonts w:hint="eastAsia"/>
                      <w:color w:val="auto"/>
                      <w:szCs w:val="21"/>
                      <w:lang w:val="en-US" w:eastAsia="zh-CN"/>
                    </w:rPr>
                    <w:t>酸菜发酵废水经3#废水储罐收集后，定期拉运至蒙苏经济开发区零碳产业园工业污水处理厂处理，不</w:t>
                  </w:r>
                  <w:r>
                    <w:rPr>
                      <w:color w:val="auto"/>
                      <w:szCs w:val="21"/>
                    </w:rPr>
                    <w:t>外排。</w:t>
                  </w:r>
                </w:p>
              </w:tc>
              <w:tc>
                <w:tcPr>
                  <w:tcW w:w="1064" w:type="dxa"/>
                  <w:vAlign w:val="center"/>
                </w:tcPr>
                <w:p w14:paraId="007ABD8B">
                  <w:pPr>
                    <w:adjustRightInd w:val="0"/>
                    <w:snapToGrid w:val="0"/>
                    <w:jc w:val="center"/>
                    <w:rPr>
                      <w:rFonts w:hint="eastAsia" w:eastAsia="宋体"/>
                      <w:color w:val="auto"/>
                      <w:szCs w:val="21"/>
                      <w:lang w:val="en-US" w:eastAsia="zh-CN"/>
                    </w:rPr>
                  </w:pPr>
                  <w:r>
                    <w:rPr>
                      <w:rFonts w:hint="eastAsia"/>
                      <w:color w:val="auto"/>
                      <w:szCs w:val="21"/>
                      <w:lang w:val="en-US" w:eastAsia="zh-CN"/>
                    </w:rPr>
                    <w:t>新建</w:t>
                  </w:r>
                </w:p>
              </w:tc>
            </w:tr>
            <w:tr w14:paraId="59453D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4A901F55">
                  <w:pPr>
                    <w:adjustRightInd w:val="0"/>
                    <w:snapToGrid w:val="0"/>
                    <w:jc w:val="center"/>
                    <w:rPr>
                      <w:color w:val="auto"/>
                      <w:szCs w:val="21"/>
                    </w:rPr>
                  </w:pPr>
                </w:p>
              </w:tc>
              <w:tc>
                <w:tcPr>
                  <w:tcW w:w="1301" w:type="dxa"/>
                  <w:vMerge w:val="continue"/>
                  <w:tcMar>
                    <w:left w:w="28" w:type="dxa"/>
                    <w:right w:w="28" w:type="dxa"/>
                  </w:tcMar>
                  <w:vAlign w:val="center"/>
                </w:tcPr>
                <w:p w14:paraId="7BF8A9C5">
                  <w:pPr>
                    <w:adjustRightInd w:val="0"/>
                    <w:snapToGrid w:val="0"/>
                    <w:jc w:val="center"/>
                    <w:rPr>
                      <w:color w:val="auto"/>
                      <w:szCs w:val="21"/>
                    </w:rPr>
                  </w:pPr>
                </w:p>
              </w:tc>
              <w:tc>
                <w:tcPr>
                  <w:tcW w:w="5214" w:type="dxa"/>
                  <w:tcMar>
                    <w:left w:w="28" w:type="dxa"/>
                    <w:right w:w="28" w:type="dxa"/>
                  </w:tcMar>
                  <w:vAlign w:val="center"/>
                </w:tcPr>
                <w:p w14:paraId="17D45D1B">
                  <w:pPr>
                    <w:adjustRightInd w:val="0"/>
                    <w:snapToGrid w:val="0"/>
                    <w:rPr>
                      <w:color w:val="auto"/>
                      <w:szCs w:val="21"/>
                    </w:rPr>
                  </w:pPr>
                  <w:r>
                    <w:rPr>
                      <w:color w:val="auto"/>
                      <w:szCs w:val="21"/>
                    </w:rPr>
                    <w:t>生活污水经化粪池收集后，定期拉运至杭锦旗锡尼镇污水处理厂处理。</w:t>
                  </w:r>
                </w:p>
              </w:tc>
              <w:tc>
                <w:tcPr>
                  <w:tcW w:w="1064" w:type="dxa"/>
                  <w:vAlign w:val="center"/>
                </w:tcPr>
                <w:p w14:paraId="779E1FD3">
                  <w:pPr>
                    <w:adjustRightInd w:val="0"/>
                    <w:snapToGrid w:val="0"/>
                    <w:jc w:val="center"/>
                    <w:rPr>
                      <w:rFonts w:hint="eastAsia" w:eastAsia="宋体"/>
                      <w:color w:val="auto"/>
                      <w:szCs w:val="21"/>
                      <w:lang w:val="en-US" w:eastAsia="zh-CN"/>
                    </w:rPr>
                  </w:pPr>
                  <w:r>
                    <w:rPr>
                      <w:rFonts w:hint="eastAsia"/>
                      <w:color w:val="auto"/>
                      <w:szCs w:val="21"/>
                      <w:lang w:val="en-US" w:eastAsia="zh-CN"/>
                    </w:rPr>
                    <w:t>已建</w:t>
                  </w:r>
                </w:p>
              </w:tc>
            </w:tr>
            <w:tr w14:paraId="6CC9D4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31698123">
                  <w:pPr>
                    <w:adjustRightInd w:val="0"/>
                    <w:snapToGrid w:val="0"/>
                    <w:jc w:val="center"/>
                    <w:rPr>
                      <w:color w:val="auto"/>
                      <w:szCs w:val="21"/>
                    </w:rPr>
                  </w:pPr>
                </w:p>
              </w:tc>
              <w:tc>
                <w:tcPr>
                  <w:tcW w:w="1301" w:type="dxa"/>
                  <w:tcMar>
                    <w:left w:w="28" w:type="dxa"/>
                    <w:right w:w="28" w:type="dxa"/>
                  </w:tcMar>
                  <w:vAlign w:val="center"/>
                </w:tcPr>
                <w:p w14:paraId="210114D4">
                  <w:pPr>
                    <w:adjustRightInd w:val="0"/>
                    <w:snapToGrid w:val="0"/>
                    <w:jc w:val="center"/>
                    <w:rPr>
                      <w:color w:val="auto"/>
                      <w:szCs w:val="21"/>
                    </w:rPr>
                  </w:pPr>
                  <w:r>
                    <w:rPr>
                      <w:color w:val="auto"/>
                      <w:szCs w:val="21"/>
                    </w:rPr>
                    <w:t>固废</w:t>
                  </w:r>
                </w:p>
              </w:tc>
              <w:tc>
                <w:tcPr>
                  <w:tcW w:w="5214" w:type="dxa"/>
                  <w:tcMar>
                    <w:left w:w="28" w:type="dxa"/>
                    <w:right w:w="28" w:type="dxa"/>
                  </w:tcMar>
                  <w:vAlign w:val="center"/>
                </w:tcPr>
                <w:p w14:paraId="34059958">
                  <w:pPr>
                    <w:adjustRightInd w:val="0"/>
                    <w:snapToGrid w:val="0"/>
                    <w:rPr>
                      <w:rFonts w:hint="eastAsia"/>
                      <w:color w:val="auto"/>
                      <w:szCs w:val="21"/>
                    </w:rPr>
                  </w:pPr>
                  <w:r>
                    <w:rPr>
                      <w:color w:val="auto"/>
                      <w:szCs w:val="21"/>
                    </w:rPr>
                    <w:t>生活垃圾经厂内垃圾箱收集后交由当地环卫部门定期清运处理</w:t>
                  </w:r>
                  <w:r>
                    <w:rPr>
                      <w:rFonts w:hint="eastAsia"/>
                      <w:color w:val="auto"/>
                      <w:szCs w:val="21"/>
                    </w:rPr>
                    <w:t>。</w:t>
                  </w:r>
                </w:p>
                <w:p w14:paraId="2B155FF9">
                  <w:pPr>
                    <w:adjustRightInd w:val="0"/>
                    <w:snapToGrid w:val="0"/>
                    <w:rPr>
                      <w:rFonts w:hint="default"/>
                      <w:color w:val="auto"/>
                      <w:szCs w:val="21"/>
                      <w:lang w:val="en-US" w:eastAsia="zh-CN"/>
                    </w:rPr>
                  </w:pPr>
                  <w:r>
                    <w:rPr>
                      <w:rFonts w:hint="eastAsia"/>
                      <w:color w:val="auto"/>
                      <w:szCs w:val="21"/>
                      <w:lang w:val="en-US" w:eastAsia="zh-CN"/>
                    </w:rPr>
                    <w:t>白菜入场人工拣选产生的废菜渣由垃圾桶收集，交由环卫部门处理，日产日清，防止腐烂产生异味。</w:t>
                  </w:r>
                </w:p>
                <w:p w14:paraId="744B7BF0">
                  <w:pPr>
                    <w:adjustRightInd w:val="0"/>
                    <w:snapToGrid w:val="0"/>
                    <w:rPr>
                      <w:rFonts w:hint="default"/>
                      <w:color w:val="auto"/>
                      <w:szCs w:val="21"/>
                      <w:lang w:val="en-US" w:eastAsia="zh-CN"/>
                    </w:rPr>
                  </w:pPr>
                  <w:r>
                    <w:rPr>
                      <w:rFonts w:hint="eastAsia"/>
                      <w:color w:val="auto"/>
                      <w:szCs w:val="21"/>
                      <w:lang w:val="en-US" w:eastAsia="zh-CN"/>
                    </w:rPr>
                    <w:t>废包装材料分类收集后外售给废品回收单位。</w:t>
                  </w:r>
                </w:p>
              </w:tc>
              <w:tc>
                <w:tcPr>
                  <w:tcW w:w="1064" w:type="dxa"/>
                  <w:vAlign w:val="center"/>
                </w:tcPr>
                <w:p w14:paraId="36E7919C">
                  <w:pPr>
                    <w:adjustRightInd w:val="0"/>
                    <w:snapToGrid w:val="0"/>
                    <w:jc w:val="center"/>
                    <w:rPr>
                      <w:rFonts w:hint="eastAsia" w:eastAsia="宋体"/>
                      <w:color w:val="auto"/>
                      <w:szCs w:val="21"/>
                      <w:lang w:eastAsia="zh-CN"/>
                    </w:rPr>
                  </w:pPr>
                  <w:r>
                    <w:rPr>
                      <w:rFonts w:hint="eastAsia"/>
                      <w:color w:val="auto"/>
                      <w:szCs w:val="21"/>
                      <w:lang w:val="en-US" w:eastAsia="zh-CN"/>
                    </w:rPr>
                    <w:t>/</w:t>
                  </w:r>
                </w:p>
              </w:tc>
            </w:tr>
            <w:tr w14:paraId="27A19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01062D30">
                  <w:pPr>
                    <w:adjustRightInd w:val="0"/>
                    <w:snapToGrid w:val="0"/>
                    <w:jc w:val="center"/>
                    <w:rPr>
                      <w:color w:val="auto"/>
                      <w:szCs w:val="21"/>
                    </w:rPr>
                  </w:pPr>
                </w:p>
              </w:tc>
              <w:tc>
                <w:tcPr>
                  <w:tcW w:w="1301" w:type="dxa"/>
                  <w:tcMar>
                    <w:left w:w="28" w:type="dxa"/>
                    <w:right w:w="28" w:type="dxa"/>
                  </w:tcMar>
                  <w:vAlign w:val="center"/>
                </w:tcPr>
                <w:p w14:paraId="65002A6E">
                  <w:pPr>
                    <w:adjustRightInd w:val="0"/>
                    <w:snapToGrid w:val="0"/>
                    <w:jc w:val="center"/>
                    <w:rPr>
                      <w:color w:val="auto"/>
                      <w:szCs w:val="21"/>
                    </w:rPr>
                  </w:pPr>
                  <w:r>
                    <w:rPr>
                      <w:color w:val="auto"/>
                      <w:szCs w:val="21"/>
                    </w:rPr>
                    <w:t>噪声</w:t>
                  </w:r>
                </w:p>
              </w:tc>
              <w:tc>
                <w:tcPr>
                  <w:tcW w:w="5214" w:type="dxa"/>
                  <w:tcMar>
                    <w:left w:w="28" w:type="dxa"/>
                    <w:right w:w="28" w:type="dxa"/>
                  </w:tcMar>
                  <w:vAlign w:val="center"/>
                </w:tcPr>
                <w:p w14:paraId="5268AD4E">
                  <w:pPr>
                    <w:adjustRightInd w:val="0"/>
                    <w:snapToGrid w:val="0"/>
                    <w:rPr>
                      <w:color w:val="auto"/>
                      <w:szCs w:val="21"/>
                    </w:rPr>
                  </w:pPr>
                  <w:r>
                    <w:rPr>
                      <w:color w:val="auto"/>
                      <w:szCs w:val="21"/>
                    </w:rPr>
                    <w:t>采用减振、消声、隔音等措施</w:t>
                  </w:r>
                  <w:r>
                    <w:rPr>
                      <w:rFonts w:hint="eastAsia"/>
                      <w:color w:val="auto"/>
                      <w:szCs w:val="21"/>
                    </w:rPr>
                    <w:t>。</w:t>
                  </w:r>
                </w:p>
              </w:tc>
              <w:tc>
                <w:tcPr>
                  <w:tcW w:w="1064" w:type="dxa"/>
                  <w:vAlign w:val="center"/>
                </w:tcPr>
                <w:p w14:paraId="14CD6B7F">
                  <w:pPr>
                    <w:adjustRightInd w:val="0"/>
                    <w:snapToGrid w:val="0"/>
                    <w:jc w:val="center"/>
                    <w:rPr>
                      <w:rFonts w:hint="eastAsia" w:eastAsia="宋体"/>
                      <w:color w:val="auto"/>
                      <w:szCs w:val="21"/>
                      <w:lang w:eastAsia="zh-CN"/>
                    </w:rPr>
                  </w:pPr>
                  <w:r>
                    <w:rPr>
                      <w:rFonts w:hint="eastAsia"/>
                      <w:color w:val="auto"/>
                      <w:szCs w:val="21"/>
                      <w:lang w:val="en-US" w:eastAsia="zh-CN"/>
                    </w:rPr>
                    <w:t>/</w:t>
                  </w:r>
                </w:p>
              </w:tc>
            </w:tr>
            <w:tr w14:paraId="09073B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dxa"/>
                  <w:vMerge w:val="continue"/>
                  <w:tcMar>
                    <w:left w:w="28" w:type="dxa"/>
                    <w:right w:w="28" w:type="dxa"/>
                  </w:tcMar>
                  <w:vAlign w:val="center"/>
                </w:tcPr>
                <w:p w14:paraId="49AEBBB0">
                  <w:pPr>
                    <w:adjustRightInd w:val="0"/>
                    <w:snapToGrid w:val="0"/>
                    <w:jc w:val="center"/>
                    <w:rPr>
                      <w:color w:val="auto"/>
                      <w:szCs w:val="21"/>
                    </w:rPr>
                  </w:pPr>
                </w:p>
              </w:tc>
              <w:tc>
                <w:tcPr>
                  <w:tcW w:w="1301" w:type="dxa"/>
                  <w:tcMar>
                    <w:left w:w="28" w:type="dxa"/>
                    <w:right w:w="28" w:type="dxa"/>
                  </w:tcMar>
                  <w:vAlign w:val="center"/>
                </w:tcPr>
                <w:p w14:paraId="4F632747">
                  <w:pPr>
                    <w:adjustRightInd w:val="0"/>
                    <w:snapToGrid w:val="0"/>
                    <w:jc w:val="center"/>
                    <w:rPr>
                      <w:rFonts w:hint="eastAsia" w:eastAsia="宋体"/>
                      <w:color w:val="auto"/>
                      <w:szCs w:val="21"/>
                      <w:lang w:eastAsia="zh-CN"/>
                    </w:rPr>
                  </w:pPr>
                  <w:r>
                    <w:rPr>
                      <w:rFonts w:hint="eastAsia"/>
                      <w:color w:val="auto"/>
                      <w:szCs w:val="21"/>
                      <w:lang w:val="en-US" w:eastAsia="zh-CN"/>
                    </w:rPr>
                    <w:t>防渗</w:t>
                  </w:r>
                </w:p>
              </w:tc>
              <w:tc>
                <w:tcPr>
                  <w:tcW w:w="5214" w:type="dxa"/>
                  <w:tcMar>
                    <w:left w:w="28" w:type="dxa"/>
                    <w:right w:w="28" w:type="dxa"/>
                  </w:tcMar>
                  <w:vAlign w:val="center"/>
                </w:tcPr>
                <w:p w14:paraId="29AF14F4">
                  <w:pPr>
                    <w:adjustRightInd w:val="0"/>
                    <w:snapToGrid w:val="0"/>
                    <w:rPr>
                      <w:rFonts w:hint="eastAsia" w:eastAsia="宋体"/>
                      <w:color w:val="auto"/>
                      <w:szCs w:val="21"/>
                      <w:lang w:eastAsia="zh-CN"/>
                    </w:rPr>
                  </w:pPr>
                  <w:r>
                    <w:rPr>
                      <w:rFonts w:hint="eastAsia" w:eastAsia="宋体"/>
                      <w:color w:val="auto"/>
                      <w:szCs w:val="21"/>
                      <w:lang w:eastAsia="zh-CN"/>
                    </w:rPr>
                    <w:t>一般防渗区：</w:t>
                  </w:r>
                  <w:r>
                    <w:rPr>
                      <w:rFonts w:hint="eastAsia" w:eastAsia="宋体"/>
                      <w:color w:val="auto"/>
                      <w:szCs w:val="21"/>
                      <w:lang w:val="en-US" w:eastAsia="zh-CN"/>
                    </w:rPr>
                    <w:t>发酵池池底及四周采用铺设钢筋混凝土加防渗剂防渗措施，废水储罐区底部、化粪池池底及四周采用钢筋混凝土浇筑</w:t>
                  </w:r>
                  <w:r>
                    <w:rPr>
                      <w:rFonts w:hint="eastAsia" w:eastAsia="宋体"/>
                      <w:color w:val="auto"/>
                      <w:szCs w:val="21"/>
                      <w:lang w:eastAsia="zh-CN"/>
                    </w:rPr>
                    <w:t>，等效黏土防渗层Mb≥1.5</w:t>
                  </w:r>
                  <w:r>
                    <w:rPr>
                      <w:rFonts w:hint="eastAsia"/>
                      <w:color w:val="auto"/>
                      <w:szCs w:val="21"/>
                      <w:vertAlign w:val="baseline"/>
                      <w:lang w:eastAsia="zh-CN"/>
                    </w:rPr>
                    <w:t>m</w:t>
                  </w:r>
                  <w:r>
                    <w:rPr>
                      <w:rFonts w:hint="eastAsia" w:eastAsia="宋体"/>
                      <w:color w:val="auto"/>
                      <w:szCs w:val="21"/>
                      <w:lang w:eastAsia="zh-CN"/>
                    </w:rPr>
                    <w:t>，渗透系数≤1×10</w:t>
                  </w:r>
                  <w:r>
                    <w:rPr>
                      <w:rFonts w:hint="eastAsia" w:eastAsia="宋体"/>
                      <w:color w:val="auto"/>
                      <w:szCs w:val="21"/>
                      <w:vertAlign w:val="superscript"/>
                      <w:lang w:eastAsia="zh-CN"/>
                    </w:rPr>
                    <w:t>-7</w:t>
                  </w:r>
                  <w:r>
                    <w:rPr>
                      <w:rFonts w:hint="eastAsia" w:eastAsia="宋体"/>
                      <w:color w:val="auto"/>
                      <w:szCs w:val="21"/>
                      <w:lang w:eastAsia="zh-CN"/>
                    </w:rPr>
                    <w:t>c</w:t>
                  </w:r>
                  <w:r>
                    <w:rPr>
                      <w:rFonts w:hint="eastAsia"/>
                      <w:color w:val="auto"/>
                      <w:szCs w:val="21"/>
                      <w:vertAlign w:val="baseline"/>
                      <w:lang w:eastAsia="zh-CN"/>
                    </w:rPr>
                    <w:t>m</w:t>
                  </w:r>
                  <w:r>
                    <w:rPr>
                      <w:rFonts w:hint="eastAsia" w:eastAsia="宋体"/>
                      <w:color w:val="auto"/>
                      <w:szCs w:val="21"/>
                      <w:lang w:eastAsia="zh-CN"/>
                    </w:rPr>
                    <w:t>/s。</w:t>
                  </w:r>
                </w:p>
                <w:p w14:paraId="33CD9E85">
                  <w:pPr>
                    <w:adjustRightInd w:val="0"/>
                    <w:snapToGrid w:val="0"/>
                    <w:rPr>
                      <w:rFonts w:hint="eastAsia" w:eastAsia="宋体"/>
                      <w:color w:val="auto"/>
                      <w:szCs w:val="21"/>
                      <w:lang w:eastAsia="zh-CN"/>
                    </w:rPr>
                  </w:pPr>
                  <w:r>
                    <w:rPr>
                      <w:rFonts w:hint="eastAsia" w:eastAsia="宋体"/>
                      <w:color w:val="auto"/>
                      <w:szCs w:val="21"/>
                      <w:lang w:eastAsia="zh-CN"/>
                    </w:rPr>
                    <w:t>简单防渗区：</w:t>
                  </w:r>
                  <w:r>
                    <w:rPr>
                      <w:rFonts w:hint="eastAsia" w:eastAsia="宋体"/>
                      <w:color w:val="auto"/>
                      <w:szCs w:val="21"/>
                      <w:lang w:val="en-US" w:eastAsia="zh-CN"/>
                    </w:rPr>
                    <w:t>车间地面、</w:t>
                  </w:r>
                  <w:r>
                    <w:rPr>
                      <w:rFonts w:hint="eastAsia" w:eastAsia="宋体"/>
                      <w:color w:val="auto"/>
                      <w:szCs w:val="21"/>
                      <w:lang w:eastAsia="zh-CN"/>
                    </w:rPr>
                    <w:t>室外地面等，</w:t>
                  </w:r>
                  <w:r>
                    <w:rPr>
                      <w:rFonts w:hint="eastAsia" w:eastAsia="宋体"/>
                      <w:color w:val="auto"/>
                      <w:szCs w:val="21"/>
                      <w:lang w:val="en-US" w:eastAsia="zh-CN"/>
                    </w:rPr>
                    <w:t>采用混凝土进行</w:t>
                  </w:r>
                  <w:r>
                    <w:rPr>
                      <w:rFonts w:hint="eastAsia" w:eastAsia="宋体"/>
                      <w:color w:val="auto"/>
                      <w:szCs w:val="21"/>
                      <w:lang w:eastAsia="zh-CN"/>
                    </w:rPr>
                    <w:t>一般地面硬化。</w:t>
                  </w:r>
                </w:p>
              </w:tc>
              <w:tc>
                <w:tcPr>
                  <w:tcW w:w="1064" w:type="dxa"/>
                  <w:vAlign w:val="center"/>
                </w:tcPr>
                <w:p w14:paraId="11C3364F">
                  <w:pPr>
                    <w:adjustRightInd w:val="0"/>
                    <w:snapToGrid w:val="0"/>
                    <w:jc w:val="center"/>
                    <w:rPr>
                      <w:rFonts w:hint="eastAsia" w:eastAsia="宋体"/>
                      <w:color w:val="auto"/>
                      <w:szCs w:val="21"/>
                      <w:lang w:eastAsia="zh-CN"/>
                    </w:rPr>
                  </w:pPr>
                  <w:r>
                    <w:rPr>
                      <w:rFonts w:hint="eastAsia"/>
                      <w:color w:val="auto"/>
                      <w:szCs w:val="21"/>
                      <w:lang w:val="en-US" w:eastAsia="zh-CN"/>
                    </w:rPr>
                    <w:t>/</w:t>
                  </w:r>
                </w:p>
              </w:tc>
            </w:tr>
          </w:tbl>
          <w:p w14:paraId="7D6A8E11">
            <w:pPr>
              <w:spacing w:before="240" w:line="360" w:lineRule="auto"/>
              <w:jc w:val="left"/>
              <w:rPr>
                <w:b/>
                <w:bCs/>
                <w:color w:val="auto"/>
                <w:sz w:val="24"/>
              </w:rPr>
            </w:pPr>
            <w:r>
              <w:rPr>
                <w:rFonts w:hint="eastAsia"/>
                <w:b/>
                <w:bCs/>
                <w:color w:val="auto"/>
                <w:sz w:val="24"/>
              </w:rPr>
              <w:t>3.</w:t>
            </w:r>
            <w:r>
              <w:rPr>
                <w:b/>
                <w:bCs/>
                <w:color w:val="auto"/>
                <w:sz w:val="24"/>
              </w:rPr>
              <w:t>产品方案</w:t>
            </w:r>
          </w:p>
          <w:p w14:paraId="7BD919FC">
            <w:pPr>
              <w:autoSpaceDE w:val="0"/>
              <w:autoSpaceDN w:val="0"/>
              <w:adjustRightInd w:val="0"/>
              <w:spacing w:line="360" w:lineRule="auto"/>
              <w:ind w:firstLine="480" w:firstLineChars="200"/>
              <w:rPr>
                <w:color w:val="auto"/>
                <w:kern w:val="0"/>
                <w:sz w:val="24"/>
              </w:rPr>
            </w:pPr>
            <w:r>
              <w:rPr>
                <w:rFonts w:hint="eastAsia"/>
                <w:bCs/>
                <w:color w:val="auto"/>
                <w:kern w:val="0"/>
                <w:sz w:val="24"/>
                <w:lang w:val="en-US" w:eastAsia="zh-CN"/>
              </w:rPr>
              <w:t>建设项目产品及规模见表</w:t>
            </w:r>
            <w:r>
              <w:rPr>
                <w:color w:val="auto"/>
                <w:kern w:val="0"/>
                <w:sz w:val="24"/>
              </w:rPr>
              <w:t>2-2。</w:t>
            </w:r>
          </w:p>
          <w:p w14:paraId="52C6C378">
            <w:pPr>
              <w:pStyle w:val="26"/>
              <w:rPr>
                <w:color w:val="auto"/>
              </w:rPr>
            </w:pPr>
            <w:r>
              <w:rPr>
                <w:color w:val="auto"/>
              </w:rPr>
              <w:t>表2-2  项目产品方案</w:t>
            </w:r>
          </w:p>
          <w:tbl>
            <w:tblPr>
              <w:tblStyle w:val="17"/>
              <w:tblW w:w="82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1233"/>
              <w:gridCol w:w="1879"/>
              <w:gridCol w:w="3643"/>
            </w:tblGrid>
            <w:tr w14:paraId="56BDE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3" w:type="dxa"/>
                  <w:vAlign w:val="center"/>
                </w:tcPr>
                <w:p w14:paraId="2E45B43A">
                  <w:pPr>
                    <w:adjustRightInd w:val="0"/>
                    <w:snapToGrid w:val="0"/>
                    <w:jc w:val="center"/>
                    <w:rPr>
                      <w:b/>
                      <w:bCs/>
                      <w:color w:val="auto"/>
                      <w:szCs w:val="21"/>
                    </w:rPr>
                  </w:pPr>
                  <w:r>
                    <w:rPr>
                      <w:b/>
                      <w:bCs/>
                      <w:color w:val="auto"/>
                      <w:szCs w:val="21"/>
                    </w:rPr>
                    <w:t>产品名称</w:t>
                  </w:r>
                </w:p>
              </w:tc>
              <w:tc>
                <w:tcPr>
                  <w:tcW w:w="1233" w:type="dxa"/>
                  <w:vAlign w:val="center"/>
                </w:tcPr>
                <w:p w14:paraId="431FE28C">
                  <w:pPr>
                    <w:adjustRightInd w:val="0"/>
                    <w:snapToGrid w:val="0"/>
                    <w:jc w:val="center"/>
                    <w:rPr>
                      <w:b/>
                      <w:bCs/>
                      <w:color w:val="auto"/>
                      <w:szCs w:val="21"/>
                    </w:rPr>
                  </w:pPr>
                  <w:r>
                    <w:rPr>
                      <w:b/>
                      <w:bCs/>
                      <w:color w:val="auto"/>
                      <w:szCs w:val="21"/>
                    </w:rPr>
                    <w:t>生产规模</w:t>
                  </w:r>
                </w:p>
              </w:tc>
              <w:tc>
                <w:tcPr>
                  <w:tcW w:w="1879" w:type="dxa"/>
                  <w:vAlign w:val="center"/>
                </w:tcPr>
                <w:p w14:paraId="0C2DFBCC">
                  <w:pPr>
                    <w:adjustRightInd w:val="0"/>
                    <w:snapToGrid w:val="0"/>
                    <w:jc w:val="center"/>
                    <w:rPr>
                      <w:rFonts w:hint="eastAsia" w:eastAsia="宋体"/>
                      <w:b/>
                      <w:bCs/>
                      <w:color w:val="auto"/>
                      <w:szCs w:val="21"/>
                      <w:lang w:val="en-US" w:eastAsia="zh-CN"/>
                    </w:rPr>
                  </w:pPr>
                  <w:r>
                    <w:rPr>
                      <w:rFonts w:hint="eastAsia"/>
                      <w:b/>
                      <w:bCs/>
                      <w:color w:val="auto"/>
                      <w:szCs w:val="21"/>
                      <w:lang w:val="en-US" w:eastAsia="zh-CN"/>
                    </w:rPr>
                    <w:t>规格</w:t>
                  </w:r>
                </w:p>
              </w:tc>
              <w:tc>
                <w:tcPr>
                  <w:tcW w:w="3643" w:type="dxa"/>
                  <w:vAlign w:val="center"/>
                </w:tcPr>
                <w:p w14:paraId="3942E7A8">
                  <w:pPr>
                    <w:adjustRightInd w:val="0"/>
                    <w:snapToGrid w:val="0"/>
                    <w:jc w:val="center"/>
                    <w:rPr>
                      <w:b/>
                      <w:bCs/>
                      <w:color w:val="auto"/>
                      <w:szCs w:val="21"/>
                    </w:rPr>
                  </w:pPr>
                  <w:r>
                    <w:rPr>
                      <w:b/>
                      <w:bCs/>
                      <w:color w:val="auto"/>
                      <w:szCs w:val="21"/>
                    </w:rPr>
                    <w:t>产品标准</w:t>
                  </w:r>
                </w:p>
              </w:tc>
            </w:tr>
            <w:tr w14:paraId="22BBD3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483" w:type="dxa"/>
                  <w:vAlign w:val="center"/>
                </w:tcPr>
                <w:p w14:paraId="4E4E3CB2">
                  <w:pPr>
                    <w:adjustRightInd w:val="0"/>
                    <w:snapToGrid w:val="0"/>
                    <w:jc w:val="center"/>
                    <w:rPr>
                      <w:rFonts w:hint="eastAsia" w:eastAsia="宋体"/>
                      <w:color w:val="auto"/>
                      <w:szCs w:val="21"/>
                      <w:lang w:eastAsia="zh-CN"/>
                    </w:rPr>
                  </w:pPr>
                  <w:r>
                    <w:rPr>
                      <w:rFonts w:hint="eastAsia"/>
                      <w:bCs/>
                      <w:color w:val="auto"/>
                      <w:szCs w:val="21"/>
                    </w:rPr>
                    <w:t>酱腌菜</w:t>
                  </w:r>
                  <w:r>
                    <w:rPr>
                      <w:rFonts w:hint="eastAsia"/>
                      <w:bCs/>
                      <w:color w:val="auto"/>
                      <w:szCs w:val="21"/>
                      <w:lang w:eastAsia="zh-CN"/>
                    </w:rPr>
                    <w:t>（</w:t>
                  </w:r>
                  <w:r>
                    <w:rPr>
                      <w:rFonts w:hint="eastAsia"/>
                      <w:bCs/>
                      <w:color w:val="auto"/>
                      <w:szCs w:val="21"/>
                      <w:lang w:val="en-US" w:eastAsia="zh-CN"/>
                    </w:rPr>
                    <w:t>酸菜</w:t>
                  </w:r>
                  <w:r>
                    <w:rPr>
                      <w:rFonts w:hint="eastAsia"/>
                      <w:bCs/>
                      <w:color w:val="auto"/>
                      <w:szCs w:val="21"/>
                      <w:lang w:eastAsia="zh-CN"/>
                    </w:rPr>
                    <w:t>）</w:t>
                  </w:r>
                </w:p>
              </w:tc>
              <w:tc>
                <w:tcPr>
                  <w:tcW w:w="1233" w:type="dxa"/>
                  <w:vAlign w:val="center"/>
                </w:tcPr>
                <w:p w14:paraId="2A7B4A0A">
                  <w:pPr>
                    <w:adjustRightInd w:val="0"/>
                    <w:snapToGrid w:val="0"/>
                    <w:jc w:val="center"/>
                    <w:rPr>
                      <w:rFonts w:hint="default" w:eastAsia="宋体"/>
                      <w:color w:val="auto"/>
                      <w:szCs w:val="21"/>
                      <w:lang w:val="en-US" w:eastAsia="zh-CN"/>
                    </w:rPr>
                  </w:pPr>
                  <w:r>
                    <w:rPr>
                      <w:rFonts w:hint="eastAsia"/>
                      <w:bCs/>
                      <w:color w:val="auto"/>
                      <w:szCs w:val="21"/>
                      <w:lang w:val="en-US" w:eastAsia="zh-CN"/>
                    </w:rPr>
                    <w:t>3</w:t>
                  </w:r>
                  <w:r>
                    <w:rPr>
                      <w:rFonts w:hint="eastAsia"/>
                      <w:bCs/>
                      <w:color w:val="auto"/>
                      <w:szCs w:val="21"/>
                    </w:rPr>
                    <w:t>00</w:t>
                  </w:r>
                  <w:r>
                    <w:rPr>
                      <w:rFonts w:hint="eastAsia"/>
                      <w:bCs/>
                      <w:color w:val="auto"/>
                      <w:szCs w:val="21"/>
                      <w:lang w:val="en-US" w:eastAsia="zh-CN"/>
                    </w:rPr>
                    <w:t>t/a</w:t>
                  </w:r>
                </w:p>
              </w:tc>
              <w:tc>
                <w:tcPr>
                  <w:tcW w:w="1879" w:type="dxa"/>
                  <w:vMerge w:val="restart"/>
                  <w:vAlign w:val="center"/>
                </w:tcPr>
                <w:p w14:paraId="244BBF51">
                  <w:pPr>
                    <w:adjustRightInd w:val="0"/>
                    <w:snapToGrid w:val="0"/>
                    <w:jc w:val="center"/>
                    <w:rPr>
                      <w:rFonts w:hint="eastAsia"/>
                      <w:color w:val="auto"/>
                      <w:szCs w:val="21"/>
                      <w:lang w:val="en-US" w:eastAsia="zh-CN"/>
                    </w:rPr>
                  </w:pPr>
                  <w:r>
                    <w:rPr>
                      <w:rFonts w:hint="eastAsia"/>
                      <w:color w:val="auto"/>
                      <w:szCs w:val="21"/>
                      <w:lang w:val="en-US" w:eastAsia="zh-CN"/>
                    </w:rPr>
                    <w:t>500g袋装</w:t>
                  </w:r>
                </w:p>
                <w:p w14:paraId="55B33F89">
                  <w:pPr>
                    <w:adjustRightInd w:val="0"/>
                    <w:snapToGrid w:val="0"/>
                    <w:jc w:val="center"/>
                    <w:rPr>
                      <w:rFonts w:hint="default"/>
                      <w:color w:val="auto"/>
                      <w:szCs w:val="21"/>
                      <w:lang w:val="en-US" w:eastAsia="zh-CN"/>
                    </w:rPr>
                  </w:pPr>
                  <w:r>
                    <w:rPr>
                      <w:rFonts w:hint="eastAsia"/>
                      <w:color w:val="auto"/>
                      <w:szCs w:val="21"/>
                      <w:lang w:val="en-US" w:eastAsia="zh-CN"/>
                    </w:rPr>
                    <w:t>600g袋装</w:t>
                  </w:r>
                </w:p>
                <w:p w14:paraId="7FF0C5BB">
                  <w:pPr>
                    <w:adjustRightInd w:val="0"/>
                    <w:snapToGrid w:val="0"/>
                    <w:jc w:val="center"/>
                    <w:rPr>
                      <w:rFonts w:hint="eastAsia"/>
                      <w:color w:val="auto"/>
                      <w:szCs w:val="21"/>
                      <w:lang w:val="en-US" w:eastAsia="zh-CN"/>
                    </w:rPr>
                  </w:pPr>
                  <w:r>
                    <w:rPr>
                      <w:rFonts w:hint="eastAsia"/>
                      <w:color w:val="auto"/>
                      <w:szCs w:val="21"/>
                      <w:lang w:val="en-US" w:eastAsia="zh-CN"/>
                    </w:rPr>
                    <w:t>750g袋装</w:t>
                  </w:r>
                </w:p>
                <w:p w14:paraId="1D64A4AB">
                  <w:pPr>
                    <w:adjustRightInd w:val="0"/>
                    <w:snapToGrid w:val="0"/>
                    <w:jc w:val="center"/>
                    <w:rPr>
                      <w:rFonts w:hint="eastAsia"/>
                      <w:color w:val="auto"/>
                      <w:szCs w:val="21"/>
                      <w:lang w:val="en-US" w:eastAsia="zh-CN"/>
                    </w:rPr>
                  </w:pPr>
                  <w:r>
                    <w:rPr>
                      <w:rFonts w:hint="eastAsia"/>
                      <w:color w:val="auto"/>
                      <w:szCs w:val="21"/>
                      <w:lang w:val="en-US" w:eastAsia="zh-CN"/>
                    </w:rPr>
                    <w:t>1kg袋装</w:t>
                  </w:r>
                </w:p>
                <w:p w14:paraId="2902A02F">
                  <w:pPr>
                    <w:adjustRightInd w:val="0"/>
                    <w:snapToGrid w:val="0"/>
                    <w:jc w:val="center"/>
                    <w:rPr>
                      <w:rFonts w:hint="default"/>
                      <w:color w:val="auto"/>
                      <w:szCs w:val="21"/>
                      <w:lang w:val="en-US" w:eastAsia="zh-CN"/>
                    </w:rPr>
                  </w:pPr>
                  <w:r>
                    <w:rPr>
                      <w:rFonts w:hint="eastAsia"/>
                      <w:color w:val="auto"/>
                      <w:szCs w:val="21"/>
                      <w:lang w:val="en-US" w:eastAsia="zh-CN"/>
                    </w:rPr>
                    <w:t>20kg桶装</w:t>
                  </w:r>
                </w:p>
              </w:tc>
              <w:tc>
                <w:tcPr>
                  <w:tcW w:w="3643" w:type="dxa"/>
                  <w:vMerge w:val="restart"/>
                  <w:vAlign w:val="center"/>
                </w:tcPr>
                <w:p w14:paraId="56D41F26">
                  <w:pPr>
                    <w:adjustRightInd w:val="0"/>
                    <w:snapToGrid w:val="0"/>
                    <w:jc w:val="center"/>
                    <w:rPr>
                      <w:color w:val="auto"/>
                      <w:szCs w:val="21"/>
                    </w:rPr>
                  </w:pPr>
                  <w:r>
                    <w:rPr>
                      <w:rFonts w:hint="eastAsia"/>
                      <w:color w:val="auto"/>
                      <w:szCs w:val="21"/>
                      <w:lang w:val="en-US" w:eastAsia="zh-CN"/>
                    </w:rPr>
                    <w:t>《食品安全国家标准酱腌菜》 （GB2714-2015）</w:t>
                  </w:r>
                </w:p>
              </w:tc>
            </w:tr>
            <w:tr w14:paraId="66F66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3" w:type="dxa"/>
                  <w:vAlign w:val="center"/>
                </w:tcPr>
                <w:p w14:paraId="0BF2123E">
                  <w:pPr>
                    <w:adjustRightInd w:val="0"/>
                    <w:snapToGrid w:val="0"/>
                    <w:jc w:val="center"/>
                    <w:rPr>
                      <w:rFonts w:hint="default" w:eastAsia="宋体"/>
                      <w:bCs/>
                      <w:color w:val="auto"/>
                      <w:szCs w:val="21"/>
                      <w:lang w:val="en-US" w:eastAsia="zh-CN"/>
                    </w:rPr>
                  </w:pPr>
                  <w:r>
                    <w:rPr>
                      <w:rFonts w:hint="eastAsia"/>
                      <w:bCs/>
                      <w:color w:val="auto"/>
                      <w:szCs w:val="21"/>
                      <w:lang w:val="en-US" w:eastAsia="zh-CN"/>
                    </w:rPr>
                    <w:t>生腌酱腌菜（酸菜）</w:t>
                  </w:r>
                </w:p>
              </w:tc>
              <w:tc>
                <w:tcPr>
                  <w:tcW w:w="1233" w:type="dxa"/>
                  <w:vAlign w:val="center"/>
                </w:tcPr>
                <w:p w14:paraId="59ABA6CE">
                  <w:pPr>
                    <w:adjustRightInd w:val="0"/>
                    <w:snapToGrid w:val="0"/>
                    <w:jc w:val="center"/>
                    <w:rPr>
                      <w:rFonts w:hint="eastAsia"/>
                      <w:bCs/>
                      <w:color w:val="auto"/>
                      <w:szCs w:val="21"/>
                    </w:rPr>
                  </w:pPr>
                  <w:r>
                    <w:rPr>
                      <w:rFonts w:hint="eastAsia"/>
                      <w:bCs/>
                      <w:color w:val="auto"/>
                      <w:szCs w:val="21"/>
                      <w:lang w:val="en-US" w:eastAsia="zh-CN"/>
                    </w:rPr>
                    <w:t>2</w:t>
                  </w:r>
                  <w:r>
                    <w:rPr>
                      <w:rFonts w:hint="eastAsia"/>
                      <w:bCs/>
                      <w:color w:val="auto"/>
                      <w:szCs w:val="21"/>
                    </w:rPr>
                    <w:t>00</w:t>
                  </w:r>
                  <w:r>
                    <w:rPr>
                      <w:rFonts w:hint="eastAsia"/>
                      <w:bCs/>
                      <w:color w:val="auto"/>
                      <w:szCs w:val="21"/>
                      <w:lang w:val="en-US" w:eastAsia="zh-CN"/>
                    </w:rPr>
                    <w:t>t/a</w:t>
                  </w:r>
                </w:p>
              </w:tc>
              <w:tc>
                <w:tcPr>
                  <w:tcW w:w="1879" w:type="dxa"/>
                  <w:vMerge w:val="continue"/>
                  <w:vAlign w:val="center"/>
                </w:tcPr>
                <w:p w14:paraId="3D4EA93E">
                  <w:pPr>
                    <w:adjustRightInd w:val="0"/>
                    <w:snapToGrid w:val="0"/>
                    <w:jc w:val="center"/>
                    <w:rPr>
                      <w:rFonts w:hint="eastAsia"/>
                      <w:color w:val="auto"/>
                      <w:szCs w:val="21"/>
                      <w:lang w:val="en-US" w:eastAsia="zh-CN"/>
                    </w:rPr>
                  </w:pPr>
                </w:p>
              </w:tc>
              <w:tc>
                <w:tcPr>
                  <w:tcW w:w="3643" w:type="dxa"/>
                  <w:vMerge w:val="continue"/>
                  <w:vAlign w:val="center"/>
                </w:tcPr>
                <w:p w14:paraId="2A05B10E">
                  <w:pPr>
                    <w:adjustRightInd w:val="0"/>
                    <w:snapToGrid w:val="0"/>
                    <w:jc w:val="center"/>
                    <w:rPr>
                      <w:rFonts w:hint="eastAsia"/>
                      <w:color w:val="auto"/>
                      <w:szCs w:val="21"/>
                      <w:lang w:val="en-US" w:eastAsia="zh-CN"/>
                    </w:rPr>
                  </w:pPr>
                </w:p>
              </w:tc>
            </w:tr>
          </w:tbl>
          <w:p w14:paraId="400E1066">
            <w:pPr>
              <w:spacing w:before="240" w:line="360" w:lineRule="auto"/>
              <w:jc w:val="left"/>
              <w:rPr>
                <w:b/>
                <w:bCs/>
                <w:color w:val="auto"/>
                <w:sz w:val="24"/>
              </w:rPr>
            </w:pPr>
            <w:r>
              <w:rPr>
                <w:rFonts w:hint="eastAsia"/>
                <w:b/>
                <w:bCs/>
                <w:color w:val="auto"/>
                <w:sz w:val="24"/>
              </w:rPr>
              <w:t>4.</w:t>
            </w:r>
            <w:r>
              <w:rPr>
                <w:b/>
                <w:bCs/>
                <w:color w:val="auto"/>
                <w:sz w:val="24"/>
              </w:rPr>
              <w:t>原辅材料及动力消耗情况</w:t>
            </w:r>
          </w:p>
          <w:p w14:paraId="70A5A7C5">
            <w:pPr>
              <w:autoSpaceDE w:val="0"/>
              <w:autoSpaceDN w:val="0"/>
              <w:spacing w:line="360" w:lineRule="auto"/>
              <w:ind w:firstLine="480" w:firstLineChars="200"/>
              <w:rPr>
                <w:color w:val="auto"/>
                <w:kern w:val="0"/>
                <w:sz w:val="24"/>
              </w:rPr>
            </w:pPr>
            <w:r>
              <w:rPr>
                <w:rFonts w:hint="eastAsia"/>
                <w:color w:val="auto"/>
                <w:kern w:val="0"/>
                <w:sz w:val="24"/>
                <w:lang w:val="en-US" w:eastAsia="zh-CN"/>
              </w:rPr>
              <w:t>本项目</w:t>
            </w:r>
            <w:r>
              <w:rPr>
                <w:color w:val="auto"/>
                <w:kern w:val="0"/>
                <w:sz w:val="24"/>
              </w:rPr>
              <w:t>主要原、辅材料消耗量见表2-3。</w:t>
            </w:r>
          </w:p>
          <w:p w14:paraId="1E2232A5">
            <w:pPr>
              <w:pStyle w:val="26"/>
              <w:rPr>
                <w:color w:val="auto"/>
              </w:rPr>
            </w:pPr>
            <w:r>
              <w:rPr>
                <w:color w:val="auto"/>
              </w:rPr>
              <w:t>表2-3 主要原辅材料及动力消耗情况表</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1106"/>
              <w:gridCol w:w="839"/>
              <w:gridCol w:w="2682"/>
              <w:gridCol w:w="2339"/>
            </w:tblGrid>
            <w:tr w14:paraId="3C299F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2" w:type="pct"/>
                  <w:vAlign w:val="center"/>
                </w:tcPr>
                <w:p w14:paraId="3D899FD1">
                  <w:pPr>
                    <w:autoSpaceDE w:val="0"/>
                    <w:autoSpaceDN w:val="0"/>
                    <w:jc w:val="center"/>
                    <w:rPr>
                      <w:color w:val="auto"/>
                      <w:kern w:val="0"/>
                      <w:szCs w:val="21"/>
                    </w:rPr>
                  </w:pPr>
                  <w:r>
                    <w:rPr>
                      <w:color w:val="auto"/>
                      <w:kern w:val="0"/>
                      <w:szCs w:val="21"/>
                    </w:rPr>
                    <w:t>名称</w:t>
                  </w:r>
                </w:p>
              </w:tc>
              <w:tc>
                <w:tcPr>
                  <w:tcW w:w="671" w:type="pct"/>
                  <w:vAlign w:val="center"/>
                </w:tcPr>
                <w:p w14:paraId="63C4EC84">
                  <w:pPr>
                    <w:autoSpaceDE w:val="0"/>
                    <w:autoSpaceDN w:val="0"/>
                    <w:jc w:val="center"/>
                    <w:rPr>
                      <w:color w:val="auto"/>
                      <w:kern w:val="0"/>
                      <w:szCs w:val="21"/>
                    </w:rPr>
                  </w:pPr>
                  <w:r>
                    <w:rPr>
                      <w:color w:val="auto"/>
                      <w:kern w:val="0"/>
                      <w:szCs w:val="21"/>
                    </w:rPr>
                    <w:t>年耗量</w:t>
                  </w:r>
                </w:p>
              </w:tc>
              <w:tc>
                <w:tcPr>
                  <w:tcW w:w="509" w:type="pct"/>
                  <w:vAlign w:val="center"/>
                </w:tcPr>
                <w:p w14:paraId="780A6B50">
                  <w:pPr>
                    <w:autoSpaceDE w:val="0"/>
                    <w:autoSpaceDN w:val="0"/>
                    <w:jc w:val="center"/>
                    <w:rPr>
                      <w:rFonts w:hint="eastAsia" w:eastAsia="宋体"/>
                      <w:color w:val="auto"/>
                      <w:kern w:val="0"/>
                      <w:szCs w:val="21"/>
                      <w:lang w:val="en-US" w:eastAsia="zh-CN"/>
                    </w:rPr>
                  </w:pPr>
                  <w:r>
                    <w:rPr>
                      <w:rFonts w:hint="eastAsia"/>
                      <w:color w:val="auto"/>
                      <w:kern w:val="0"/>
                      <w:szCs w:val="21"/>
                      <w:lang w:val="en-US" w:eastAsia="zh-CN"/>
                    </w:rPr>
                    <w:t>单位</w:t>
                  </w:r>
                </w:p>
              </w:tc>
              <w:tc>
                <w:tcPr>
                  <w:tcW w:w="1627" w:type="pct"/>
                  <w:vAlign w:val="center"/>
                </w:tcPr>
                <w:p w14:paraId="14B26AC2">
                  <w:pPr>
                    <w:autoSpaceDE w:val="0"/>
                    <w:autoSpaceDN w:val="0"/>
                    <w:jc w:val="center"/>
                    <w:rPr>
                      <w:color w:val="auto"/>
                      <w:kern w:val="0"/>
                      <w:szCs w:val="21"/>
                    </w:rPr>
                  </w:pPr>
                  <w:r>
                    <w:rPr>
                      <w:color w:val="auto"/>
                      <w:kern w:val="0"/>
                      <w:szCs w:val="21"/>
                    </w:rPr>
                    <w:t>来源</w:t>
                  </w:r>
                </w:p>
              </w:tc>
              <w:tc>
                <w:tcPr>
                  <w:tcW w:w="1419" w:type="pct"/>
                  <w:vAlign w:val="center"/>
                </w:tcPr>
                <w:p w14:paraId="1BB6500C">
                  <w:pPr>
                    <w:autoSpaceDE w:val="0"/>
                    <w:autoSpaceDN w:val="0"/>
                    <w:jc w:val="center"/>
                    <w:rPr>
                      <w:color w:val="auto"/>
                      <w:kern w:val="0"/>
                      <w:szCs w:val="21"/>
                    </w:rPr>
                  </w:pPr>
                  <w:r>
                    <w:rPr>
                      <w:color w:val="auto"/>
                      <w:kern w:val="0"/>
                      <w:szCs w:val="21"/>
                    </w:rPr>
                    <w:t>厂区储存形式</w:t>
                  </w:r>
                </w:p>
              </w:tc>
            </w:tr>
            <w:tr w14:paraId="06FBB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2" w:type="pct"/>
                  <w:vAlign w:val="center"/>
                </w:tcPr>
                <w:p w14:paraId="6B411943">
                  <w:pPr>
                    <w:autoSpaceDE w:val="0"/>
                    <w:autoSpaceDN w:val="0"/>
                    <w:jc w:val="center"/>
                    <w:rPr>
                      <w:color w:val="auto"/>
                      <w:kern w:val="0"/>
                      <w:szCs w:val="21"/>
                    </w:rPr>
                  </w:pPr>
                  <w:r>
                    <w:rPr>
                      <w:rFonts w:hint="eastAsia"/>
                      <w:color w:val="auto"/>
                      <w:kern w:val="0"/>
                      <w:szCs w:val="21"/>
                      <w:lang w:val="en-US" w:eastAsia="zh-CN"/>
                    </w:rPr>
                    <w:t>长白菜</w:t>
                  </w:r>
                </w:p>
              </w:tc>
              <w:tc>
                <w:tcPr>
                  <w:tcW w:w="671" w:type="pct"/>
                  <w:vAlign w:val="center"/>
                </w:tcPr>
                <w:p w14:paraId="3B7314C1">
                  <w:pPr>
                    <w:autoSpaceDE w:val="0"/>
                    <w:autoSpaceDN w:val="0"/>
                    <w:jc w:val="center"/>
                    <w:rPr>
                      <w:rFonts w:hint="default" w:eastAsia="宋体"/>
                      <w:color w:val="auto"/>
                      <w:kern w:val="0"/>
                      <w:szCs w:val="21"/>
                      <w:lang w:val="en-US" w:eastAsia="zh-CN"/>
                    </w:rPr>
                  </w:pPr>
                  <w:r>
                    <w:rPr>
                      <w:rFonts w:hint="eastAsia"/>
                      <w:color w:val="auto"/>
                      <w:kern w:val="0"/>
                      <w:szCs w:val="21"/>
                      <w:lang w:val="en-US" w:eastAsia="zh-CN"/>
                    </w:rPr>
                    <w:t>500</w:t>
                  </w:r>
                </w:p>
              </w:tc>
              <w:tc>
                <w:tcPr>
                  <w:tcW w:w="509" w:type="pct"/>
                  <w:vAlign w:val="center"/>
                </w:tcPr>
                <w:p w14:paraId="77986C89">
                  <w:pPr>
                    <w:autoSpaceDE w:val="0"/>
                    <w:autoSpaceDN w:val="0"/>
                    <w:jc w:val="center"/>
                    <w:rPr>
                      <w:rFonts w:hint="eastAsia"/>
                      <w:color w:val="auto"/>
                      <w:kern w:val="0"/>
                      <w:szCs w:val="21"/>
                      <w:lang w:val="en-US" w:eastAsia="zh-CN"/>
                    </w:rPr>
                  </w:pPr>
                  <w:r>
                    <w:rPr>
                      <w:rFonts w:hint="eastAsia"/>
                      <w:color w:val="auto"/>
                      <w:kern w:val="0"/>
                      <w:szCs w:val="21"/>
                      <w:lang w:val="en-US" w:eastAsia="zh-CN"/>
                    </w:rPr>
                    <w:t>t</w:t>
                  </w:r>
                </w:p>
              </w:tc>
              <w:tc>
                <w:tcPr>
                  <w:tcW w:w="1627" w:type="pct"/>
                  <w:vAlign w:val="center"/>
                </w:tcPr>
                <w:p w14:paraId="48EFFBDE">
                  <w:pPr>
                    <w:autoSpaceDE w:val="0"/>
                    <w:autoSpaceDN w:val="0"/>
                    <w:jc w:val="center"/>
                    <w:rPr>
                      <w:color w:val="auto"/>
                      <w:kern w:val="0"/>
                      <w:szCs w:val="21"/>
                    </w:rPr>
                  </w:pPr>
                  <w:r>
                    <w:rPr>
                      <w:rFonts w:hint="eastAsia"/>
                      <w:color w:val="auto"/>
                      <w:kern w:val="0"/>
                      <w:szCs w:val="21"/>
                      <w:lang w:val="en-US" w:eastAsia="zh-CN"/>
                    </w:rPr>
                    <w:t>本地收购</w:t>
                  </w:r>
                </w:p>
              </w:tc>
              <w:tc>
                <w:tcPr>
                  <w:tcW w:w="1419" w:type="pct"/>
                  <w:vMerge w:val="restart"/>
                  <w:vAlign w:val="center"/>
                </w:tcPr>
                <w:p w14:paraId="399E3FA0">
                  <w:pPr>
                    <w:autoSpaceDE w:val="0"/>
                    <w:autoSpaceDN w:val="0"/>
                    <w:jc w:val="center"/>
                    <w:rPr>
                      <w:color w:val="auto"/>
                      <w:kern w:val="0"/>
                      <w:szCs w:val="21"/>
                    </w:rPr>
                  </w:pPr>
                  <w:r>
                    <w:rPr>
                      <w:rFonts w:hint="eastAsia"/>
                      <w:color w:val="auto"/>
                      <w:kern w:val="0"/>
                      <w:szCs w:val="21"/>
                      <w:lang w:val="en-US" w:eastAsia="zh-CN"/>
                    </w:rPr>
                    <w:t>入场后直接清洗等生产工序，无需储存</w:t>
                  </w:r>
                </w:p>
              </w:tc>
            </w:tr>
            <w:tr w14:paraId="1FB98B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2" w:type="pct"/>
                  <w:vAlign w:val="center"/>
                </w:tcPr>
                <w:p w14:paraId="7AAF7187">
                  <w:pPr>
                    <w:autoSpaceDE w:val="0"/>
                    <w:autoSpaceDN w:val="0"/>
                    <w:jc w:val="center"/>
                    <w:rPr>
                      <w:color w:val="auto"/>
                      <w:kern w:val="0"/>
                      <w:szCs w:val="21"/>
                    </w:rPr>
                  </w:pPr>
                  <w:r>
                    <w:rPr>
                      <w:rFonts w:hint="eastAsia"/>
                      <w:color w:val="auto"/>
                      <w:kern w:val="0"/>
                      <w:szCs w:val="21"/>
                      <w:lang w:val="en-US" w:eastAsia="zh-CN"/>
                    </w:rPr>
                    <w:t>精白菜</w:t>
                  </w:r>
                </w:p>
              </w:tc>
              <w:tc>
                <w:tcPr>
                  <w:tcW w:w="671" w:type="pct"/>
                  <w:vAlign w:val="center"/>
                </w:tcPr>
                <w:p w14:paraId="37A3397D">
                  <w:pPr>
                    <w:autoSpaceDE w:val="0"/>
                    <w:autoSpaceDN w:val="0"/>
                    <w:jc w:val="center"/>
                    <w:rPr>
                      <w:rFonts w:hint="default" w:eastAsia="宋体"/>
                      <w:color w:val="auto"/>
                      <w:kern w:val="0"/>
                      <w:szCs w:val="21"/>
                      <w:lang w:val="en-US" w:eastAsia="zh-CN"/>
                    </w:rPr>
                  </w:pPr>
                  <w:r>
                    <w:rPr>
                      <w:rFonts w:hint="eastAsia"/>
                      <w:color w:val="auto"/>
                      <w:kern w:val="0"/>
                      <w:szCs w:val="21"/>
                      <w:lang w:val="en-US" w:eastAsia="zh-CN"/>
                    </w:rPr>
                    <w:t>300</w:t>
                  </w:r>
                </w:p>
              </w:tc>
              <w:tc>
                <w:tcPr>
                  <w:tcW w:w="509" w:type="pct"/>
                  <w:vAlign w:val="center"/>
                </w:tcPr>
                <w:p w14:paraId="4781F901">
                  <w:pPr>
                    <w:autoSpaceDE w:val="0"/>
                    <w:autoSpaceDN w:val="0"/>
                    <w:jc w:val="center"/>
                    <w:rPr>
                      <w:rFonts w:hint="eastAsia"/>
                      <w:color w:val="auto"/>
                      <w:kern w:val="0"/>
                      <w:szCs w:val="21"/>
                      <w:lang w:val="en-US" w:eastAsia="zh-CN"/>
                    </w:rPr>
                  </w:pPr>
                  <w:r>
                    <w:rPr>
                      <w:rFonts w:hint="eastAsia"/>
                      <w:color w:val="auto"/>
                      <w:kern w:val="0"/>
                      <w:szCs w:val="21"/>
                      <w:lang w:val="en-US" w:eastAsia="zh-CN"/>
                    </w:rPr>
                    <w:t>t</w:t>
                  </w:r>
                </w:p>
              </w:tc>
              <w:tc>
                <w:tcPr>
                  <w:tcW w:w="1627" w:type="pct"/>
                  <w:vAlign w:val="center"/>
                </w:tcPr>
                <w:p w14:paraId="0BE13B1E">
                  <w:pPr>
                    <w:autoSpaceDE w:val="0"/>
                    <w:autoSpaceDN w:val="0"/>
                    <w:jc w:val="center"/>
                    <w:rPr>
                      <w:color w:val="auto"/>
                      <w:kern w:val="0"/>
                      <w:szCs w:val="21"/>
                    </w:rPr>
                  </w:pPr>
                  <w:r>
                    <w:rPr>
                      <w:rFonts w:hint="eastAsia"/>
                      <w:color w:val="auto"/>
                      <w:kern w:val="0"/>
                      <w:szCs w:val="21"/>
                      <w:lang w:val="en-US" w:eastAsia="zh-CN"/>
                    </w:rPr>
                    <w:t>本地收购</w:t>
                  </w:r>
                </w:p>
              </w:tc>
              <w:tc>
                <w:tcPr>
                  <w:tcW w:w="1419" w:type="pct"/>
                  <w:vMerge w:val="continue"/>
                  <w:vAlign w:val="center"/>
                </w:tcPr>
                <w:p w14:paraId="5AA5A50B">
                  <w:pPr>
                    <w:autoSpaceDE w:val="0"/>
                    <w:autoSpaceDN w:val="0"/>
                    <w:jc w:val="center"/>
                    <w:rPr>
                      <w:color w:val="auto"/>
                      <w:kern w:val="0"/>
                      <w:szCs w:val="21"/>
                    </w:rPr>
                  </w:pPr>
                </w:p>
              </w:tc>
            </w:tr>
            <w:tr w14:paraId="1B3016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2" w:type="pct"/>
                  <w:vAlign w:val="center"/>
                </w:tcPr>
                <w:p w14:paraId="7D0423B7">
                  <w:pPr>
                    <w:autoSpaceDE w:val="0"/>
                    <w:autoSpaceDN w:val="0"/>
                    <w:jc w:val="center"/>
                    <w:rPr>
                      <w:color w:val="auto"/>
                      <w:kern w:val="0"/>
                      <w:szCs w:val="21"/>
                    </w:rPr>
                  </w:pPr>
                  <w:r>
                    <w:rPr>
                      <w:rFonts w:hint="eastAsia"/>
                      <w:color w:val="auto"/>
                      <w:kern w:val="0"/>
                      <w:szCs w:val="21"/>
                      <w:lang w:val="en-US" w:eastAsia="zh-CN"/>
                    </w:rPr>
                    <w:t>食用盐</w:t>
                  </w:r>
                </w:p>
              </w:tc>
              <w:tc>
                <w:tcPr>
                  <w:tcW w:w="671" w:type="pct"/>
                  <w:vAlign w:val="center"/>
                </w:tcPr>
                <w:p w14:paraId="22DB0E68">
                  <w:pPr>
                    <w:autoSpaceDE w:val="0"/>
                    <w:autoSpaceDN w:val="0"/>
                    <w:jc w:val="center"/>
                    <w:rPr>
                      <w:rFonts w:hint="default" w:eastAsia="宋体"/>
                      <w:color w:val="auto"/>
                      <w:kern w:val="0"/>
                      <w:szCs w:val="21"/>
                      <w:lang w:val="en-US" w:eastAsia="zh-CN"/>
                    </w:rPr>
                  </w:pPr>
                  <w:r>
                    <w:rPr>
                      <w:rFonts w:hint="eastAsia"/>
                      <w:color w:val="auto"/>
                      <w:kern w:val="0"/>
                      <w:szCs w:val="21"/>
                      <w:lang w:val="en-US" w:eastAsia="zh-CN"/>
                    </w:rPr>
                    <w:t>10</w:t>
                  </w:r>
                </w:p>
              </w:tc>
              <w:tc>
                <w:tcPr>
                  <w:tcW w:w="509" w:type="pct"/>
                  <w:vAlign w:val="center"/>
                </w:tcPr>
                <w:p w14:paraId="1F004018">
                  <w:pPr>
                    <w:autoSpaceDE w:val="0"/>
                    <w:autoSpaceDN w:val="0"/>
                    <w:jc w:val="center"/>
                    <w:rPr>
                      <w:color w:val="auto"/>
                      <w:kern w:val="0"/>
                      <w:szCs w:val="21"/>
                    </w:rPr>
                  </w:pPr>
                  <w:r>
                    <w:rPr>
                      <w:color w:val="auto"/>
                      <w:kern w:val="0"/>
                      <w:szCs w:val="21"/>
                    </w:rPr>
                    <w:t>t</w:t>
                  </w:r>
                </w:p>
              </w:tc>
              <w:tc>
                <w:tcPr>
                  <w:tcW w:w="1627" w:type="pct"/>
                  <w:vAlign w:val="center"/>
                </w:tcPr>
                <w:p w14:paraId="48C4670D">
                  <w:pPr>
                    <w:autoSpaceDE w:val="0"/>
                    <w:autoSpaceDN w:val="0"/>
                    <w:jc w:val="center"/>
                    <w:rPr>
                      <w:color w:val="auto"/>
                      <w:kern w:val="0"/>
                      <w:szCs w:val="21"/>
                    </w:rPr>
                  </w:pPr>
                  <w:r>
                    <w:rPr>
                      <w:color w:val="auto"/>
                      <w:kern w:val="0"/>
                      <w:szCs w:val="21"/>
                    </w:rPr>
                    <w:t>外购</w:t>
                  </w:r>
                </w:p>
              </w:tc>
              <w:tc>
                <w:tcPr>
                  <w:tcW w:w="1419" w:type="pct"/>
                  <w:vAlign w:val="center"/>
                </w:tcPr>
                <w:p w14:paraId="31B22B33">
                  <w:pPr>
                    <w:autoSpaceDE w:val="0"/>
                    <w:autoSpaceDN w:val="0"/>
                    <w:jc w:val="center"/>
                    <w:rPr>
                      <w:color w:val="auto"/>
                      <w:kern w:val="0"/>
                      <w:szCs w:val="21"/>
                    </w:rPr>
                  </w:pPr>
                  <w:r>
                    <w:rPr>
                      <w:rFonts w:hint="eastAsia"/>
                      <w:color w:val="auto"/>
                      <w:kern w:val="0"/>
                      <w:szCs w:val="21"/>
                      <w:lang w:val="en-US" w:eastAsia="zh-CN"/>
                    </w:rPr>
                    <w:t>原辅材料库</w:t>
                  </w:r>
                </w:p>
              </w:tc>
            </w:tr>
            <w:tr w14:paraId="40268B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2" w:type="pct"/>
                  <w:vAlign w:val="center"/>
                </w:tcPr>
                <w:p w14:paraId="75911FF4">
                  <w:pPr>
                    <w:autoSpaceDE w:val="0"/>
                    <w:autoSpaceDN w:val="0"/>
                    <w:jc w:val="center"/>
                    <w:rPr>
                      <w:color w:val="auto"/>
                      <w:kern w:val="0"/>
                      <w:szCs w:val="21"/>
                    </w:rPr>
                  </w:pPr>
                  <w:r>
                    <w:rPr>
                      <w:rFonts w:hint="eastAsia"/>
                      <w:color w:val="auto"/>
                      <w:kern w:val="0"/>
                      <w:szCs w:val="21"/>
                      <w:lang w:val="en-US" w:eastAsia="zh-CN"/>
                    </w:rPr>
                    <w:t>塑料袋</w:t>
                  </w:r>
                </w:p>
              </w:tc>
              <w:tc>
                <w:tcPr>
                  <w:tcW w:w="671" w:type="pct"/>
                  <w:vAlign w:val="center"/>
                </w:tcPr>
                <w:p w14:paraId="5B83CB60">
                  <w:pPr>
                    <w:autoSpaceDE w:val="0"/>
                    <w:autoSpaceDN w:val="0"/>
                    <w:jc w:val="center"/>
                    <w:rPr>
                      <w:rFonts w:hint="default" w:eastAsia="宋体"/>
                      <w:color w:val="auto"/>
                      <w:kern w:val="0"/>
                      <w:szCs w:val="21"/>
                      <w:lang w:val="en-US" w:eastAsia="zh-CN"/>
                    </w:rPr>
                  </w:pPr>
                  <w:r>
                    <w:rPr>
                      <w:rFonts w:hint="eastAsia"/>
                      <w:color w:val="auto"/>
                      <w:kern w:val="0"/>
                      <w:szCs w:val="21"/>
                      <w:lang w:val="en-US" w:eastAsia="zh-CN"/>
                    </w:rPr>
                    <w:t>10</w:t>
                  </w:r>
                </w:p>
              </w:tc>
              <w:tc>
                <w:tcPr>
                  <w:tcW w:w="509" w:type="pct"/>
                  <w:vAlign w:val="center"/>
                </w:tcPr>
                <w:p w14:paraId="7ED7CB68">
                  <w:pPr>
                    <w:autoSpaceDE w:val="0"/>
                    <w:autoSpaceDN w:val="0"/>
                    <w:jc w:val="center"/>
                    <w:rPr>
                      <w:rFonts w:hint="eastAsia" w:eastAsia="宋体"/>
                      <w:color w:val="auto"/>
                      <w:kern w:val="0"/>
                      <w:szCs w:val="21"/>
                      <w:lang w:val="en-US" w:eastAsia="zh-CN"/>
                    </w:rPr>
                  </w:pPr>
                  <w:r>
                    <w:rPr>
                      <w:rFonts w:hint="eastAsia"/>
                      <w:color w:val="auto"/>
                      <w:kern w:val="0"/>
                      <w:szCs w:val="21"/>
                      <w:lang w:val="en-US" w:eastAsia="zh-CN"/>
                    </w:rPr>
                    <w:t>万个</w:t>
                  </w:r>
                </w:p>
              </w:tc>
              <w:tc>
                <w:tcPr>
                  <w:tcW w:w="1627" w:type="pct"/>
                  <w:vAlign w:val="center"/>
                </w:tcPr>
                <w:p w14:paraId="6A1E05E7">
                  <w:pPr>
                    <w:autoSpaceDE w:val="0"/>
                    <w:autoSpaceDN w:val="0"/>
                    <w:jc w:val="center"/>
                    <w:rPr>
                      <w:color w:val="auto"/>
                      <w:kern w:val="0"/>
                      <w:szCs w:val="21"/>
                    </w:rPr>
                  </w:pPr>
                  <w:r>
                    <w:rPr>
                      <w:color w:val="auto"/>
                      <w:kern w:val="0"/>
                      <w:szCs w:val="21"/>
                    </w:rPr>
                    <w:t>外购</w:t>
                  </w:r>
                </w:p>
              </w:tc>
              <w:tc>
                <w:tcPr>
                  <w:tcW w:w="1419" w:type="pct"/>
                  <w:vAlign w:val="center"/>
                </w:tcPr>
                <w:p w14:paraId="1CD55B91">
                  <w:pPr>
                    <w:autoSpaceDE w:val="0"/>
                    <w:autoSpaceDN w:val="0"/>
                    <w:jc w:val="center"/>
                    <w:rPr>
                      <w:color w:val="auto"/>
                      <w:kern w:val="0"/>
                      <w:szCs w:val="21"/>
                    </w:rPr>
                  </w:pPr>
                  <w:r>
                    <w:rPr>
                      <w:rFonts w:hint="eastAsia"/>
                      <w:color w:val="auto"/>
                      <w:kern w:val="0"/>
                      <w:szCs w:val="21"/>
                      <w:lang w:val="en-US" w:eastAsia="zh-CN"/>
                    </w:rPr>
                    <w:t>原辅材料库</w:t>
                  </w:r>
                </w:p>
              </w:tc>
            </w:tr>
            <w:tr w14:paraId="300D62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2" w:type="pct"/>
                  <w:vAlign w:val="center"/>
                </w:tcPr>
                <w:p w14:paraId="0EBAB6D0">
                  <w:pPr>
                    <w:autoSpaceDE w:val="0"/>
                    <w:autoSpaceDN w:val="0"/>
                    <w:jc w:val="center"/>
                    <w:rPr>
                      <w:rFonts w:hint="default"/>
                      <w:color w:val="auto"/>
                      <w:kern w:val="0"/>
                      <w:szCs w:val="21"/>
                      <w:lang w:val="en-US" w:eastAsia="zh-CN"/>
                    </w:rPr>
                  </w:pPr>
                  <w:r>
                    <w:rPr>
                      <w:rFonts w:hint="eastAsia"/>
                      <w:color w:val="auto"/>
                      <w:kern w:val="0"/>
                      <w:szCs w:val="21"/>
                      <w:lang w:val="en-US" w:eastAsia="zh-CN"/>
                    </w:rPr>
                    <w:t>塑料桶</w:t>
                  </w:r>
                </w:p>
              </w:tc>
              <w:tc>
                <w:tcPr>
                  <w:tcW w:w="671" w:type="pct"/>
                  <w:vAlign w:val="center"/>
                </w:tcPr>
                <w:p w14:paraId="37076495">
                  <w:pPr>
                    <w:autoSpaceDE w:val="0"/>
                    <w:autoSpaceDN w:val="0"/>
                    <w:jc w:val="center"/>
                    <w:rPr>
                      <w:rFonts w:hint="default"/>
                      <w:color w:val="auto"/>
                      <w:kern w:val="0"/>
                      <w:szCs w:val="21"/>
                      <w:lang w:val="en-US" w:eastAsia="zh-CN"/>
                    </w:rPr>
                  </w:pPr>
                  <w:r>
                    <w:rPr>
                      <w:rFonts w:hint="eastAsia"/>
                      <w:color w:val="auto"/>
                      <w:kern w:val="0"/>
                      <w:szCs w:val="21"/>
                      <w:lang w:val="en-US" w:eastAsia="zh-CN"/>
                    </w:rPr>
                    <w:t>0.5</w:t>
                  </w:r>
                </w:p>
              </w:tc>
              <w:tc>
                <w:tcPr>
                  <w:tcW w:w="509" w:type="pct"/>
                  <w:vAlign w:val="center"/>
                </w:tcPr>
                <w:p w14:paraId="6F0AF95A">
                  <w:pPr>
                    <w:autoSpaceDE w:val="0"/>
                    <w:autoSpaceDN w:val="0"/>
                    <w:jc w:val="center"/>
                    <w:rPr>
                      <w:rFonts w:hint="eastAsia"/>
                      <w:color w:val="auto"/>
                      <w:kern w:val="0"/>
                      <w:szCs w:val="21"/>
                      <w:lang w:val="en-US" w:eastAsia="zh-CN"/>
                    </w:rPr>
                  </w:pPr>
                  <w:r>
                    <w:rPr>
                      <w:rFonts w:hint="eastAsia"/>
                      <w:color w:val="auto"/>
                      <w:kern w:val="0"/>
                      <w:szCs w:val="21"/>
                      <w:lang w:val="en-US" w:eastAsia="zh-CN"/>
                    </w:rPr>
                    <w:t>万个</w:t>
                  </w:r>
                </w:p>
              </w:tc>
              <w:tc>
                <w:tcPr>
                  <w:tcW w:w="1627" w:type="pct"/>
                  <w:vAlign w:val="center"/>
                </w:tcPr>
                <w:p w14:paraId="01BC4810">
                  <w:pPr>
                    <w:autoSpaceDE w:val="0"/>
                    <w:autoSpaceDN w:val="0"/>
                    <w:jc w:val="center"/>
                    <w:rPr>
                      <w:color w:val="auto"/>
                      <w:kern w:val="0"/>
                      <w:szCs w:val="21"/>
                    </w:rPr>
                  </w:pPr>
                  <w:r>
                    <w:rPr>
                      <w:color w:val="auto"/>
                      <w:kern w:val="0"/>
                      <w:szCs w:val="21"/>
                    </w:rPr>
                    <w:t>外购</w:t>
                  </w:r>
                </w:p>
              </w:tc>
              <w:tc>
                <w:tcPr>
                  <w:tcW w:w="1419" w:type="pct"/>
                  <w:vAlign w:val="center"/>
                </w:tcPr>
                <w:p w14:paraId="5ED0CFDA">
                  <w:pPr>
                    <w:autoSpaceDE w:val="0"/>
                    <w:autoSpaceDN w:val="0"/>
                    <w:jc w:val="center"/>
                    <w:rPr>
                      <w:rFonts w:hint="eastAsia"/>
                      <w:color w:val="auto"/>
                      <w:kern w:val="0"/>
                      <w:szCs w:val="21"/>
                      <w:lang w:val="en-US" w:eastAsia="zh-CN"/>
                    </w:rPr>
                  </w:pPr>
                  <w:r>
                    <w:rPr>
                      <w:rFonts w:hint="eastAsia"/>
                      <w:color w:val="auto"/>
                      <w:kern w:val="0"/>
                      <w:szCs w:val="21"/>
                      <w:lang w:val="en-US" w:eastAsia="zh-CN"/>
                    </w:rPr>
                    <w:t>原辅材料库</w:t>
                  </w:r>
                </w:p>
              </w:tc>
            </w:tr>
            <w:tr w14:paraId="6FC24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2" w:type="pct"/>
                  <w:vAlign w:val="center"/>
                </w:tcPr>
                <w:p w14:paraId="164F97B3">
                  <w:pPr>
                    <w:autoSpaceDE w:val="0"/>
                    <w:autoSpaceDN w:val="0"/>
                    <w:jc w:val="center"/>
                    <w:rPr>
                      <w:rFonts w:hint="default"/>
                      <w:color w:val="auto"/>
                      <w:kern w:val="0"/>
                      <w:szCs w:val="21"/>
                      <w:lang w:val="en-US" w:eastAsia="zh-CN"/>
                    </w:rPr>
                  </w:pPr>
                  <w:r>
                    <w:rPr>
                      <w:rFonts w:hint="eastAsia"/>
                      <w:color w:val="auto"/>
                      <w:kern w:val="0"/>
                      <w:szCs w:val="21"/>
                      <w:lang w:val="en-US" w:eastAsia="zh-CN"/>
                    </w:rPr>
                    <w:t>纸箱</w:t>
                  </w:r>
                </w:p>
              </w:tc>
              <w:tc>
                <w:tcPr>
                  <w:tcW w:w="671" w:type="pct"/>
                  <w:vAlign w:val="center"/>
                </w:tcPr>
                <w:p w14:paraId="2EAEB707">
                  <w:pPr>
                    <w:autoSpaceDE w:val="0"/>
                    <w:autoSpaceDN w:val="0"/>
                    <w:jc w:val="center"/>
                    <w:rPr>
                      <w:rFonts w:hint="eastAsia" w:eastAsia="宋体"/>
                      <w:color w:val="auto"/>
                      <w:kern w:val="0"/>
                      <w:szCs w:val="21"/>
                      <w:lang w:val="en-US" w:eastAsia="zh-CN"/>
                    </w:rPr>
                  </w:pPr>
                  <w:r>
                    <w:rPr>
                      <w:rFonts w:hint="eastAsia"/>
                      <w:color w:val="auto"/>
                      <w:kern w:val="0"/>
                      <w:szCs w:val="21"/>
                      <w:lang w:val="en-US" w:eastAsia="zh-CN"/>
                    </w:rPr>
                    <w:t>1</w:t>
                  </w:r>
                </w:p>
              </w:tc>
              <w:tc>
                <w:tcPr>
                  <w:tcW w:w="509" w:type="pct"/>
                  <w:vAlign w:val="center"/>
                </w:tcPr>
                <w:p w14:paraId="118DBD31">
                  <w:pPr>
                    <w:autoSpaceDE w:val="0"/>
                    <w:autoSpaceDN w:val="0"/>
                    <w:jc w:val="center"/>
                    <w:rPr>
                      <w:color w:val="auto"/>
                      <w:kern w:val="0"/>
                      <w:szCs w:val="21"/>
                    </w:rPr>
                  </w:pPr>
                  <w:r>
                    <w:rPr>
                      <w:rFonts w:hint="eastAsia"/>
                      <w:color w:val="auto"/>
                      <w:kern w:val="0"/>
                      <w:szCs w:val="21"/>
                      <w:lang w:val="en-US" w:eastAsia="zh-CN"/>
                    </w:rPr>
                    <w:t>万个</w:t>
                  </w:r>
                </w:p>
              </w:tc>
              <w:tc>
                <w:tcPr>
                  <w:tcW w:w="1627" w:type="pct"/>
                  <w:vAlign w:val="center"/>
                </w:tcPr>
                <w:p w14:paraId="6B04DC09">
                  <w:pPr>
                    <w:autoSpaceDE w:val="0"/>
                    <w:autoSpaceDN w:val="0"/>
                    <w:jc w:val="center"/>
                    <w:rPr>
                      <w:color w:val="auto"/>
                      <w:kern w:val="0"/>
                      <w:szCs w:val="21"/>
                    </w:rPr>
                  </w:pPr>
                  <w:r>
                    <w:rPr>
                      <w:color w:val="auto"/>
                      <w:kern w:val="0"/>
                      <w:szCs w:val="21"/>
                    </w:rPr>
                    <w:t>外购</w:t>
                  </w:r>
                </w:p>
              </w:tc>
              <w:tc>
                <w:tcPr>
                  <w:tcW w:w="1419" w:type="pct"/>
                  <w:vAlign w:val="center"/>
                </w:tcPr>
                <w:p w14:paraId="11E1FCBF">
                  <w:pPr>
                    <w:autoSpaceDE w:val="0"/>
                    <w:autoSpaceDN w:val="0"/>
                    <w:jc w:val="center"/>
                    <w:rPr>
                      <w:color w:val="auto"/>
                      <w:kern w:val="0"/>
                      <w:szCs w:val="21"/>
                    </w:rPr>
                  </w:pPr>
                  <w:r>
                    <w:rPr>
                      <w:rFonts w:hint="eastAsia"/>
                      <w:color w:val="auto"/>
                      <w:kern w:val="0"/>
                      <w:szCs w:val="21"/>
                      <w:lang w:val="en-US" w:eastAsia="zh-CN"/>
                    </w:rPr>
                    <w:t>原辅材料库</w:t>
                  </w:r>
                </w:p>
              </w:tc>
            </w:tr>
          </w:tbl>
          <w:p w14:paraId="07FB09B7">
            <w:pPr>
              <w:autoSpaceDE w:val="0"/>
              <w:autoSpaceDN w:val="0"/>
              <w:adjustRightInd w:val="0"/>
              <w:snapToGrid w:val="0"/>
              <w:spacing w:before="240" w:line="360" w:lineRule="auto"/>
              <w:ind w:firstLine="480" w:firstLineChars="200"/>
              <w:rPr>
                <w:color w:val="auto"/>
                <w:kern w:val="0"/>
                <w:sz w:val="24"/>
              </w:rPr>
            </w:pPr>
            <w:r>
              <w:rPr>
                <w:color w:val="auto"/>
                <w:kern w:val="0"/>
                <w:sz w:val="24"/>
              </w:rPr>
              <w:t>本项目</w:t>
            </w:r>
            <w:r>
              <w:rPr>
                <w:rFonts w:hint="eastAsia"/>
                <w:color w:val="auto"/>
                <w:kern w:val="0"/>
                <w:sz w:val="24"/>
                <w:lang w:eastAsia="zh-CN"/>
              </w:rPr>
              <w:t>主要</w:t>
            </w:r>
            <w:r>
              <w:rPr>
                <w:color w:val="auto"/>
                <w:kern w:val="0"/>
                <w:sz w:val="24"/>
              </w:rPr>
              <w:t>动力消耗见表2-4：</w:t>
            </w:r>
          </w:p>
          <w:p w14:paraId="3C3DD246">
            <w:pPr>
              <w:pStyle w:val="26"/>
              <w:rPr>
                <w:color w:val="auto"/>
              </w:rPr>
            </w:pPr>
            <w:r>
              <w:rPr>
                <w:color w:val="auto"/>
              </w:rPr>
              <w:t>表2-4 主要动力消耗情况表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1114"/>
              <w:gridCol w:w="1828"/>
              <w:gridCol w:w="3087"/>
              <w:gridCol w:w="1101"/>
            </w:tblGrid>
            <w:tr w14:paraId="2BD922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4" w:type="pct"/>
                  <w:vAlign w:val="center"/>
                </w:tcPr>
                <w:p w14:paraId="2AB89E7F">
                  <w:pPr>
                    <w:autoSpaceDE w:val="0"/>
                    <w:autoSpaceDN w:val="0"/>
                    <w:jc w:val="center"/>
                    <w:rPr>
                      <w:color w:val="auto"/>
                      <w:kern w:val="0"/>
                      <w:szCs w:val="21"/>
                    </w:rPr>
                  </w:pPr>
                  <w:r>
                    <w:rPr>
                      <w:color w:val="auto"/>
                      <w:kern w:val="0"/>
                      <w:szCs w:val="21"/>
                    </w:rPr>
                    <w:t>类别</w:t>
                  </w:r>
                </w:p>
              </w:tc>
              <w:tc>
                <w:tcPr>
                  <w:tcW w:w="676" w:type="pct"/>
                  <w:vAlign w:val="center"/>
                </w:tcPr>
                <w:p w14:paraId="07A54A87">
                  <w:pPr>
                    <w:autoSpaceDE w:val="0"/>
                    <w:autoSpaceDN w:val="0"/>
                    <w:jc w:val="center"/>
                    <w:rPr>
                      <w:color w:val="auto"/>
                      <w:kern w:val="0"/>
                      <w:szCs w:val="21"/>
                    </w:rPr>
                  </w:pPr>
                  <w:r>
                    <w:rPr>
                      <w:color w:val="auto"/>
                      <w:kern w:val="0"/>
                      <w:szCs w:val="21"/>
                    </w:rPr>
                    <w:t>名称</w:t>
                  </w:r>
                </w:p>
              </w:tc>
              <w:tc>
                <w:tcPr>
                  <w:tcW w:w="1109" w:type="pct"/>
                  <w:vAlign w:val="center"/>
                </w:tcPr>
                <w:p w14:paraId="6B28CF18">
                  <w:pPr>
                    <w:autoSpaceDE w:val="0"/>
                    <w:autoSpaceDN w:val="0"/>
                    <w:jc w:val="center"/>
                    <w:rPr>
                      <w:color w:val="auto"/>
                      <w:kern w:val="0"/>
                      <w:szCs w:val="21"/>
                    </w:rPr>
                  </w:pPr>
                  <w:r>
                    <w:rPr>
                      <w:color w:val="auto"/>
                      <w:kern w:val="0"/>
                      <w:szCs w:val="21"/>
                    </w:rPr>
                    <w:t>年耗量</w:t>
                  </w:r>
                  <w:r>
                    <w:rPr>
                      <w:rFonts w:hint="eastAsia"/>
                      <w:color w:val="auto"/>
                      <w:kern w:val="0"/>
                      <w:szCs w:val="21"/>
                    </w:rPr>
                    <w:t>（</w:t>
                  </w:r>
                  <w:r>
                    <w:rPr>
                      <w:color w:val="auto"/>
                      <w:kern w:val="0"/>
                      <w:szCs w:val="21"/>
                    </w:rPr>
                    <w:t>单位</w:t>
                  </w:r>
                  <w:r>
                    <w:rPr>
                      <w:rFonts w:hint="eastAsia"/>
                      <w:color w:val="auto"/>
                      <w:kern w:val="0"/>
                      <w:szCs w:val="21"/>
                    </w:rPr>
                    <w:t>）</w:t>
                  </w:r>
                </w:p>
              </w:tc>
              <w:tc>
                <w:tcPr>
                  <w:tcW w:w="1873" w:type="pct"/>
                  <w:vAlign w:val="center"/>
                </w:tcPr>
                <w:p w14:paraId="179DB273">
                  <w:pPr>
                    <w:autoSpaceDE w:val="0"/>
                    <w:autoSpaceDN w:val="0"/>
                    <w:jc w:val="center"/>
                    <w:rPr>
                      <w:color w:val="auto"/>
                      <w:kern w:val="0"/>
                      <w:szCs w:val="21"/>
                    </w:rPr>
                  </w:pPr>
                  <w:r>
                    <w:rPr>
                      <w:color w:val="auto"/>
                      <w:kern w:val="0"/>
                      <w:szCs w:val="21"/>
                    </w:rPr>
                    <w:t>来源</w:t>
                  </w:r>
                </w:p>
              </w:tc>
              <w:tc>
                <w:tcPr>
                  <w:tcW w:w="669" w:type="pct"/>
                  <w:vAlign w:val="center"/>
                </w:tcPr>
                <w:p w14:paraId="17D39A74">
                  <w:pPr>
                    <w:autoSpaceDE w:val="0"/>
                    <w:autoSpaceDN w:val="0"/>
                    <w:jc w:val="center"/>
                    <w:rPr>
                      <w:color w:val="auto"/>
                      <w:kern w:val="0"/>
                      <w:szCs w:val="21"/>
                    </w:rPr>
                  </w:pPr>
                  <w:r>
                    <w:rPr>
                      <w:color w:val="auto"/>
                      <w:kern w:val="0"/>
                      <w:szCs w:val="21"/>
                    </w:rPr>
                    <w:t>备注</w:t>
                  </w:r>
                </w:p>
              </w:tc>
            </w:tr>
            <w:tr w14:paraId="5511A9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4" w:type="pct"/>
                  <w:vMerge w:val="restart"/>
                  <w:vAlign w:val="center"/>
                </w:tcPr>
                <w:p w14:paraId="44027C29">
                  <w:pPr>
                    <w:autoSpaceDE w:val="0"/>
                    <w:autoSpaceDN w:val="0"/>
                    <w:jc w:val="center"/>
                    <w:rPr>
                      <w:color w:val="auto"/>
                      <w:kern w:val="0"/>
                      <w:szCs w:val="21"/>
                    </w:rPr>
                  </w:pPr>
                  <w:r>
                    <w:rPr>
                      <w:color w:val="auto"/>
                      <w:kern w:val="0"/>
                      <w:szCs w:val="21"/>
                    </w:rPr>
                    <w:t>动力消耗</w:t>
                  </w:r>
                </w:p>
              </w:tc>
              <w:tc>
                <w:tcPr>
                  <w:tcW w:w="676" w:type="pct"/>
                  <w:vAlign w:val="center"/>
                </w:tcPr>
                <w:p w14:paraId="2E62051E">
                  <w:pPr>
                    <w:autoSpaceDE w:val="0"/>
                    <w:autoSpaceDN w:val="0"/>
                    <w:jc w:val="center"/>
                    <w:rPr>
                      <w:color w:val="auto"/>
                      <w:kern w:val="0"/>
                      <w:szCs w:val="21"/>
                    </w:rPr>
                  </w:pPr>
                  <w:r>
                    <w:rPr>
                      <w:color w:val="auto"/>
                      <w:kern w:val="0"/>
                      <w:szCs w:val="21"/>
                    </w:rPr>
                    <w:t>电</w:t>
                  </w:r>
                </w:p>
              </w:tc>
              <w:tc>
                <w:tcPr>
                  <w:tcW w:w="1109" w:type="pct"/>
                  <w:vAlign w:val="center"/>
                </w:tcPr>
                <w:p w14:paraId="016B09AC">
                  <w:pPr>
                    <w:autoSpaceDE w:val="0"/>
                    <w:autoSpaceDN w:val="0"/>
                    <w:jc w:val="center"/>
                    <w:rPr>
                      <w:color w:val="auto"/>
                      <w:kern w:val="0"/>
                      <w:szCs w:val="21"/>
                    </w:rPr>
                  </w:pPr>
                  <w:r>
                    <w:rPr>
                      <w:rFonts w:hint="eastAsia"/>
                      <w:color w:val="auto"/>
                      <w:lang w:val="en-US" w:eastAsia="zh-CN"/>
                    </w:rPr>
                    <w:t>10万</w:t>
                  </w:r>
                  <w:r>
                    <w:rPr>
                      <w:color w:val="auto"/>
                      <w:kern w:val="0"/>
                      <w:szCs w:val="21"/>
                    </w:rPr>
                    <w:t>KWh</w:t>
                  </w:r>
                </w:p>
              </w:tc>
              <w:tc>
                <w:tcPr>
                  <w:tcW w:w="1873" w:type="pct"/>
                  <w:vAlign w:val="center"/>
                </w:tcPr>
                <w:p w14:paraId="025EC0B0">
                  <w:pPr>
                    <w:autoSpaceDE w:val="0"/>
                    <w:autoSpaceDN w:val="0"/>
                    <w:jc w:val="center"/>
                    <w:rPr>
                      <w:color w:val="auto"/>
                      <w:kern w:val="0"/>
                      <w:szCs w:val="21"/>
                    </w:rPr>
                  </w:pPr>
                  <w:r>
                    <w:rPr>
                      <w:color w:val="auto"/>
                      <w:kern w:val="0"/>
                      <w:szCs w:val="21"/>
                    </w:rPr>
                    <w:t>当地电网供给</w:t>
                  </w:r>
                </w:p>
              </w:tc>
              <w:tc>
                <w:tcPr>
                  <w:tcW w:w="669" w:type="pct"/>
                  <w:vAlign w:val="center"/>
                </w:tcPr>
                <w:p w14:paraId="0812D212">
                  <w:pPr>
                    <w:autoSpaceDE w:val="0"/>
                    <w:autoSpaceDN w:val="0"/>
                    <w:jc w:val="center"/>
                    <w:rPr>
                      <w:color w:val="auto"/>
                      <w:kern w:val="0"/>
                      <w:szCs w:val="21"/>
                    </w:rPr>
                  </w:pPr>
                  <w:r>
                    <w:rPr>
                      <w:color w:val="auto"/>
                      <w:kern w:val="0"/>
                      <w:szCs w:val="21"/>
                    </w:rPr>
                    <w:t>/</w:t>
                  </w:r>
                </w:p>
              </w:tc>
            </w:tr>
            <w:tr w14:paraId="2E7E4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4" w:type="pct"/>
                  <w:vMerge w:val="continue"/>
                  <w:vAlign w:val="center"/>
                </w:tcPr>
                <w:p w14:paraId="218D803A">
                  <w:pPr>
                    <w:autoSpaceDE w:val="0"/>
                    <w:autoSpaceDN w:val="0"/>
                    <w:jc w:val="center"/>
                    <w:rPr>
                      <w:color w:val="auto"/>
                      <w:kern w:val="0"/>
                      <w:szCs w:val="21"/>
                    </w:rPr>
                  </w:pPr>
                </w:p>
              </w:tc>
              <w:tc>
                <w:tcPr>
                  <w:tcW w:w="676" w:type="pct"/>
                  <w:vAlign w:val="center"/>
                </w:tcPr>
                <w:p w14:paraId="4C7CEAEA">
                  <w:pPr>
                    <w:autoSpaceDE w:val="0"/>
                    <w:autoSpaceDN w:val="0"/>
                    <w:jc w:val="center"/>
                    <w:rPr>
                      <w:color w:val="auto"/>
                      <w:kern w:val="0"/>
                      <w:szCs w:val="21"/>
                    </w:rPr>
                  </w:pPr>
                  <w:r>
                    <w:rPr>
                      <w:color w:val="auto"/>
                      <w:kern w:val="0"/>
                      <w:szCs w:val="21"/>
                    </w:rPr>
                    <w:t>新水</w:t>
                  </w:r>
                </w:p>
              </w:tc>
              <w:tc>
                <w:tcPr>
                  <w:tcW w:w="1109" w:type="pct"/>
                  <w:vAlign w:val="center"/>
                </w:tcPr>
                <w:p w14:paraId="6F4CF589">
                  <w:pPr>
                    <w:autoSpaceDE w:val="0"/>
                    <w:autoSpaceDN w:val="0"/>
                    <w:jc w:val="center"/>
                    <w:rPr>
                      <w:color w:val="auto"/>
                      <w:kern w:val="0"/>
                      <w:szCs w:val="21"/>
                      <w:highlight w:val="none"/>
                    </w:rPr>
                  </w:pPr>
                  <w:r>
                    <w:rPr>
                      <w:rFonts w:hint="eastAsia"/>
                      <w:color w:val="auto"/>
                      <w:kern w:val="0"/>
                      <w:szCs w:val="21"/>
                      <w:highlight w:val="none"/>
                      <w:lang w:val="en-US" w:eastAsia="zh-CN"/>
                    </w:rPr>
                    <w:t>1280</w:t>
                  </w:r>
                  <w:r>
                    <w:rPr>
                      <w:rFonts w:hint="eastAsia"/>
                      <w:color w:val="auto"/>
                      <w:kern w:val="0"/>
                      <w:szCs w:val="21"/>
                      <w:highlight w:val="none"/>
                      <w:vertAlign w:val="baseline"/>
                      <w:lang w:eastAsia="zh-CN"/>
                    </w:rPr>
                    <w:t>m</w:t>
                  </w:r>
                  <w:r>
                    <w:rPr>
                      <w:rFonts w:hint="eastAsia"/>
                      <w:color w:val="auto"/>
                      <w:kern w:val="0"/>
                      <w:szCs w:val="21"/>
                      <w:highlight w:val="none"/>
                      <w:vertAlign w:val="superscript"/>
                      <w:lang w:eastAsia="zh-CN"/>
                    </w:rPr>
                    <w:t>3</w:t>
                  </w:r>
                  <w:r>
                    <w:rPr>
                      <w:color w:val="auto"/>
                      <w:kern w:val="0"/>
                      <w:szCs w:val="21"/>
                      <w:highlight w:val="none"/>
                    </w:rPr>
                    <w:t>/a</w:t>
                  </w:r>
                </w:p>
                <w:p w14:paraId="76748380">
                  <w:pPr>
                    <w:autoSpaceDE w:val="0"/>
                    <w:autoSpaceDN w:val="0"/>
                    <w:jc w:val="center"/>
                    <w:rPr>
                      <w:color w:val="auto"/>
                      <w:kern w:val="0"/>
                      <w:szCs w:val="21"/>
                    </w:rPr>
                  </w:pPr>
                  <w:r>
                    <w:rPr>
                      <w:rFonts w:hint="eastAsia"/>
                      <w:color w:val="auto"/>
                      <w:kern w:val="0"/>
                      <w:szCs w:val="21"/>
                      <w:highlight w:val="none"/>
                    </w:rPr>
                    <w:t>（</w:t>
                  </w:r>
                  <w:r>
                    <w:rPr>
                      <w:color w:val="auto"/>
                      <w:kern w:val="0"/>
                      <w:szCs w:val="21"/>
                      <w:highlight w:val="none"/>
                    </w:rPr>
                    <w:t>含生产用水</w:t>
                  </w:r>
                  <w:r>
                    <w:rPr>
                      <w:rFonts w:hint="eastAsia"/>
                      <w:color w:val="auto"/>
                      <w:kern w:val="0"/>
                      <w:szCs w:val="21"/>
                      <w:highlight w:val="none"/>
                    </w:rPr>
                    <w:t>）</w:t>
                  </w:r>
                </w:p>
              </w:tc>
              <w:tc>
                <w:tcPr>
                  <w:tcW w:w="1873" w:type="pct"/>
                  <w:vAlign w:val="center"/>
                </w:tcPr>
                <w:p w14:paraId="6EE5B3B8">
                  <w:pPr>
                    <w:autoSpaceDE w:val="0"/>
                    <w:autoSpaceDN w:val="0"/>
                    <w:jc w:val="center"/>
                    <w:rPr>
                      <w:color w:val="auto"/>
                      <w:kern w:val="0"/>
                      <w:szCs w:val="21"/>
                    </w:rPr>
                  </w:pPr>
                  <w:r>
                    <w:rPr>
                      <w:rFonts w:hint="eastAsia"/>
                      <w:color w:val="auto"/>
                      <w:kern w:val="0"/>
                      <w:szCs w:val="21"/>
                      <w:lang w:val="en-US" w:eastAsia="zh-CN"/>
                    </w:rPr>
                    <w:t>由自备井提供</w:t>
                  </w:r>
                </w:p>
              </w:tc>
              <w:tc>
                <w:tcPr>
                  <w:tcW w:w="669" w:type="pct"/>
                  <w:vAlign w:val="center"/>
                </w:tcPr>
                <w:p w14:paraId="7D2C7B2C">
                  <w:pPr>
                    <w:autoSpaceDE w:val="0"/>
                    <w:autoSpaceDN w:val="0"/>
                    <w:jc w:val="center"/>
                    <w:rPr>
                      <w:color w:val="auto"/>
                      <w:kern w:val="0"/>
                      <w:szCs w:val="21"/>
                    </w:rPr>
                  </w:pPr>
                  <w:r>
                    <w:rPr>
                      <w:color w:val="auto"/>
                      <w:kern w:val="0"/>
                      <w:szCs w:val="21"/>
                    </w:rPr>
                    <w:t>/</w:t>
                  </w:r>
                </w:p>
              </w:tc>
            </w:tr>
          </w:tbl>
          <w:p w14:paraId="3D38D14A">
            <w:pPr>
              <w:spacing w:line="360" w:lineRule="auto"/>
              <w:jc w:val="left"/>
              <w:rPr>
                <w:b/>
                <w:bCs/>
                <w:color w:val="auto"/>
                <w:sz w:val="24"/>
              </w:rPr>
            </w:pPr>
            <w:r>
              <w:rPr>
                <w:rFonts w:hint="eastAsia"/>
                <w:b/>
                <w:bCs/>
                <w:color w:val="auto"/>
                <w:sz w:val="24"/>
              </w:rPr>
              <w:t>5.</w:t>
            </w:r>
            <w:r>
              <w:rPr>
                <w:b/>
                <w:bCs/>
                <w:color w:val="auto"/>
                <w:sz w:val="24"/>
              </w:rPr>
              <w:t>主要生产设备</w:t>
            </w:r>
          </w:p>
          <w:p w14:paraId="47C1D40E">
            <w:pPr>
              <w:spacing w:line="360" w:lineRule="auto"/>
              <w:ind w:firstLine="480" w:firstLineChars="200"/>
              <w:jc w:val="left"/>
              <w:rPr>
                <w:bCs/>
                <w:color w:val="auto"/>
                <w:sz w:val="24"/>
              </w:rPr>
            </w:pPr>
            <w:r>
              <w:rPr>
                <w:rFonts w:hint="eastAsia"/>
                <w:bCs/>
                <w:color w:val="auto"/>
                <w:sz w:val="24"/>
                <w:lang w:val="en-US" w:eastAsia="zh-CN"/>
              </w:rPr>
              <w:t>本项目主要生产设备情况见下表</w:t>
            </w:r>
            <w:r>
              <w:rPr>
                <w:bCs/>
                <w:color w:val="auto"/>
                <w:sz w:val="24"/>
              </w:rPr>
              <w:t>：</w:t>
            </w:r>
          </w:p>
          <w:p w14:paraId="71F1048F">
            <w:pPr>
              <w:pStyle w:val="26"/>
              <w:rPr>
                <w:color w:val="auto"/>
              </w:rPr>
            </w:pPr>
            <w:r>
              <w:rPr>
                <w:color w:val="auto"/>
              </w:rPr>
              <w:t>表2-5 项目主要设备一览表</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2566"/>
              <w:gridCol w:w="1604"/>
              <w:gridCol w:w="1361"/>
              <w:gridCol w:w="1351"/>
            </w:tblGrid>
            <w:tr w14:paraId="4995EB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4648DC3B">
                  <w:pPr>
                    <w:topLinePunct/>
                    <w:jc w:val="center"/>
                    <w:rPr>
                      <w:color w:val="auto"/>
                      <w:szCs w:val="21"/>
                    </w:rPr>
                  </w:pPr>
                  <w:bookmarkStart w:id="4" w:name="_Hlk137585380"/>
                  <w:r>
                    <w:rPr>
                      <w:color w:val="auto"/>
                      <w:szCs w:val="21"/>
                    </w:rPr>
                    <w:t>序号</w:t>
                  </w:r>
                </w:p>
              </w:tc>
              <w:tc>
                <w:tcPr>
                  <w:tcW w:w="1557" w:type="pct"/>
                  <w:vAlign w:val="center"/>
                </w:tcPr>
                <w:p w14:paraId="7435AE0E">
                  <w:pPr>
                    <w:kinsoku w:val="0"/>
                    <w:overflowPunct w:val="0"/>
                    <w:autoSpaceDE w:val="0"/>
                    <w:autoSpaceDN w:val="0"/>
                    <w:adjustRightInd w:val="0"/>
                    <w:snapToGrid w:val="0"/>
                    <w:jc w:val="center"/>
                    <w:rPr>
                      <w:color w:val="auto"/>
                      <w:kern w:val="0"/>
                      <w:szCs w:val="21"/>
                    </w:rPr>
                  </w:pPr>
                  <w:r>
                    <w:rPr>
                      <w:color w:val="auto"/>
                      <w:kern w:val="0"/>
                      <w:szCs w:val="21"/>
                    </w:rPr>
                    <w:t>名称</w:t>
                  </w:r>
                </w:p>
              </w:tc>
              <w:tc>
                <w:tcPr>
                  <w:tcW w:w="973" w:type="pct"/>
                  <w:vAlign w:val="center"/>
                </w:tcPr>
                <w:p w14:paraId="70F1CFD4">
                  <w:pPr>
                    <w:kinsoku w:val="0"/>
                    <w:overflowPunct w:val="0"/>
                    <w:autoSpaceDE w:val="0"/>
                    <w:autoSpaceDN w:val="0"/>
                    <w:adjustRightInd w:val="0"/>
                    <w:snapToGrid w:val="0"/>
                    <w:jc w:val="center"/>
                    <w:rPr>
                      <w:color w:val="auto"/>
                      <w:kern w:val="0"/>
                      <w:szCs w:val="21"/>
                    </w:rPr>
                  </w:pPr>
                  <w:r>
                    <w:rPr>
                      <w:rFonts w:hint="eastAsia"/>
                      <w:color w:val="auto"/>
                      <w:kern w:val="0"/>
                      <w:szCs w:val="21"/>
                      <w:lang w:val="en-US" w:eastAsia="zh-CN"/>
                    </w:rPr>
                    <w:t>规格型号</w:t>
                  </w:r>
                </w:p>
              </w:tc>
              <w:tc>
                <w:tcPr>
                  <w:tcW w:w="826" w:type="pct"/>
                  <w:vAlign w:val="center"/>
                </w:tcPr>
                <w:p w14:paraId="4A633B22">
                  <w:pPr>
                    <w:kinsoku w:val="0"/>
                    <w:overflowPunct w:val="0"/>
                    <w:autoSpaceDE w:val="0"/>
                    <w:autoSpaceDN w:val="0"/>
                    <w:adjustRightInd w:val="0"/>
                    <w:snapToGrid w:val="0"/>
                    <w:jc w:val="center"/>
                    <w:rPr>
                      <w:color w:val="auto"/>
                      <w:kern w:val="0"/>
                      <w:szCs w:val="21"/>
                    </w:rPr>
                  </w:pPr>
                  <w:r>
                    <w:rPr>
                      <w:color w:val="auto"/>
                      <w:kern w:val="0"/>
                      <w:szCs w:val="21"/>
                    </w:rPr>
                    <w:t>数量</w:t>
                  </w:r>
                </w:p>
              </w:tc>
              <w:tc>
                <w:tcPr>
                  <w:tcW w:w="819" w:type="pct"/>
                  <w:vAlign w:val="center"/>
                </w:tcPr>
                <w:p w14:paraId="5BE05E7E">
                  <w:pPr>
                    <w:kinsoku w:val="0"/>
                    <w:overflowPunct w:val="0"/>
                    <w:autoSpaceDE w:val="0"/>
                    <w:autoSpaceDN w:val="0"/>
                    <w:adjustRightInd w:val="0"/>
                    <w:snapToGrid w:val="0"/>
                    <w:jc w:val="center"/>
                    <w:rPr>
                      <w:color w:val="auto"/>
                      <w:kern w:val="0"/>
                      <w:szCs w:val="21"/>
                    </w:rPr>
                  </w:pPr>
                  <w:r>
                    <w:rPr>
                      <w:color w:val="auto"/>
                      <w:kern w:val="0"/>
                      <w:szCs w:val="21"/>
                    </w:rPr>
                    <w:t>单位</w:t>
                  </w:r>
                </w:p>
              </w:tc>
            </w:tr>
            <w:tr w14:paraId="2F3E50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176A2549">
                  <w:pPr>
                    <w:topLinePunct/>
                    <w:jc w:val="center"/>
                    <w:rPr>
                      <w:color w:val="auto"/>
                      <w:szCs w:val="21"/>
                    </w:rPr>
                  </w:pPr>
                  <w:r>
                    <w:rPr>
                      <w:color w:val="auto"/>
                      <w:szCs w:val="21"/>
                    </w:rPr>
                    <w:t>1</w:t>
                  </w:r>
                </w:p>
              </w:tc>
              <w:tc>
                <w:tcPr>
                  <w:tcW w:w="1557" w:type="pct"/>
                  <w:vAlign w:val="center"/>
                </w:tcPr>
                <w:p w14:paraId="5E252242">
                  <w:pPr>
                    <w:kinsoku w:val="0"/>
                    <w:overflowPunct w:val="0"/>
                    <w:autoSpaceDE w:val="0"/>
                    <w:autoSpaceDN w:val="0"/>
                    <w:adjustRightInd w:val="0"/>
                    <w:snapToGrid w:val="0"/>
                    <w:jc w:val="center"/>
                    <w:rPr>
                      <w:color w:val="auto"/>
                      <w:kern w:val="0"/>
                      <w:szCs w:val="21"/>
                    </w:rPr>
                  </w:pPr>
                  <w:r>
                    <w:rPr>
                      <w:rFonts w:hint="eastAsia"/>
                      <w:color w:val="auto"/>
                      <w:kern w:val="0"/>
                      <w:szCs w:val="21"/>
                      <w:lang w:val="en-US" w:eastAsia="zh-CN"/>
                    </w:rPr>
                    <w:t>发酵池</w:t>
                  </w:r>
                </w:p>
              </w:tc>
              <w:tc>
                <w:tcPr>
                  <w:tcW w:w="973" w:type="pct"/>
                  <w:vAlign w:val="center"/>
                </w:tcPr>
                <w:p w14:paraId="4BD304EF">
                  <w:pPr>
                    <w:kinsoku w:val="0"/>
                    <w:overflowPunct w:val="0"/>
                    <w:autoSpaceDE w:val="0"/>
                    <w:autoSpaceDN w:val="0"/>
                    <w:adjustRightInd w:val="0"/>
                    <w:snapToGrid w:val="0"/>
                    <w:jc w:val="center"/>
                    <w:rPr>
                      <w:rFonts w:hint="eastAsia"/>
                      <w:color w:val="auto"/>
                      <w:kern w:val="0"/>
                      <w:szCs w:val="21"/>
                      <w:lang w:val="en-US" w:eastAsia="zh-CN"/>
                    </w:rPr>
                  </w:pPr>
                  <w:r>
                    <w:rPr>
                      <w:rFonts w:hint="eastAsia"/>
                      <w:color w:val="auto"/>
                      <w:kern w:val="0"/>
                      <w:szCs w:val="21"/>
                      <w:lang w:val="en-US" w:eastAsia="zh-CN"/>
                    </w:rPr>
                    <w:t>4</w:t>
                  </w:r>
                  <w:r>
                    <w:rPr>
                      <w:rFonts w:hint="eastAsia"/>
                      <w:color w:val="auto"/>
                      <w:kern w:val="0"/>
                      <w:szCs w:val="21"/>
                      <w:vertAlign w:val="baseline"/>
                      <w:lang w:val="en-US" w:eastAsia="zh-CN"/>
                    </w:rPr>
                    <w:t>m</w:t>
                  </w:r>
                  <w:r>
                    <w:rPr>
                      <w:rFonts w:hint="eastAsia"/>
                      <w:color w:val="auto"/>
                      <w:kern w:val="0"/>
                      <w:szCs w:val="21"/>
                      <w:lang w:val="en-US" w:eastAsia="zh-CN"/>
                    </w:rPr>
                    <w:t>×4</w:t>
                  </w:r>
                  <w:r>
                    <w:rPr>
                      <w:rFonts w:hint="eastAsia"/>
                      <w:color w:val="auto"/>
                      <w:kern w:val="0"/>
                      <w:szCs w:val="21"/>
                      <w:vertAlign w:val="baseline"/>
                      <w:lang w:val="en-US" w:eastAsia="zh-CN"/>
                    </w:rPr>
                    <w:t>m</w:t>
                  </w:r>
                  <w:r>
                    <w:rPr>
                      <w:rFonts w:hint="eastAsia"/>
                      <w:color w:val="auto"/>
                      <w:kern w:val="0"/>
                      <w:szCs w:val="21"/>
                      <w:lang w:val="en-US" w:eastAsia="zh-CN"/>
                    </w:rPr>
                    <w:t>×4</w:t>
                  </w:r>
                  <w:r>
                    <w:rPr>
                      <w:rFonts w:hint="eastAsia"/>
                      <w:color w:val="auto"/>
                      <w:kern w:val="0"/>
                      <w:szCs w:val="21"/>
                      <w:vertAlign w:val="baseline"/>
                      <w:lang w:val="en-US" w:eastAsia="zh-CN"/>
                    </w:rPr>
                    <w:t>m</w:t>
                  </w:r>
                </w:p>
              </w:tc>
              <w:tc>
                <w:tcPr>
                  <w:tcW w:w="826" w:type="pct"/>
                  <w:vAlign w:val="center"/>
                </w:tcPr>
                <w:p w14:paraId="51A0156B">
                  <w:pPr>
                    <w:kinsoku w:val="0"/>
                    <w:overflowPunct w:val="0"/>
                    <w:autoSpaceDE w:val="0"/>
                    <w:autoSpaceDN w:val="0"/>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36</w:t>
                  </w:r>
                </w:p>
              </w:tc>
              <w:tc>
                <w:tcPr>
                  <w:tcW w:w="819" w:type="pct"/>
                  <w:vAlign w:val="center"/>
                </w:tcPr>
                <w:p w14:paraId="056282BD">
                  <w:pPr>
                    <w:kinsoku w:val="0"/>
                    <w:overflowPunct w:val="0"/>
                    <w:autoSpaceDE w:val="0"/>
                    <w:autoSpaceDN w:val="0"/>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个</w:t>
                  </w:r>
                </w:p>
              </w:tc>
            </w:tr>
            <w:tr w14:paraId="72F60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04A1F433">
                  <w:pPr>
                    <w:topLinePunct/>
                    <w:jc w:val="center"/>
                    <w:rPr>
                      <w:color w:val="auto"/>
                      <w:szCs w:val="21"/>
                    </w:rPr>
                  </w:pPr>
                  <w:r>
                    <w:rPr>
                      <w:color w:val="auto"/>
                      <w:szCs w:val="21"/>
                    </w:rPr>
                    <w:t>2</w:t>
                  </w:r>
                </w:p>
              </w:tc>
              <w:tc>
                <w:tcPr>
                  <w:tcW w:w="1557" w:type="pct"/>
                  <w:vAlign w:val="center"/>
                </w:tcPr>
                <w:p w14:paraId="5421EB85">
                  <w:pPr>
                    <w:kinsoku w:val="0"/>
                    <w:overflowPunct w:val="0"/>
                    <w:autoSpaceDE w:val="0"/>
                    <w:autoSpaceDN w:val="0"/>
                    <w:adjustRightInd w:val="0"/>
                    <w:snapToGrid w:val="0"/>
                    <w:jc w:val="center"/>
                    <w:rPr>
                      <w:rFonts w:hint="default"/>
                      <w:color w:val="auto"/>
                      <w:kern w:val="0"/>
                      <w:szCs w:val="21"/>
                      <w:lang w:val="en-US"/>
                    </w:rPr>
                  </w:pPr>
                  <w:r>
                    <w:rPr>
                      <w:rFonts w:hint="eastAsia"/>
                      <w:color w:val="auto"/>
                      <w:kern w:val="0"/>
                      <w:szCs w:val="21"/>
                      <w:lang w:val="en-US" w:eastAsia="zh-CN"/>
                    </w:rPr>
                    <w:t>二次发酵桶</w:t>
                  </w:r>
                </w:p>
              </w:tc>
              <w:tc>
                <w:tcPr>
                  <w:tcW w:w="973" w:type="pct"/>
                  <w:vAlign w:val="center"/>
                </w:tcPr>
                <w:p w14:paraId="50DF98AC">
                  <w:pPr>
                    <w:kinsoku w:val="0"/>
                    <w:overflowPunct w:val="0"/>
                    <w:autoSpaceDE w:val="0"/>
                    <w:autoSpaceDN w:val="0"/>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300L</w:t>
                  </w:r>
                </w:p>
              </w:tc>
              <w:tc>
                <w:tcPr>
                  <w:tcW w:w="826" w:type="pct"/>
                  <w:vAlign w:val="center"/>
                </w:tcPr>
                <w:p w14:paraId="3455207D">
                  <w:pPr>
                    <w:kinsoku w:val="0"/>
                    <w:overflowPunct w:val="0"/>
                    <w:autoSpaceDE w:val="0"/>
                    <w:autoSpaceDN w:val="0"/>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300</w:t>
                  </w:r>
                </w:p>
              </w:tc>
              <w:tc>
                <w:tcPr>
                  <w:tcW w:w="819" w:type="pct"/>
                  <w:vAlign w:val="center"/>
                </w:tcPr>
                <w:p w14:paraId="40CC26B7">
                  <w:pPr>
                    <w:kinsoku w:val="0"/>
                    <w:overflowPunct w:val="0"/>
                    <w:autoSpaceDE w:val="0"/>
                    <w:autoSpaceDN w:val="0"/>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个</w:t>
                  </w:r>
                </w:p>
              </w:tc>
            </w:tr>
            <w:tr w14:paraId="52DAED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62DE5D55">
                  <w:pPr>
                    <w:topLinePunct/>
                    <w:jc w:val="center"/>
                    <w:rPr>
                      <w:color w:val="auto"/>
                      <w:szCs w:val="21"/>
                    </w:rPr>
                  </w:pPr>
                  <w:r>
                    <w:rPr>
                      <w:color w:val="auto"/>
                      <w:szCs w:val="21"/>
                    </w:rPr>
                    <w:t>3</w:t>
                  </w:r>
                </w:p>
              </w:tc>
              <w:tc>
                <w:tcPr>
                  <w:tcW w:w="1557" w:type="pct"/>
                  <w:vAlign w:val="center"/>
                </w:tcPr>
                <w:p w14:paraId="07AF7E98">
                  <w:pPr>
                    <w:kinsoku w:val="0"/>
                    <w:overflowPunct w:val="0"/>
                    <w:autoSpaceDE w:val="0"/>
                    <w:autoSpaceDN w:val="0"/>
                    <w:adjustRightInd w:val="0"/>
                    <w:snapToGrid w:val="0"/>
                    <w:jc w:val="center"/>
                    <w:rPr>
                      <w:color w:val="auto"/>
                      <w:kern w:val="0"/>
                      <w:szCs w:val="21"/>
                    </w:rPr>
                  </w:pPr>
                  <w:r>
                    <w:rPr>
                      <w:rFonts w:hint="eastAsia"/>
                      <w:color w:val="auto"/>
                      <w:kern w:val="0"/>
                      <w:szCs w:val="21"/>
                      <w:lang w:val="en-US" w:eastAsia="zh-CN"/>
                    </w:rPr>
                    <w:t>提升机</w:t>
                  </w:r>
                </w:p>
              </w:tc>
              <w:tc>
                <w:tcPr>
                  <w:tcW w:w="973" w:type="pct"/>
                  <w:vAlign w:val="center"/>
                </w:tcPr>
                <w:p w14:paraId="628E9FC3">
                  <w:pPr>
                    <w:kinsoku w:val="0"/>
                    <w:overflowPunct w:val="0"/>
                    <w:autoSpaceDE w:val="0"/>
                    <w:autoSpaceDN w:val="0"/>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w:t>
                  </w:r>
                </w:p>
              </w:tc>
              <w:tc>
                <w:tcPr>
                  <w:tcW w:w="826" w:type="pct"/>
                  <w:vAlign w:val="center"/>
                </w:tcPr>
                <w:p w14:paraId="7298323B">
                  <w:pPr>
                    <w:kinsoku w:val="0"/>
                    <w:overflowPunct w:val="0"/>
                    <w:autoSpaceDE w:val="0"/>
                    <w:autoSpaceDN w:val="0"/>
                    <w:adjustRightInd w:val="0"/>
                    <w:snapToGrid w:val="0"/>
                    <w:jc w:val="center"/>
                    <w:rPr>
                      <w:rFonts w:hint="eastAsia" w:eastAsia="宋体"/>
                      <w:color w:val="auto"/>
                      <w:kern w:val="0"/>
                      <w:szCs w:val="21"/>
                      <w:lang w:eastAsia="zh-CN"/>
                    </w:rPr>
                  </w:pPr>
                  <w:r>
                    <w:rPr>
                      <w:rFonts w:hint="eastAsia"/>
                      <w:color w:val="auto"/>
                      <w:kern w:val="0"/>
                      <w:szCs w:val="21"/>
                      <w:lang w:val="en-US" w:eastAsia="zh-CN"/>
                    </w:rPr>
                    <w:t>1</w:t>
                  </w:r>
                </w:p>
              </w:tc>
              <w:tc>
                <w:tcPr>
                  <w:tcW w:w="819" w:type="pct"/>
                  <w:vAlign w:val="center"/>
                </w:tcPr>
                <w:p w14:paraId="53CBF74B">
                  <w:pPr>
                    <w:kinsoku w:val="0"/>
                    <w:overflowPunct w:val="0"/>
                    <w:autoSpaceDE w:val="0"/>
                    <w:autoSpaceDN w:val="0"/>
                    <w:adjustRightInd w:val="0"/>
                    <w:snapToGrid w:val="0"/>
                    <w:jc w:val="center"/>
                    <w:rPr>
                      <w:rFonts w:hint="eastAsia" w:eastAsia="宋体"/>
                      <w:color w:val="auto"/>
                      <w:kern w:val="0"/>
                      <w:szCs w:val="21"/>
                      <w:lang w:eastAsia="zh-CN"/>
                    </w:rPr>
                  </w:pPr>
                  <w:r>
                    <w:rPr>
                      <w:rFonts w:hint="eastAsia"/>
                      <w:color w:val="auto"/>
                      <w:kern w:val="0"/>
                      <w:szCs w:val="21"/>
                      <w:lang w:val="en-US" w:eastAsia="zh-CN"/>
                    </w:rPr>
                    <w:t>台</w:t>
                  </w:r>
                </w:p>
              </w:tc>
            </w:tr>
            <w:tr w14:paraId="48FF0E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33E1F7D1">
                  <w:pPr>
                    <w:topLinePunct/>
                    <w:jc w:val="center"/>
                    <w:rPr>
                      <w:color w:val="auto"/>
                      <w:szCs w:val="21"/>
                    </w:rPr>
                  </w:pPr>
                  <w:r>
                    <w:rPr>
                      <w:color w:val="auto"/>
                      <w:szCs w:val="21"/>
                    </w:rPr>
                    <w:t>4</w:t>
                  </w:r>
                </w:p>
              </w:tc>
              <w:tc>
                <w:tcPr>
                  <w:tcW w:w="1557" w:type="pct"/>
                  <w:vAlign w:val="center"/>
                </w:tcPr>
                <w:p w14:paraId="7EECC9B0">
                  <w:pPr>
                    <w:kinsoku w:val="0"/>
                    <w:overflowPunct w:val="0"/>
                    <w:autoSpaceDE w:val="0"/>
                    <w:autoSpaceDN w:val="0"/>
                    <w:adjustRightInd w:val="0"/>
                    <w:snapToGrid w:val="0"/>
                    <w:jc w:val="center"/>
                    <w:rPr>
                      <w:color w:val="auto"/>
                      <w:kern w:val="0"/>
                      <w:szCs w:val="21"/>
                    </w:rPr>
                  </w:pPr>
                  <w:r>
                    <w:rPr>
                      <w:rFonts w:hint="eastAsia"/>
                      <w:color w:val="auto"/>
                      <w:kern w:val="0"/>
                      <w:szCs w:val="21"/>
                      <w:lang w:val="en-US" w:eastAsia="zh-CN"/>
                    </w:rPr>
                    <w:t>漂烫清洗机</w:t>
                  </w:r>
                </w:p>
              </w:tc>
              <w:tc>
                <w:tcPr>
                  <w:tcW w:w="973" w:type="pct"/>
                  <w:vAlign w:val="center"/>
                </w:tcPr>
                <w:p w14:paraId="5A68374B">
                  <w:pPr>
                    <w:kinsoku w:val="0"/>
                    <w:overflowPunct w:val="0"/>
                    <w:autoSpaceDE w:val="0"/>
                    <w:autoSpaceDN w:val="0"/>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w:t>
                  </w:r>
                </w:p>
              </w:tc>
              <w:tc>
                <w:tcPr>
                  <w:tcW w:w="826" w:type="pct"/>
                  <w:vAlign w:val="center"/>
                </w:tcPr>
                <w:p w14:paraId="5D02710D">
                  <w:pPr>
                    <w:kinsoku w:val="0"/>
                    <w:overflowPunct w:val="0"/>
                    <w:autoSpaceDE w:val="0"/>
                    <w:autoSpaceDN w:val="0"/>
                    <w:adjustRightInd w:val="0"/>
                    <w:snapToGrid w:val="0"/>
                    <w:jc w:val="center"/>
                    <w:rPr>
                      <w:rFonts w:hint="eastAsia" w:eastAsia="宋体"/>
                      <w:color w:val="auto"/>
                      <w:kern w:val="0"/>
                      <w:szCs w:val="21"/>
                      <w:lang w:eastAsia="zh-CN"/>
                    </w:rPr>
                  </w:pPr>
                  <w:r>
                    <w:rPr>
                      <w:rFonts w:hint="eastAsia"/>
                      <w:color w:val="auto"/>
                      <w:kern w:val="0"/>
                      <w:szCs w:val="21"/>
                      <w:lang w:val="en-US" w:eastAsia="zh-CN"/>
                    </w:rPr>
                    <w:t>1</w:t>
                  </w:r>
                </w:p>
              </w:tc>
              <w:tc>
                <w:tcPr>
                  <w:tcW w:w="819" w:type="pct"/>
                  <w:vAlign w:val="center"/>
                </w:tcPr>
                <w:p w14:paraId="41B7F356">
                  <w:pPr>
                    <w:kinsoku w:val="0"/>
                    <w:overflowPunct w:val="0"/>
                    <w:autoSpaceDE w:val="0"/>
                    <w:autoSpaceDN w:val="0"/>
                    <w:adjustRightInd w:val="0"/>
                    <w:snapToGrid w:val="0"/>
                    <w:jc w:val="center"/>
                    <w:rPr>
                      <w:color w:val="auto"/>
                      <w:kern w:val="0"/>
                      <w:szCs w:val="21"/>
                    </w:rPr>
                  </w:pPr>
                  <w:r>
                    <w:rPr>
                      <w:color w:val="auto"/>
                      <w:kern w:val="0"/>
                      <w:szCs w:val="21"/>
                    </w:rPr>
                    <w:t>台</w:t>
                  </w:r>
                </w:p>
              </w:tc>
            </w:tr>
            <w:tr w14:paraId="233E7C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7BDBF952">
                  <w:pPr>
                    <w:topLinePunct/>
                    <w:jc w:val="center"/>
                    <w:rPr>
                      <w:color w:val="auto"/>
                      <w:szCs w:val="21"/>
                    </w:rPr>
                  </w:pPr>
                  <w:r>
                    <w:rPr>
                      <w:color w:val="auto"/>
                      <w:szCs w:val="21"/>
                    </w:rPr>
                    <w:t>5</w:t>
                  </w:r>
                </w:p>
              </w:tc>
              <w:tc>
                <w:tcPr>
                  <w:tcW w:w="1557" w:type="pct"/>
                  <w:vAlign w:val="center"/>
                </w:tcPr>
                <w:p w14:paraId="40F8C12A">
                  <w:pPr>
                    <w:kinsoku w:val="0"/>
                    <w:overflowPunct w:val="0"/>
                    <w:autoSpaceDE w:val="0"/>
                    <w:autoSpaceDN w:val="0"/>
                    <w:adjustRightInd w:val="0"/>
                    <w:snapToGrid w:val="0"/>
                    <w:jc w:val="center"/>
                    <w:rPr>
                      <w:color w:val="auto"/>
                      <w:kern w:val="0"/>
                      <w:szCs w:val="21"/>
                    </w:rPr>
                  </w:pPr>
                  <w:r>
                    <w:rPr>
                      <w:rFonts w:hint="eastAsia"/>
                      <w:color w:val="auto"/>
                      <w:kern w:val="0"/>
                      <w:szCs w:val="21"/>
                      <w:lang w:val="en-US" w:eastAsia="zh-CN"/>
                    </w:rPr>
                    <w:t>洗菜机</w:t>
                  </w:r>
                </w:p>
              </w:tc>
              <w:tc>
                <w:tcPr>
                  <w:tcW w:w="973" w:type="pct"/>
                  <w:vAlign w:val="center"/>
                </w:tcPr>
                <w:p w14:paraId="764D55C4">
                  <w:pPr>
                    <w:kinsoku w:val="0"/>
                    <w:overflowPunct w:val="0"/>
                    <w:autoSpaceDE w:val="0"/>
                    <w:autoSpaceDN w:val="0"/>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w:t>
                  </w:r>
                </w:p>
              </w:tc>
              <w:tc>
                <w:tcPr>
                  <w:tcW w:w="826" w:type="pct"/>
                  <w:shd w:val="clear" w:color="auto" w:fill="auto"/>
                  <w:vAlign w:val="center"/>
                </w:tcPr>
                <w:p w14:paraId="22174432">
                  <w:pPr>
                    <w:kinsoku w:val="0"/>
                    <w:overflowPunct w:val="0"/>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1</w:t>
                  </w:r>
                </w:p>
              </w:tc>
              <w:tc>
                <w:tcPr>
                  <w:tcW w:w="819" w:type="pct"/>
                  <w:shd w:val="clear" w:color="auto" w:fill="auto"/>
                  <w:vAlign w:val="center"/>
                </w:tcPr>
                <w:p w14:paraId="71A00721">
                  <w:pPr>
                    <w:kinsoku w:val="0"/>
                    <w:overflowPunct w:val="0"/>
                    <w:autoSpaceDE w:val="0"/>
                    <w:autoSpaceDN w:val="0"/>
                    <w:adjustRightInd w:val="0"/>
                    <w:snapToGrid w:val="0"/>
                    <w:jc w:val="center"/>
                    <w:rPr>
                      <w:rFonts w:ascii="Times New Roman" w:hAnsi="Times New Roman" w:eastAsia="宋体" w:cs="Times New Roman"/>
                      <w:color w:val="auto"/>
                      <w:kern w:val="0"/>
                      <w:sz w:val="21"/>
                      <w:szCs w:val="21"/>
                      <w:lang w:val="en-US" w:eastAsia="zh-CN" w:bidi="ar-SA"/>
                    </w:rPr>
                  </w:pPr>
                  <w:r>
                    <w:rPr>
                      <w:color w:val="auto"/>
                      <w:kern w:val="0"/>
                      <w:szCs w:val="21"/>
                    </w:rPr>
                    <w:t>台</w:t>
                  </w:r>
                </w:p>
              </w:tc>
            </w:tr>
            <w:tr w14:paraId="1D161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2F38D3D8">
                  <w:pPr>
                    <w:topLinePunct/>
                    <w:jc w:val="center"/>
                    <w:rPr>
                      <w:color w:val="auto"/>
                      <w:szCs w:val="21"/>
                    </w:rPr>
                  </w:pPr>
                  <w:r>
                    <w:rPr>
                      <w:color w:val="auto"/>
                      <w:szCs w:val="21"/>
                    </w:rPr>
                    <w:t>6</w:t>
                  </w:r>
                </w:p>
              </w:tc>
              <w:tc>
                <w:tcPr>
                  <w:tcW w:w="1557" w:type="pct"/>
                  <w:vAlign w:val="center"/>
                </w:tcPr>
                <w:p w14:paraId="3223C250">
                  <w:pPr>
                    <w:kinsoku w:val="0"/>
                    <w:overflowPunct w:val="0"/>
                    <w:autoSpaceDE w:val="0"/>
                    <w:autoSpaceDN w:val="0"/>
                    <w:adjustRightInd w:val="0"/>
                    <w:snapToGrid w:val="0"/>
                    <w:jc w:val="center"/>
                    <w:rPr>
                      <w:color w:val="auto"/>
                      <w:kern w:val="0"/>
                      <w:szCs w:val="21"/>
                    </w:rPr>
                  </w:pPr>
                  <w:r>
                    <w:rPr>
                      <w:rFonts w:hint="eastAsia"/>
                      <w:color w:val="auto"/>
                      <w:kern w:val="0"/>
                      <w:szCs w:val="21"/>
                      <w:lang w:val="en-US" w:eastAsia="zh-CN"/>
                    </w:rPr>
                    <w:t>切菜机</w:t>
                  </w:r>
                </w:p>
              </w:tc>
              <w:tc>
                <w:tcPr>
                  <w:tcW w:w="973" w:type="pct"/>
                  <w:vAlign w:val="center"/>
                </w:tcPr>
                <w:p w14:paraId="5C11638F">
                  <w:pPr>
                    <w:kinsoku w:val="0"/>
                    <w:overflowPunct w:val="0"/>
                    <w:autoSpaceDE w:val="0"/>
                    <w:autoSpaceDN w:val="0"/>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w:t>
                  </w:r>
                </w:p>
              </w:tc>
              <w:tc>
                <w:tcPr>
                  <w:tcW w:w="826" w:type="pct"/>
                  <w:shd w:val="clear" w:color="auto" w:fill="auto"/>
                  <w:vAlign w:val="center"/>
                </w:tcPr>
                <w:p w14:paraId="20E23D6C">
                  <w:pPr>
                    <w:kinsoku w:val="0"/>
                    <w:overflowPunct w:val="0"/>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1</w:t>
                  </w:r>
                </w:p>
              </w:tc>
              <w:tc>
                <w:tcPr>
                  <w:tcW w:w="819" w:type="pct"/>
                  <w:shd w:val="clear" w:color="auto" w:fill="auto"/>
                  <w:vAlign w:val="center"/>
                </w:tcPr>
                <w:p w14:paraId="225B2137">
                  <w:pPr>
                    <w:kinsoku w:val="0"/>
                    <w:overflowPunct w:val="0"/>
                    <w:autoSpaceDE w:val="0"/>
                    <w:autoSpaceDN w:val="0"/>
                    <w:adjustRightInd w:val="0"/>
                    <w:snapToGrid w:val="0"/>
                    <w:jc w:val="center"/>
                    <w:rPr>
                      <w:rFonts w:ascii="Times New Roman" w:hAnsi="Times New Roman" w:eastAsia="宋体" w:cs="Times New Roman"/>
                      <w:color w:val="auto"/>
                      <w:kern w:val="0"/>
                      <w:sz w:val="21"/>
                      <w:szCs w:val="21"/>
                      <w:lang w:val="en-US" w:eastAsia="zh-CN" w:bidi="ar-SA"/>
                    </w:rPr>
                  </w:pPr>
                  <w:r>
                    <w:rPr>
                      <w:color w:val="auto"/>
                      <w:kern w:val="0"/>
                      <w:szCs w:val="21"/>
                    </w:rPr>
                    <w:t>台</w:t>
                  </w:r>
                </w:p>
              </w:tc>
            </w:tr>
            <w:tr w14:paraId="675EA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36950395">
                  <w:pPr>
                    <w:topLinePunct/>
                    <w:jc w:val="center"/>
                    <w:rPr>
                      <w:color w:val="auto"/>
                      <w:szCs w:val="21"/>
                    </w:rPr>
                  </w:pPr>
                  <w:r>
                    <w:rPr>
                      <w:color w:val="auto"/>
                      <w:szCs w:val="21"/>
                    </w:rPr>
                    <w:t>7</w:t>
                  </w:r>
                </w:p>
              </w:tc>
              <w:tc>
                <w:tcPr>
                  <w:tcW w:w="1557" w:type="pct"/>
                  <w:vAlign w:val="center"/>
                </w:tcPr>
                <w:p w14:paraId="0DB74007">
                  <w:pPr>
                    <w:kinsoku w:val="0"/>
                    <w:overflowPunct w:val="0"/>
                    <w:autoSpaceDE w:val="0"/>
                    <w:autoSpaceDN w:val="0"/>
                    <w:adjustRightInd w:val="0"/>
                    <w:snapToGrid w:val="0"/>
                    <w:jc w:val="center"/>
                    <w:rPr>
                      <w:color w:val="auto"/>
                      <w:kern w:val="0"/>
                      <w:szCs w:val="21"/>
                    </w:rPr>
                  </w:pPr>
                  <w:r>
                    <w:rPr>
                      <w:rFonts w:hint="eastAsia"/>
                      <w:color w:val="auto"/>
                      <w:kern w:val="0"/>
                      <w:szCs w:val="21"/>
                      <w:lang w:val="en-US" w:eastAsia="zh-CN"/>
                    </w:rPr>
                    <w:t>包装机</w:t>
                  </w:r>
                </w:p>
              </w:tc>
              <w:tc>
                <w:tcPr>
                  <w:tcW w:w="973" w:type="pct"/>
                  <w:vAlign w:val="center"/>
                </w:tcPr>
                <w:p w14:paraId="62C77DE6">
                  <w:pPr>
                    <w:kinsoku w:val="0"/>
                    <w:overflowPunct w:val="0"/>
                    <w:autoSpaceDE w:val="0"/>
                    <w:autoSpaceDN w:val="0"/>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w:t>
                  </w:r>
                </w:p>
              </w:tc>
              <w:tc>
                <w:tcPr>
                  <w:tcW w:w="826" w:type="pct"/>
                  <w:shd w:val="clear" w:color="auto" w:fill="auto"/>
                  <w:vAlign w:val="center"/>
                </w:tcPr>
                <w:p w14:paraId="4A1FF84D">
                  <w:pPr>
                    <w:kinsoku w:val="0"/>
                    <w:overflowPunct w:val="0"/>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1</w:t>
                  </w:r>
                </w:p>
              </w:tc>
              <w:tc>
                <w:tcPr>
                  <w:tcW w:w="819" w:type="pct"/>
                  <w:shd w:val="clear" w:color="auto" w:fill="auto"/>
                  <w:vAlign w:val="center"/>
                </w:tcPr>
                <w:p w14:paraId="47857ECF">
                  <w:pPr>
                    <w:kinsoku w:val="0"/>
                    <w:overflowPunct w:val="0"/>
                    <w:autoSpaceDE w:val="0"/>
                    <w:autoSpaceDN w:val="0"/>
                    <w:adjustRightInd w:val="0"/>
                    <w:snapToGrid w:val="0"/>
                    <w:jc w:val="center"/>
                    <w:rPr>
                      <w:rFonts w:ascii="Times New Roman" w:hAnsi="Times New Roman" w:eastAsia="宋体" w:cs="Times New Roman"/>
                      <w:color w:val="auto"/>
                      <w:kern w:val="0"/>
                      <w:sz w:val="21"/>
                      <w:szCs w:val="21"/>
                      <w:lang w:val="en-US" w:eastAsia="zh-CN" w:bidi="ar-SA"/>
                    </w:rPr>
                  </w:pPr>
                  <w:r>
                    <w:rPr>
                      <w:color w:val="auto"/>
                      <w:kern w:val="0"/>
                      <w:szCs w:val="21"/>
                    </w:rPr>
                    <w:t>台</w:t>
                  </w:r>
                </w:p>
              </w:tc>
            </w:tr>
            <w:tr w14:paraId="0852E3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72B0D364">
                  <w:pPr>
                    <w:topLinePunct/>
                    <w:jc w:val="center"/>
                    <w:rPr>
                      <w:color w:val="auto"/>
                      <w:szCs w:val="21"/>
                    </w:rPr>
                  </w:pPr>
                  <w:r>
                    <w:rPr>
                      <w:color w:val="auto"/>
                      <w:szCs w:val="21"/>
                    </w:rPr>
                    <w:t>8</w:t>
                  </w:r>
                </w:p>
              </w:tc>
              <w:tc>
                <w:tcPr>
                  <w:tcW w:w="1557" w:type="pct"/>
                  <w:shd w:val="clear" w:color="auto" w:fill="auto"/>
                  <w:vAlign w:val="center"/>
                </w:tcPr>
                <w:p w14:paraId="04AA905A">
                  <w:pPr>
                    <w:kinsoku w:val="0"/>
                    <w:overflowPunct w:val="0"/>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废水储罐</w:t>
                  </w:r>
                </w:p>
              </w:tc>
              <w:tc>
                <w:tcPr>
                  <w:tcW w:w="973" w:type="pct"/>
                  <w:shd w:val="clear" w:color="auto" w:fill="auto"/>
                  <w:vAlign w:val="center"/>
                </w:tcPr>
                <w:p w14:paraId="2893832F">
                  <w:pPr>
                    <w:kinsoku w:val="0"/>
                    <w:overflowPunct w:val="0"/>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30</w:t>
                  </w:r>
                  <w:r>
                    <w:rPr>
                      <w:rFonts w:hint="eastAsia"/>
                      <w:color w:val="auto"/>
                      <w:kern w:val="0"/>
                      <w:szCs w:val="21"/>
                      <w:vertAlign w:val="baseline"/>
                      <w:lang w:val="en-US" w:eastAsia="zh-CN"/>
                    </w:rPr>
                    <w:t>m</w:t>
                  </w:r>
                  <w:r>
                    <w:rPr>
                      <w:rFonts w:hint="eastAsia"/>
                      <w:color w:val="auto"/>
                      <w:kern w:val="0"/>
                      <w:szCs w:val="21"/>
                      <w:vertAlign w:val="superscript"/>
                      <w:lang w:val="en-US" w:eastAsia="zh-CN"/>
                    </w:rPr>
                    <w:t>3</w:t>
                  </w:r>
                </w:p>
              </w:tc>
              <w:tc>
                <w:tcPr>
                  <w:tcW w:w="826" w:type="pct"/>
                  <w:shd w:val="clear" w:color="auto" w:fill="auto"/>
                  <w:vAlign w:val="center"/>
                </w:tcPr>
                <w:p w14:paraId="1E708B43">
                  <w:pPr>
                    <w:kinsoku w:val="0"/>
                    <w:overflowPunct w:val="0"/>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3</w:t>
                  </w:r>
                </w:p>
              </w:tc>
              <w:tc>
                <w:tcPr>
                  <w:tcW w:w="819" w:type="pct"/>
                  <w:shd w:val="clear" w:color="auto" w:fill="auto"/>
                  <w:vAlign w:val="center"/>
                </w:tcPr>
                <w:p w14:paraId="5E9B5684">
                  <w:pPr>
                    <w:kinsoku w:val="0"/>
                    <w:overflowPunct w:val="0"/>
                    <w:autoSpaceDE w:val="0"/>
                    <w:autoSpaceDN w:val="0"/>
                    <w:adjustRightInd w:val="0"/>
                    <w:snapToGrid w:val="0"/>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个</w:t>
                  </w:r>
                </w:p>
              </w:tc>
            </w:tr>
            <w:tr w14:paraId="3B06AE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3" w:type="pct"/>
                  <w:vAlign w:val="center"/>
                </w:tcPr>
                <w:p w14:paraId="7B5217A7">
                  <w:pPr>
                    <w:topLinePunct/>
                    <w:jc w:val="center"/>
                    <w:rPr>
                      <w:rFonts w:hint="eastAsia" w:eastAsia="宋体"/>
                      <w:color w:val="auto"/>
                      <w:szCs w:val="21"/>
                      <w:lang w:val="en-US" w:eastAsia="zh-CN"/>
                    </w:rPr>
                  </w:pPr>
                  <w:r>
                    <w:rPr>
                      <w:rFonts w:hint="eastAsia"/>
                      <w:color w:val="auto"/>
                      <w:szCs w:val="21"/>
                      <w:lang w:val="en-US" w:eastAsia="zh-CN"/>
                    </w:rPr>
                    <w:t>9</w:t>
                  </w:r>
                </w:p>
              </w:tc>
              <w:tc>
                <w:tcPr>
                  <w:tcW w:w="1557" w:type="pct"/>
                  <w:shd w:val="clear" w:color="auto" w:fill="auto"/>
                  <w:vAlign w:val="center"/>
                </w:tcPr>
                <w:p w14:paraId="0E5B4A47">
                  <w:pPr>
                    <w:kinsoku w:val="0"/>
                    <w:overflowPunct w:val="0"/>
                    <w:autoSpaceDE w:val="0"/>
                    <w:autoSpaceDN w:val="0"/>
                    <w:adjustRightInd w:val="0"/>
                    <w:snapToGrid w:val="0"/>
                    <w:jc w:val="center"/>
                    <w:rPr>
                      <w:rFonts w:hint="default"/>
                      <w:color w:val="auto"/>
                      <w:kern w:val="0"/>
                      <w:szCs w:val="21"/>
                      <w:lang w:val="en-US" w:eastAsia="zh-CN"/>
                    </w:rPr>
                  </w:pPr>
                  <w:r>
                    <w:rPr>
                      <w:rFonts w:hint="eastAsia"/>
                      <w:color w:val="auto"/>
                      <w:kern w:val="0"/>
                      <w:szCs w:val="21"/>
                      <w:lang w:val="en-US" w:eastAsia="zh-CN"/>
                    </w:rPr>
                    <w:t>水泵</w:t>
                  </w:r>
                </w:p>
              </w:tc>
              <w:tc>
                <w:tcPr>
                  <w:tcW w:w="973" w:type="pct"/>
                  <w:shd w:val="clear" w:color="auto" w:fill="auto"/>
                  <w:vAlign w:val="center"/>
                </w:tcPr>
                <w:p w14:paraId="41D9E0A5">
                  <w:pPr>
                    <w:kinsoku w:val="0"/>
                    <w:overflowPunct w:val="0"/>
                    <w:autoSpaceDE w:val="0"/>
                    <w:autoSpaceDN w:val="0"/>
                    <w:adjustRightInd w:val="0"/>
                    <w:snapToGrid w:val="0"/>
                    <w:jc w:val="center"/>
                    <w:rPr>
                      <w:rFonts w:hint="default"/>
                      <w:color w:val="auto"/>
                      <w:kern w:val="0"/>
                      <w:szCs w:val="21"/>
                      <w:lang w:val="en-US" w:eastAsia="zh-CN"/>
                    </w:rPr>
                  </w:pPr>
                  <w:r>
                    <w:rPr>
                      <w:rFonts w:hint="eastAsia"/>
                      <w:color w:val="auto"/>
                      <w:kern w:val="0"/>
                      <w:szCs w:val="21"/>
                      <w:lang w:val="en-US" w:eastAsia="zh-CN"/>
                    </w:rPr>
                    <w:t>/</w:t>
                  </w:r>
                </w:p>
              </w:tc>
              <w:tc>
                <w:tcPr>
                  <w:tcW w:w="826" w:type="pct"/>
                  <w:shd w:val="clear" w:color="auto" w:fill="auto"/>
                  <w:vAlign w:val="center"/>
                </w:tcPr>
                <w:p w14:paraId="54684084">
                  <w:pPr>
                    <w:kinsoku w:val="0"/>
                    <w:overflowPunct w:val="0"/>
                    <w:autoSpaceDE w:val="0"/>
                    <w:autoSpaceDN w:val="0"/>
                    <w:adjustRightInd w:val="0"/>
                    <w:snapToGrid w:val="0"/>
                    <w:jc w:val="center"/>
                    <w:rPr>
                      <w:rFonts w:hint="default"/>
                      <w:color w:val="auto"/>
                      <w:kern w:val="0"/>
                      <w:szCs w:val="21"/>
                      <w:lang w:val="en-US" w:eastAsia="zh-CN"/>
                    </w:rPr>
                  </w:pPr>
                  <w:r>
                    <w:rPr>
                      <w:rFonts w:hint="eastAsia"/>
                      <w:color w:val="auto"/>
                      <w:kern w:val="0"/>
                      <w:szCs w:val="21"/>
                      <w:lang w:val="en-US" w:eastAsia="zh-CN"/>
                    </w:rPr>
                    <w:t>3</w:t>
                  </w:r>
                </w:p>
              </w:tc>
              <w:tc>
                <w:tcPr>
                  <w:tcW w:w="819" w:type="pct"/>
                  <w:shd w:val="clear" w:color="auto" w:fill="auto"/>
                  <w:vAlign w:val="center"/>
                </w:tcPr>
                <w:p w14:paraId="30FB3E31">
                  <w:pPr>
                    <w:kinsoku w:val="0"/>
                    <w:overflowPunct w:val="0"/>
                    <w:autoSpaceDE w:val="0"/>
                    <w:autoSpaceDN w:val="0"/>
                    <w:adjustRightInd w:val="0"/>
                    <w:snapToGrid w:val="0"/>
                    <w:jc w:val="center"/>
                    <w:rPr>
                      <w:rFonts w:hint="default"/>
                      <w:color w:val="auto"/>
                      <w:kern w:val="0"/>
                      <w:szCs w:val="21"/>
                      <w:lang w:val="en-US" w:eastAsia="zh-CN"/>
                    </w:rPr>
                  </w:pPr>
                  <w:r>
                    <w:rPr>
                      <w:rFonts w:hint="eastAsia"/>
                      <w:color w:val="auto"/>
                      <w:kern w:val="0"/>
                      <w:szCs w:val="21"/>
                      <w:lang w:val="en-US" w:eastAsia="zh-CN"/>
                    </w:rPr>
                    <w:t>个</w:t>
                  </w:r>
                </w:p>
              </w:tc>
            </w:tr>
            <w:bookmarkEnd w:id="4"/>
          </w:tbl>
          <w:p w14:paraId="7B3DAA60">
            <w:pPr>
              <w:adjustRightInd w:val="0"/>
              <w:snapToGrid w:val="0"/>
              <w:spacing w:before="240" w:line="360" w:lineRule="auto"/>
              <w:jc w:val="left"/>
              <w:rPr>
                <w:b/>
                <w:bCs/>
                <w:color w:val="auto"/>
                <w:sz w:val="24"/>
              </w:rPr>
            </w:pPr>
            <w:r>
              <w:rPr>
                <w:rFonts w:hint="eastAsia"/>
                <w:b/>
                <w:bCs/>
                <w:color w:val="auto"/>
                <w:sz w:val="24"/>
              </w:rPr>
              <w:t>6.</w:t>
            </w:r>
            <w:r>
              <w:rPr>
                <w:b/>
                <w:bCs/>
                <w:color w:val="auto"/>
                <w:sz w:val="24"/>
              </w:rPr>
              <w:t>厂区</w:t>
            </w:r>
            <w:r>
              <w:rPr>
                <w:rFonts w:hint="eastAsia"/>
                <w:b/>
                <w:bCs/>
                <w:color w:val="auto"/>
                <w:sz w:val="24"/>
              </w:rPr>
              <w:t>总</w:t>
            </w:r>
            <w:r>
              <w:rPr>
                <w:b/>
                <w:bCs/>
                <w:color w:val="auto"/>
                <w:sz w:val="24"/>
              </w:rPr>
              <w:t>平面布置</w:t>
            </w:r>
          </w:p>
          <w:p w14:paraId="07BE17E5">
            <w:pPr>
              <w:adjustRightInd w:val="0"/>
              <w:snapToGrid w:val="0"/>
              <w:spacing w:line="360" w:lineRule="auto"/>
              <w:ind w:firstLine="480" w:firstLineChars="200"/>
              <w:jc w:val="left"/>
              <w:rPr>
                <w:bCs/>
                <w:color w:val="auto"/>
                <w:sz w:val="24"/>
              </w:rPr>
            </w:pPr>
            <w:r>
              <w:rPr>
                <w:bCs/>
                <w:color w:val="auto"/>
                <w:sz w:val="24"/>
              </w:rPr>
              <w:t>本项目总占地面积</w:t>
            </w:r>
            <w:r>
              <w:rPr>
                <w:rFonts w:hint="eastAsia"/>
                <w:bCs/>
                <w:color w:val="auto"/>
                <w:sz w:val="24"/>
                <w:lang w:eastAsia="zh-CN"/>
              </w:rPr>
              <w:t>4196</w:t>
            </w:r>
            <w:r>
              <w:rPr>
                <w:rFonts w:hint="eastAsia"/>
                <w:bCs/>
                <w:color w:val="auto"/>
                <w:sz w:val="24"/>
                <w:vertAlign w:val="baseline"/>
                <w:lang w:eastAsia="zh-CN"/>
              </w:rPr>
              <w:t>m</w:t>
            </w:r>
            <w:r>
              <w:rPr>
                <w:rFonts w:hint="eastAsia"/>
                <w:bCs/>
                <w:color w:val="auto"/>
                <w:sz w:val="24"/>
                <w:vertAlign w:val="superscript"/>
                <w:lang w:eastAsia="zh-CN"/>
              </w:rPr>
              <w:t>2</w:t>
            </w:r>
            <w:r>
              <w:rPr>
                <w:bCs/>
                <w:color w:val="auto"/>
                <w:sz w:val="24"/>
              </w:rPr>
              <w:t>，出入口位于场地</w:t>
            </w:r>
            <w:r>
              <w:rPr>
                <w:rFonts w:hint="eastAsia"/>
                <w:bCs/>
                <w:color w:val="auto"/>
                <w:sz w:val="24"/>
                <w:lang w:val="en-US" w:eastAsia="zh-CN"/>
              </w:rPr>
              <w:t>东北</w:t>
            </w:r>
            <w:r>
              <w:rPr>
                <w:bCs/>
                <w:color w:val="auto"/>
                <w:sz w:val="24"/>
              </w:rPr>
              <w:t>部，</w:t>
            </w:r>
            <w:r>
              <w:rPr>
                <w:rFonts w:hint="eastAsia"/>
                <w:bCs/>
                <w:color w:val="auto"/>
                <w:sz w:val="24"/>
                <w:lang w:val="en-US" w:eastAsia="zh-CN"/>
              </w:rPr>
              <w:t>建设酱腌菜加工生产车间一座，内部根据生产工序，布置原辅材料库、漂烫车间、洗菜车间、生腌生产线进料、发酵池、二次发酵车间、洗酸菜车间、包装车间、成品库、冷库、维修车间、二次发酵桶库房等</w:t>
            </w:r>
            <w:r>
              <w:rPr>
                <w:bCs/>
                <w:color w:val="auto"/>
                <w:sz w:val="24"/>
              </w:rPr>
              <w:t>。本项目总平面布置基本合理。厂区平面示意</w:t>
            </w:r>
            <w:r>
              <w:rPr>
                <w:rFonts w:hint="eastAsia"/>
                <w:bCs/>
                <w:color w:val="auto"/>
                <w:sz w:val="24"/>
              </w:rPr>
              <w:t>图</w:t>
            </w:r>
            <w:r>
              <w:rPr>
                <w:bCs/>
                <w:color w:val="auto"/>
                <w:sz w:val="24"/>
              </w:rPr>
              <w:t>见附图2。</w:t>
            </w:r>
          </w:p>
          <w:p w14:paraId="22A758C7">
            <w:pPr>
              <w:adjustRightInd w:val="0"/>
              <w:snapToGrid w:val="0"/>
              <w:spacing w:line="360" w:lineRule="auto"/>
              <w:jc w:val="left"/>
              <w:rPr>
                <w:b/>
                <w:bCs/>
                <w:color w:val="auto"/>
                <w:sz w:val="24"/>
              </w:rPr>
            </w:pPr>
            <w:r>
              <w:rPr>
                <w:rFonts w:hint="eastAsia"/>
                <w:b/>
                <w:bCs/>
                <w:color w:val="auto"/>
                <w:sz w:val="24"/>
              </w:rPr>
              <w:t>7.</w:t>
            </w:r>
            <w:r>
              <w:rPr>
                <w:b/>
                <w:bCs/>
                <w:color w:val="auto"/>
                <w:sz w:val="24"/>
              </w:rPr>
              <w:t>劳动定员及生产制度</w:t>
            </w:r>
          </w:p>
          <w:p w14:paraId="090580B2">
            <w:pPr>
              <w:adjustRightInd w:val="0"/>
              <w:snapToGrid w:val="0"/>
              <w:spacing w:line="360" w:lineRule="auto"/>
              <w:ind w:firstLine="480" w:firstLineChars="200"/>
              <w:jc w:val="left"/>
              <w:rPr>
                <w:bCs/>
                <w:color w:val="auto"/>
                <w:sz w:val="24"/>
              </w:rPr>
            </w:pPr>
            <w:r>
              <w:rPr>
                <w:bCs/>
                <w:color w:val="auto"/>
                <w:sz w:val="24"/>
              </w:rPr>
              <w:t>本项目运营期</w:t>
            </w:r>
            <w:r>
              <w:rPr>
                <w:rFonts w:hint="eastAsia"/>
                <w:bCs/>
                <w:color w:val="auto"/>
                <w:sz w:val="24"/>
                <w:lang w:val="en-US" w:eastAsia="zh-CN"/>
              </w:rPr>
              <w:t>夏季收菜、洗菜为3个月，生产期间需雇佣临时工20人，其余运营期</w:t>
            </w:r>
            <w:r>
              <w:rPr>
                <w:rFonts w:hint="eastAsia"/>
                <w:bCs/>
                <w:color w:val="auto"/>
                <w:sz w:val="24"/>
                <w:lang w:eastAsia="zh-CN"/>
              </w:rPr>
              <w:t>共有</w:t>
            </w:r>
            <w:r>
              <w:rPr>
                <w:rFonts w:hint="eastAsia"/>
                <w:bCs/>
                <w:color w:val="auto"/>
                <w:sz w:val="24"/>
                <w:lang w:val="en-US" w:eastAsia="zh-CN"/>
              </w:rPr>
              <w:t>6</w:t>
            </w:r>
            <w:r>
              <w:rPr>
                <w:bCs/>
                <w:color w:val="auto"/>
                <w:sz w:val="24"/>
              </w:rPr>
              <w:t>名</w:t>
            </w:r>
            <w:r>
              <w:rPr>
                <w:rFonts w:hint="eastAsia"/>
                <w:bCs/>
                <w:color w:val="auto"/>
                <w:sz w:val="24"/>
                <w:lang w:val="en-US" w:eastAsia="zh-CN"/>
              </w:rPr>
              <w:t>长期</w:t>
            </w:r>
            <w:r>
              <w:rPr>
                <w:bCs/>
                <w:color w:val="auto"/>
                <w:sz w:val="24"/>
              </w:rPr>
              <w:t>工作人员，年工作天数</w:t>
            </w:r>
            <w:r>
              <w:rPr>
                <w:rFonts w:hint="eastAsia"/>
                <w:bCs/>
                <w:color w:val="auto"/>
                <w:sz w:val="24"/>
                <w:lang w:eastAsia="zh-CN"/>
              </w:rPr>
              <w:t>为</w:t>
            </w:r>
            <w:r>
              <w:rPr>
                <w:rFonts w:hint="eastAsia"/>
                <w:bCs/>
                <w:color w:val="auto"/>
                <w:sz w:val="24"/>
                <w:lang w:val="en-US" w:eastAsia="zh-CN"/>
              </w:rPr>
              <w:t>3</w:t>
            </w:r>
            <w:r>
              <w:rPr>
                <w:rFonts w:hint="eastAsia"/>
                <w:bCs/>
                <w:color w:val="auto"/>
                <w:sz w:val="24"/>
              </w:rPr>
              <w:t>00</w:t>
            </w:r>
            <w:r>
              <w:rPr>
                <w:bCs/>
                <w:color w:val="auto"/>
                <w:sz w:val="24"/>
              </w:rPr>
              <w:t>天，每天工作8小时。</w:t>
            </w:r>
          </w:p>
          <w:p w14:paraId="3326DB32">
            <w:pPr>
              <w:adjustRightInd w:val="0"/>
              <w:snapToGrid w:val="0"/>
              <w:spacing w:line="360" w:lineRule="auto"/>
              <w:jc w:val="left"/>
              <w:rPr>
                <w:b/>
                <w:bCs/>
                <w:color w:val="auto"/>
                <w:sz w:val="24"/>
              </w:rPr>
            </w:pPr>
            <w:r>
              <w:rPr>
                <w:rFonts w:hint="eastAsia"/>
                <w:b/>
                <w:bCs/>
                <w:color w:val="auto"/>
                <w:sz w:val="24"/>
              </w:rPr>
              <w:t>8.</w:t>
            </w:r>
            <w:r>
              <w:rPr>
                <w:b/>
                <w:bCs/>
                <w:color w:val="auto"/>
                <w:sz w:val="24"/>
              </w:rPr>
              <w:t>公用工程</w:t>
            </w:r>
          </w:p>
          <w:p w14:paraId="74B3DF48">
            <w:pPr>
              <w:adjustRightInd w:val="0"/>
              <w:snapToGrid w:val="0"/>
              <w:spacing w:line="360" w:lineRule="auto"/>
              <w:ind w:firstLine="480" w:firstLineChars="200"/>
              <w:rPr>
                <w:bCs/>
                <w:color w:val="auto"/>
                <w:sz w:val="24"/>
              </w:rPr>
            </w:pPr>
            <w:r>
              <w:rPr>
                <w:rFonts w:hint="eastAsia"/>
                <w:bCs/>
                <w:color w:val="auto"/>
                <w:sz w:val="24"/>
              </w:rPr>
              <w:t>（</w:t>
            </w:r>
            <w:r>
              <w:rPr>
                <w:bCs/>
                <w:color w:val="auto"/>
                <w:sz w:val="24"/>
              </w:rPr>
              <w:t>1</w:t>
            </w:r>
            <w:r>
              <w:rPr>
                <w:rFonts w:hint="eastAsia"/>
                <w:bCs/>
                <w:color w:val="auto"/>
                <w:sz w:val="24"/>
              </w:rPr>
              <w:t>）</w:t>
            </w:r>
            <w:r>
              <w:rPr>
                <w:bCs/>
                <w:color w:val="auto"/>
                <w:sz w:val="24"/>
              </w:rPr>
              <w:t>供水</w:t>
            </w:r>
          </w:p>
          <w:p w14:paraId="3C75EA00">
            <w:pPr>
              <w:spacing w:line="360" w:lineRule="auto"/>
              <w:ind w:firstLine="480" w:firstLineChars="200"/>
              <w:rPr>
                <w:rFonts w:hint="eastAsia" w:ascii="Cambria Math" w:hAnsi="Cambria Math" w:eastAsia="宋体" w:cs="Cambria Math"/>
                <w:bCs/>
                <w:color w:val="auto"/>
                <w:sz w:val="24"/>
                <w:lang w:val="en-US" w:eastAsia="zh-CN"/>
              </w:rPr>
            </w:pPr>
            <w:r>
              <w:rPr>
                <w:rFonts w:hint="eastAsia" w:ascii="Cambria Math" w:hAnsi="Cambria Math" w:cs="Cambria Math"/>
                <w:bCs/>
                <w:color w:val="auto"/>
                <w:sz w:val="24"/>
                <w:lang w:val="en-US" w:eastAsia="zh-CN"/>
              </w:rPr>
              <w:t>本项目用水由自备井提供，用水包括生活用水和生产用水。具体用水量分析如下：</w:t>
            </w:r>
          </w:p>
          <w:p w14:paraId="68B10DA8">
            <w:pPr>
              <w:spacing w:line="360" w:lineRule="auto"/>
              <w:ind w:firstLine="480" w:firstLineChars="200"/>
              <w:rPr>
                <w:bCs/>
                <w:color w:val="auto"/>
                <w:sz w:val="24"/>
              </w:rPr>
            </w:pPr>
            <w:r>
              <w:rPr>
                <w:rFonts w:ascii="Cambria Math" w:hAnsi="Cambria Math" w:cs="Cambria Math"/>
                <w:bCs/>
                <w:color w:val="auto"/>
                <w:sz w:val="24"/>
              </w:rPr>
              <w:t>①</w:t>
            </w:r>
            <w:r>
              <w:rPr>
                <w:bCs/>
                <w:color w:val="auto"/>
                <w:sz w:val="24"/>
              </w:rPr>
              <w:t>生活用水</w:t>
            </w:r>
          </w:p>
          <w:p w14:paraId="0D0DC95D">
            <w:pPr>
              <w:adjustRightInd w:val="0"/>
              <w:snapToGrid w:val="0"/>
              <w:spacing w:line="360" w:lineRule="auto"/>
              <w:ind w:firstLine="480" w:firstLineChars="200"/>
              <w:rPr>
                <w:b/>
                <w:bCs/>
                <w:color w:val="auto"/>
                <w:sz w:val="24"/>
              </w:rPr>
            </w:pPr>
            <w:r>
              <w:rPr>
                <w:bCs/>
                <w:color w:val="auto"/>
                <w:sz w:val="24"/>
              </w:rPr>
              <w:t>本项目运营期</w:t>
            </w:r>
            <w:r>
              <w:rPr>
                <w:rFonts w:hint="eastAsia"/>
                <w:bCs/>
                <w:color w:val="auto"/>
                <w:sz w:val="24"/>
                <w:lang w:val="en-US" w:eastAsia="zh-CN"/>
              </w:rPr>
              <w:t>夏季收菜、洗菜为3个月，生产期间需雇佣临时工20人，其余运营期</w:t>
            </w:r>
            <w:r>
              <w:rPr>
                <w:rFonts w:hint="eastAsia"/>
                <w:bCs/>
                <w:color w:val="auto"/>
                <w:sz w:val="24"/>
                <w:lang w:eastAsia="zh-CN"/>
              </w:rPr>
              <w:t>共有</w:t>
            </w:r>
            <w:r>
              <w:rPr>
                <w:rFonts w:hint="eastAsia"/>
                <w:bCs/>
                <w:color w:val="auto"/>
                <w:sz w:val="24"/>
                <w:lang w:val="en-US" w:eastAsia="zh-CN"/>
              </w:rPr>
              <w:t>6</w:t>
            </w:r>
            <w:r>
              <w:rPr>
                <w:bCs/>
                <w:color w:val="auto"/>
                <w:sz w:val="24"/>
              </w:rPr>
              <w:t>名</w:t>
            </w:r>
            <w:r>
              <w:rPr>
                <w:rFonts w:hint="eastAsia"/>
                <w:bCs/>
                <w:color w:val="auto"/>
                <w:sz w:val="24"/>
                <w:lang w:val="en-US" w:eastAsia="zh-CN"/>
              </w:rPr>
              <w:t>长期</w:t>
            </w:r>
            <w:r>
              <w:rPr>
                <w:bCs/>
                <w:color w:val="auto"/>
                <w:sz w:val="24"/>
              </w:rPr>
              <w:t>工作人员，年工作天数</w:t>
            </w:r>
            <w:r>
              <w:rPr>
                <w:rFonts w:hint="eastAsia"/>
                <w:bCs/>
                <w:color w:val="auto"/>
                <w:sz w:val="24"/>
                <w:lang w:eastAsia="zh-CN"/>
              </w:rPr>
              <w:t>为</w:t>
            </w:r>
            <w:r>
              <w:rPr>
                <w:rFonts w:hint="eastAsia"/>
                <w:bCs/>
                <w:color w:val="auto"/>
                <w:sz w:val="24"/>
                <w:lang w:val="en-US" w:eastAsia="zh-CN"/>
              </w:rPr>
              <w:t>3</w:t>
            </w:r>
            <w:r>
              <w:rPr>
                <w:rFonts w:hint="eastAsia"/>
                <w:bCs/>
                <w:color w:val="auto"/>
                <w:sz w:val="24"/>
              </w:rPr>
              <w:t>00</w:t>
            </w:r>
            <w:r>
              <w:rPr>
                <w:bCs/>
                <w:color w:val="auto"/>
                <w:sz w:val="24"/>
              </w:rPr>
              <w:t>天，根据《行业用水定额》</w:t>
            </w:r>
            <w:r>
              <w:rPr>
                <w:rFonts w:hint="eastAsia"/>
                <w:bCs/>
                <w:color w:val="auto"/>
                <w:sz w:val="24"/>
              </w:rPr>
              <w:t>（</w:t>
            </w:r>
            <w:r>
              <w:rPr>
                <w:bCs/>
                <w:color w:val="auto"/>
                <w:sz w:val="24"/>
              </w:rPr>
              <w:t>DB15/T385 2020</w:t>
            </w:r>
            <w:r>
              <w:rPr>
                <w:rFonts w:hint="eastAsia"/>
                <w:bCs/>
                <w:color w:val="auto"/>
                <w:sz w:val="24"/>
              </w:rPr>
              <w:t>）</w:t>
            </w:r>
            <w:r>
              <w:rPr>
                <w:bCs/>
                <w:color w:val="auto"/>
                <w:sz w:val="24"/>
              </w:rPr>
              <w:t>，职工生活用水量按40L/人·d计，则用水量为</w:t>
            </w:r>
            <w:r>
              <w:rPr>
                <w:rFonts w:hint="eastAsia"/>
                <w:bCs/>
                <w:color w:val="auto"/>
                <w:sz w:val="24"/>
                <w:lang w:val="en-US" w:eastAsia="zh-CN"/>
              </w:rPr>
              <w:t>144</w:t>
            </w:r>
            <w:r>
              <w:rPr>
                <w:rFonts w:hint="eastAsia"/>
                <w:bCs/>
                <w:color w:val="auto"/>
                <w:sz w:val="24"/>
                <w:vertAlign w:val="baseline"/>
                <w:lang w:eastAsia="zh-CN"/>
              </w:rPr>
              <w:t>m</w:t>
            </w:r>
            <w:r>
              <w:rPr>
                <w:rFonts w:hint="eastAsia"/>
                <w:bCs/>
                <w:color w:val="auto"/>
                <w:sz w:val="24"/>
                <w:vertAlign w:val="superscript"/>
                <w:lang w:eastAsia="zh-CN"/>
              </w:rPr>
              <w:t>3</w:t>
            </w:r>
            <w:r>
              <w:rPr>
                <w:bCs/>
                <w:color w:val="auto"/>
                <w:sz w:val="24"/>
              </w:rPr>
              <w:t>/a。</w:t>
            </w:r>
          </w:p>
          <w:p w14:paraId="3389D05B">
            <w:pPr>
              <w:adjustRightInd w:val="0"/>
              <w:snapToGrid w:val="0"/>
              <w:spacing w:line="360" w:lineRule="auto"/>
              <w:ind w:firstLine="480" w:firstLineChars="200"/>
              <w:rPr>
                <w:bCs/>
                <w:color w:val="auto"/>
                <w:sz w:val="24"/>
              </w:rPr>
            </w:pPr>
            <w:r>
              <w:rPr>
                <w:rFonts w:ascii="Cambria Math" w:hAnsi="Cambria Math" w:cs="Cambria Math"/>
                <w:bCs/>
                <w:color w:val="auto"/>
                <w:sz w:val="24"/>
              </w:rPr>
              <w:t>②</w:t>
            </w:r>
            <w:r>
              <w:rPr>
                <w:bCs/>
                <w:color w:val="auto"/>
                <w:sz w:val="24"/>
              </w:rPr>
              <w:t>生产用水</w:t>
            </w:r>
          </w:p>
          <w:p w14:paraId="490B0EFF">
            <w:pPr>
              <w:adjustRightInd w:val="0"/>
              <w:snapToGrid w:val="0"/>
              <w:spacing w:line="360" w:lineRule="auto"/>
              <w:ind w:firstLine="480" w:firstLineChars="200"/>
              <w:rPr>
                <w:bCs/>
                <w:color w:val="auto"/>
                <w:sz w:val="24"/>
              </w:rPr>
            </w:pPr>
            <w:r>
              <w:rPr>
                <w:bCs/>
                <w:color w:val="auto"/>
                <w:sz w:val="24"/>
              </w:rPr>
              <w:t>生产用水主要是</w:t>
            </w:r>
            <w:r>
              <w:rPr>
                <w:rFonts w:hint="eastAsia"/>
                <w:bCs/>
                <w:color w:val="auto"/>
                <w:sz w:val="24"/>
                <w:lang w:val="en-US" w:eastAsia="zh-CN"/>
              </w:rPr>
              <w:t>新鲜蔬菜漂烫清洗</w:t>
            </w:r>
            <w:r>
              <w:rPr>
                <w:bCs/>
                <w:color w:val="auto"/>
                <w:sz w:val="24"/>
              </w:rPr>
              <w:t>用水、</w:t>
            </w:r>
            <w:r>
              <w:rPr>
                <w:rFonts w:hint="eastAsia"/>
                <w:bCs/>
                <w:color w:val="auto"/>
                <w:sz w:val="24"/>
                <w:lang w:val="en-US" w:eastAsia="zh-CN"/>
              </w:rPr>
              <w:t>设备清洗用水、地面清洗用水、酸菜</w:t>
            </w:r>
            <w:r>
              <w:rPr>
                <w:bCs/>
                <w:color w:val="auto"/>
                <w:sz w:val="24"/>
              </w:rPr>
              <w:t>清洗用水等。</w:t>
            </w:r>
          </w:p>
          <w:p w14:paraId="484B219B">
            <w:pPr>
              <w:adjustRightInd w:val="0"/>
              <w:snapToGrid w:val="0"/>
              <w:spacing w:line="360" w:lineRule="auto"/>
              <w:ind w:firstLine="480" w:firstLineChars="200"/>
              <w:rPr>
                <w:bCs/>
                <w:color w:val="auto"/>
                <w:sz w:val="24"/>
              </w:rPr>
            </w:pPr>
            <w:r>
              <w:rPr>
                <w:rFonts w:hint="eastAsia"/>
                <w:bCs/>
                <w:color w:val="auto"/>
                <w:sz w:val="24"/>
                <w:lang w:val="en-US" w:eastAsia="zh-CN"/>
              </w:rPr>
              <w:t>新鲜蔬菜漂烫清洗</w:t>
            </w:r>
            <w:r>
              <w:rPr>
                <w:bCs/>
                <w:color w:val="auto"/>
                <w:sz w:val="24"/>
              </w:rPr>
              <w:t>用水</w:t>
            </w:r>
            <w:r>
              <w:rPr>
                <w:rFonts w:hint="eastAsia"/>
                <w:bCs/>
                <w:color w:val="auto"/>
                <w:sz w:val="24"/>
                <w:lang w:eastAsia="zh-CN"/>
              </w:rPr>
              <w:t>：</w:t>
            </w:r>
            <w:r>
              <w:rPr>
                <w:rFonts w:hint="eastAsia"/>
                <w:bCs/>
                <w:color w:val="auto"/>
                <w:sz w:val="24"/>
                <w:lang w:val="en-US" w:eastAsia="zh-CN"/>
              </w:rPr>
              <w:t>新鲜蔬菜漂烫清洗主要集中在6-8月份，根据建设单位提供资料，酱腌菜和生腌酱腌菜的产品比例为3</w:t>
            </w:r>
            <w:r>
              <w:rPr>
                <w:rFonts w:ascii="微软雅黑" w:hAnsi="微软雅黑" w:eastAsia="微软雅黑" w:cs="微软雅黑"/>
                <w:i w:val="0"/>
                <w:iCs w:val="0"/>
                <w:caps w:val="0"/>
                <w:color w:val="auto"/>
                <w:spacing w:val="0"/>
                <w:sz w:val="21"/>
                <w:szCs w:val="21"/>
              </w:rPr>
              <w:t>：</w:t>
            </w:r>
            <w:r>
              <w:rPr>
                <w:rFonts w:hint="eastAsia"/>
                <w:bCs/>
                <w:color w:val="auto"/>
                <w:sz w:val="24"/>
                <w:lang w:val="en-US" w:eastAsia="zh-CN"/>
              </w:rPr>
              <w:t>2，需新鲜蔬菜共计800t/a，则生产酱腌菜所需漂烫的蔬菜为480t/a，新鲜蔬菜漂烫清洗</w:t>
            </w:r>
            <w:r>
              <w:rPr>
                <w:bCs/>
                <w:color w:val="auto"/>
                <w:sz w:val="24"/>
              </w:rPr>
              <w:t>用水量为</w:t>
            </w:r>
            <w:r>
              <w:rPr>
                <w:rFonts w:hint="eastAsia"/>
                <w:bCs/>
                <w:color w:val="auto"/>
                <w:sz w:val="24"/>
                <w:lang w:val="en-US" w:eastAsia="zh-CN"/>
              </w:rPr>
              <w:t>1</w:t>
            </w:r>
            <w:r>
              <w:rPr>
                <w:rFonts w:hint="eastAsia"/>
                <w:bCs/>
                <w:color w:val="auto"/>
                <w:sz w:val="24"/>
                <w:vertAlign w:val="baseline"/>
                <w:lang w:eastAsia="zh-CN"/>
              </w:rPr>
              <w:t>m</w:t>
            </w:r>
            <w:r>
              <w:rPr>
                <w:rFonts w:hint="eastAsia"/>
                <w:bCs/>
                <w:color w:val="auto"/>
                <w:sz w:val="24"/>
                <w:vertAlign w:val="superscript"/>
                <w:lang w:eastAsia="zh-CN"/>
              </w:rPr>
              <w:t>3</w:t>
            </w:r>
            <w:r>
              <w:rPr>
                <w:bCs/>
                <w:color w:val="auto"/>
                <w:sz w:val="24"/>
              </w:rPr>
              <w:t>/</w:t>
            </w:r>
            <w:r>
              <w:rPr>
                <w:rFonts w:hint="eastAsia"/>
                <w:bCs/>
                <w:color w:val="auto"/>
                <w:sz w:val="24"/>
                <w:lang w:val="en-US" w:eastAsia="zh-CN"/>
              </w:rPr>
              <w:t>t，共计用水480</w:t>
            </w:r>
            <w:r>
              <w:rPr>
                <w:rFonts w:hint="eastAsia"/>
                <w:bCs/>
                <w:color w:val="auto"/>
                <w:sz w:val="24"/>
                <w:vertAlign w:val="baseline"/>
                <w:lang w:eastAsia="zh-CN"/>
              </w:rPr>
              <w:t>m</w:t>
            </w:r>
            <w:r>
              <w:rPr>
                <w:rFonts w:hint="eastAsia"/>
                <w:bCs/>
                <w:color w:val="auto"/>
                <w:sz w:val="24"/>
                <w:vertAlign w:val="superscript"/>
                <w:lang w:eastAsia="zh-CN"/>
              </w:rPr>
              <w:t>3</w:t>
            </w:r>
            <w:r>
              <w:rPr>
                <w:bCs/>
                <w:color w:val="auto"/>
                <w:sz w:val="24"/>
              </w:rPr>
              <w:t>/</w:t>
            </w:r>
            <w:r>
              <w:rPr>
                <w:rFonts w:hint="eastAsia"/>
                <w:bCs/>
                <w:color w:val="auto"/>
                <w:sz w:val="24"/>
                <w:lang w:val="en-US" w:eastAsia="zh-CN"/>
              </w:rPr>
              <w:t>a</w:t>
            </w:r>
            <w:r>
              <w:rPr>
                <w:bCs/>
                <w:color w:val="auto"/>
                <w:sz w:val="24"/>
              </w:rPr>
              <w:t>。</w:t>
            </w:r>
          </w:p>
          <w:p w14:paraId="05551067">
            <w:pPr>
              <w:adjustRightInd w:val="0"/>
              <w:snapToGrid w:val="0"/>
              <w:spacing w:line="360" w:lineRule="auto"/>
              <w:ind w:firstLine="480" w:firstLineChars="200"/>
              <w:rPr>
                <w:bCs/>
                <w:color w:val="auto"/>
                <w:sz w:val="24"/>
              </w:rPr>
            </w:pPr>
            <w:r>
              <w:rPr>
                <w:rFonts w:hint="eastAsia"/>
                <w:bCs/>
                <w:color w:val="auto"/>
                <w:sz w:val="24"/>
                <w:lang w:val="en-US" w:eastAsia="zh-CN"/>
              </w:rPr>
              <w:t>设备清洗用水</w:t>
            </w:r>
            <w:r>
              <w:rPr>
                <w:bCs/>
                <w:color w:val="auto"/>
                <w:sz w:val="24"/>
              </w:rPr>
              <w:t>：</w:t>
            </w:r>
            <w:r>
              <w:rPr>
                <w:rFonts w:hint="eastAsia"/>
                <w:bCs/>
                <w:color w:val="auto"/>
                <w:sz w:val="24"/>
                <w:lang w:val="en-US" w:eastAsia="zh-CN"/>
              </w:rPr>
              <w:t>发酵池及二次发酵桶需清洗，根据建设单位提供的资料，发酵池在酸菜全部取出后清洗，每年清洗一次，每次用水量1</w:t>
            </w:r>
            <w:r>
              <w:rPr>
                <w:rFonts w:hint="eastAsia"/>
                <w:bCs/>
                <w:color w:val="auto"/>
                <w:sz w:val="24"/>
                <w:vertAlign w:val="baseline"/>
                <w:lang w:val="en-US" w:eastAsia="zh-CN"/>
              </w:rPr>
              <w:t>m</w:t>
            </w:r>
            <w:r>
              <w:rPr>
                <w:rFonts w:hint="eastAsia"/>
                <w:bCs/>
                <w:color w:val="auto"/>
                <w:sz w:val="24"/>
                <w:lang w:val="en-US" w:eastAsia="zh-CN"/>
              </w:rPr>
              <w:t>³/座，发酵池36座，共计用水量36</w:t>
            </w:r>
            <w:r>
              <w:rPr>
                <w:rFonts w:hint="eastAsia"/>
                <w:bCs/>
                <w:color w:val="auto"/>
                <w:sz w:val="24"/>
                <w:vertAlign w:val="baseline"/>
                <w:lang w:val="en-US" w:eastAsia="zh-CN"/>
              </w:rPr>
              <w:t>m</w:t>
            </w:r>
            <w:r>
              <w:rPr>
                <w:rFonts w:hint="eastAsia"/>
                <w:bCs/>
                <w:color w:val="auto"/>
                <w:sz w:val="24"/>
                <w:lang w:val="en-US" w:eastAsia="zh-CN"/>
              </w:rPr>
              <w:t>³/a；发酵桶每年清洗一次，每次用量0.2</w:t>
            </w:r>
            <w:r>
              <w:rPr>
                <w:rFonts w:hint="eastAsia"/>
                <w:bCs/>
                <w:color w:val="auto"/>
                <w:sz w:val="24"/>
                <w:vertAlign w:val="baseline"/>
                <w:lang w:val="en-US" w:eastAsia="zh-CN"/>
              </w:rPr>
              <w:t>m</w:t>
            </w:r>
            <w:r>
              <w:rPr>
                <w:rFonts w:hint="eastAsia"/>
                <w:bCs/>
                <w:color w:val="auto"/>
                <w:sz w:val="24"/>
                <w:lang w:val="en-US" w:eastAsia="zh-CN"/>
              </w:rPr>
              <w:t>³，发酵桶300个，共计用水量60</w:t>
            </w:r>
            <w:r>
              <w:rPr>
                <w:rFonts w:hint="eastAsia"/>
                <w:bCs/>
                <w:color w:val="auto"/>
                <w:sz w:val="24"/>
                <w:vertAlign w:val="baseline"/>
                <w:lang w:val="en-US" w:eastAsia="zh-CN"/>
              </w:rPr>
              <w:t>m</w:t>
            </w:r>
            <w:r>
              <w:rPr>
                <w:rFonts w:hint="eastAsia"/>
                <w:bCs/>
                <w:color w:val="auto"/>
                <w:sz w:val="24"/>
                <w:lang w:val="en-US" w:eastAsia="zh-CN"/>
              </w:rPr>
              <w:t>³/a。设备清洗用水合计96</w:t>
            </w:r>
            <w:r>
              <w:rPr>
                <w:rFonts w:hint="eastAsia"/>
                <w:bCs/>
                <w:color w:val="auto"/>
                <w:sz w:val="24"/>
                <w:vertAlign w:val="baseline"/>
                <w:lang w:val="en-US" w:eastAsia="zh-CN"/>
              </w:rPr>
              <w:t>m</w:t>
            </w:r>
            <w:r>
              <w:rPr>
                <w:rFonts w:hint="eastAsia"/>
                <w:bCs/>
                <w:color w:val="auto"/>
                <w:sz w:val="24"/>
                <w:lang w:val="en-US" w:eastAsia="zh-CN"/>
              </w:rPr>
              <w:t>³/a</w:t>
            </w:r>
            <w:r>
              <w:rPr>
                <w:bCs/>
                <w:color w:val="auto"/>
                <w:sz w:val="24"/>
              </w:rPr>
              <w:t>。</w:t>
            </w:r>
          </w:p>
          <w:p w14:paraId="2B62F1C5">
            <w:pPr>
              <w:adjustRightInd w:val="0"/>
              <w:snapToGrid w:val="0"/>
              <w:spacing w:line="360" w:lineRule="auto"/>
              <w:ind w:firstLine="480" w:firstLineChars="200"/>
              <w:rPr>
                <w:bCs/>
                <w:color w:val="auto"/>
                <w:sz w:val="24"/>
              </w:rPr>
            </w:pPr>
            <w:r>
              <w:rPr>
                <w:rFonts w:hint="eastAsia"/>
                <w:bCs/>
                <w:color w:val="auto"/>
                <w:sz w:val="24"/>
                <w:lang w:val="en-US" w:eastAsia="zh-CN"/>
              </w:rPr>
              <w:t>地面清洗用水</w:t>
            </w:r>
            <w:r>
              <w:rPr>
                <w:bCs/>
                <w:color w:val="auto"/>
                <w:sz w:val="24"/>
              </w:rPr>
              <w:t>：</w:t>
            </w:r>
            <w:r>
              <w:rPr>
                <w:rFonts w:hint="eastAsia"/>
                <w:bCs/>
                <w:color w:val="auto"/>
                <w:sz w:val="24"/>
                <w:lang w:val="en-US" w:eastAsia="zh-CN"/>
              </w:rPr>
              <w:t>根据建设单位提供的资料，车间清洗用水量以</w:t>
            </w:r>
            <w:r>
              <w:rPr>
                <w:rFonts w:hint="default"/>
                <w:bCs/>
                <w:color w:val="auto"/>
                <w:sz w:val="24"/>
                <w:lang w:val="en-US" w:eastAsia="zh-CN"/>
              </w:rPr>
              <w:t>0.5L/</w:t>
            </w:r>
            <w:r>
              <w:rPr>
                <w:rFonts w:hint="eastAsia"/>
                <w:bCs/>
                <w:color w:val="auto"/>
                <w:sz w:val="24"/>
                <w:lang w:val="en-US" w:eastAsia="zh-CN"/>
              </w:rPr>
              <w:t>（</w:t>
            </w:r>
            <w:r>
              <w:rPr>
                <w:rFonts w:hint="eastAsia"/>
                <w:bCs/>
                <w:color w:val="auto"/>
                <w:sz w:val="24"/>
                <w:vertAlign w:val="baseline"/>
                <w:lang w:val="en-US" w:eastAsia="zh-CN"/>
              </w:rPr>
              <w:t>m</w:t>
            </w:r>
            <w:r>
              <w:rPr>
                <w:rFonts w:hint="eastAsia"/>
                <w:bCs/>
                <w:color w:val="auto"/>
                <w:sz w:val="24"/>
                <w:vertAlign w:val="superscript"/>
                <w:lang w:val="en-US" w:eastAsia="zh-CN"/>
              </w:rPr>
              <w:t>2</w:t>
            </w:r>
            <w:r>
              <w:rPr>
                <w:rFonts w:hint="eastAsia"/>
                <w:bCs/>
                <w:color w:val="auto"/>
                <w:sz w:val="24"/>
                <w:lang w:val="en-US" w:eastAsia="zh-CN"/>
              </w:rPr>
              <w:t>·</w:t>
            </w:r>
            <w:r>
              <w:rPr>
                <w:rFonts w:hint="default"/>
                <w:bCs/>
                <w:color w:val="auto"/>
                <w:sz w:val="24"/>
                <w:lang w:val="en-US" w:eastAsia="zh-CN"/>
              </w:rPr>
              <w:t>d</w:t>
            </w:r>
            <w:r>
              <w:rPr>
                <w:rFonts w:hint="eastAsia"/>
                <w:bCs/>
                <w:color w:val="auto"/>
                <w:sz w:val="24"/>
                <w:lang w:val="en-US" w:eastAsia="zh-CN"/>
              </w:rPr>
              <w:t>·次）计，项目年工作时间</w:t>
            </w:r>
            <w:r>
              <w:rPr>
                <w:rFonts w:hint="default"/>
                <w:bCs/>
                <w:color w:val="auto"/>
                <w:sz w:val="24"/>
                <w:lang w:val="en-US" w:eastAsia="zh-CN"/>
              </w:rPr>
              <w:t>300</w:t>
            </w:r>
            <w:r>
              <w:rPr>
                <w:rFonts w:hint="eastAsia"/>
                <w:bCs/>
                <w:color w:val="auto"/>
                <w:sz w:val="24"/>
                <w:lang w:val="en-US" w:eastAsia="zh-CN"/>
              </w:rPr>
              <w:t>天，每天清洗</w:t>
            </w:r>
            <w:r>
              <w:rPr>
                <w:rFonts w:hint="default"/>
                <w:bCs/>
                <w:color w:val="auto"/>
                <w:sz w:val="24"/>
                <w:lang w:val="en-US" w:eastAsia="zh-CN"/>
              </w:rPr>
              <w:t>1</w:t>
            </w:r>
            <w:r>
              <w:rPr>
                <w:rFonts w:hint="eastAsia"/>
                <w:bCs/>
                <w:color w:val="auto"/>
                <w:sz w:val="24"/>
                <w:lang w:val="en-US" w:eastAsia="zh-CN"/>
              </w:rPr>
              <w:t>次，清洗场地总面积为1000</w:t>
            </w:r>
            <w:r>
              <w:rPr>
                <w:rFonts w:hint="eastAsia"/>
                <w:bCs/>
                <w:color w:val="auto"/>
                <w:sz w:val="24"/>
                <w:vertAlign w:val="baseline"/>
                <w:lang w:val="en-US" w:eastAsia="zh-CN"/>
              </w:rPr>
              <w:t>m</w:t>
            </w:r>
            <w:r>
              <w:rPr>
                <w:rFonts w:hint="eastAsia"/>
                <w:bCs/>
                <w:color w:val="auto"/>
                <w:sz w:val="24"/>
                <w:vertAlign w:val="superscript"/>
                <w:lang w:val="en-US" w:eastAsia="zh-CN"/>
              </w:rPr>
              <w:t>2</w:t>
            </w:r>
            <w:r>
              <w:rPr>
                <w:rFonts w:hint="eastAsia"/>
                <w:bCs/>
                <w:color w:val="auto"/>
                <w:sz w:val="24"/>
                <w:lang w:val="en-US" w:eastAsia="zh-CN"/>
              </w:rPr>
              <w:t>，则年用水量为150</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eastAsia"/>
                <w:bCs/>
                <w:color w:val="auto"/>
                <w:sz w:val="24"/>
                <w:lang w:val="en-US" w:eastAsia="zh-CN"/>
              </w:rPr>
              <w:t>/a。</w:t>
            </w:r>
          </w:p>
          <w:p w14:paraId="096A5346">
            <w:pPr>
              <w:pStyle w:val="3"/>
              <w:spacing w:line="360" w:lineRule="auto"/>
              <w:ind w:firstLine="480"/>
              <w:rPr>
                <w:rFonts w:ascii="Times New Roman" w:hAnsi="Times New Roman"/>
                <w:color w:val="auto"/>
                <w:sz w:val="24"/>
              </w:rPr>
            </w:pPr>
            <w:r>
              <w:rPr>
                <w:rFonts w:hint="eastAsia" w:ascii="Times New Roman" w:hAnsi="Times New Roman"/>
                <w:color w:val="auto"/>
                <w:sz w:val="24"/>
                <w:lang w:val="en-US" w:eastAsia="zh-CN"/>
              </w:rPr>
              <w:t>酸菜</w:t>
            </w:r>
            <w:r>
              <w:rPr>
                <w:rFonts w:ascii="Times New Roman" w:hAnsi="Times New Roman"/>
                <w:color w:val="auto"/>
                <w:sz w:val="24"/>
              </w:rPr>
              <w:t>清洗用水：</w:t>
            </w:r>
            <w:r>
              <w:rPr>
                <w:rFonts w:hint="eastAsia" w:ascii="Times New Roman" w:hAnsi="Times New Roman"/>
                <w:color w:val="auto"/>
                <w:sz w:val="24"/>
                <w:lang w:val="en-US" w:eastAsia="zh-CN"/>
              </w:rPr>
              <w:t>根据建设单位提供的资料，生腌白菜第一次发酵后清洗用水量与白菜量（320t/a）比例为1</w:t>
            </w:r>
            <w:r>
              <w:rPr>
                <w:rFonts w:ascii="微软雅黑" w:hAnsi="微软雅黑" w:eastAsia="微软雅黑" w:cs="微软雅黑"/>
                <w:i w:val="0"/>
                <w:iCs w:val="0"/>
                <w:caps w:val="0"/>
                <w:color w:val="auto"/>
                <w:spacing w:val="0"/>
                <w:sz w:val="21"/>
                <w:szCs w:val="21"/>
              </w:rPr>
              <w:t>：</w:t>
            </w:r>
            <w:r>
              <w:rPr>
                <w:rFonts w:hint="eastAsia" w:ascii="Times New Roman" w:hAnsi="Times New Roman"/>
                <w:color w:val="auto"/>
                <w:sz w:val="24"/>
                <w:lang w:val="en-US" w:eastAsia="zh-CN"/>
              </w:rPr>
              <w:t>2，则用水量为160</w:t>
            </w:r>
            <w:r>
              <w:rPr>
                <w:rFonts w:hint="eastAsia" w:ascii="Times New Roman" w:hAnsi="Times New Roman"/>
                <w:color w:val="auto"/>
                <w:sz w:val="24"/>
                <w:vertAlign w:val="baseline"/>
                <w:lang w:val="en-US" w:eastAsia="zh-CN"/>
              </w:rPr>
              <w:t>m</w:t>
            </w:r>
            <w:r>
              <w:rPr>
                <w:rFonts w:hint="eastAsia" w:ascii="Times New Roman" w:hAnsi="Times New Roman"/>
                <w:color w:val="auto"/>
                <w:sz w:val="24"/>
                <w:vertAlign w:val="superscript"/>
                <w:lang w:val="en-US" w:eastAsia="zh-CN"/>
              </w:rPr>
              <w:t>3</w:t>
            </w:r>
            <w:r>
              <w:rPr>
                <w:rFonts w:hint="eastAsia" w:ascii="Times New Roman" w:hAnsi="Times New Roman"/>
                <w:color w:val="auto"/>
                <w:sz w:val="24"/>
                <w:lang w:val="en-US" w:eastAsia="zh-CN"/>
              </w:rPr>
              <w:t>/a。腌制好的酸菜清洗用水量与酸菜产量（500t/a）比例为1</w:t>
            </w:r>
            <w:r>
              <w:rPr>
                <w:rFonts w:ascii="微软雅黑" w:hAnsi="微软雅黑" w:eastAsia="微软雅黑" w:cs="微软雅黑"/>
                <w:i w:val="0"/>
                <w:iCs w:val="0"/>
                <w:caps w:val="0"/>
                <w:color w:val="auto"/>
                <w:spacing w:val="0"/>
                <w:sz w:val="21"/>
                <w:szCs w:val="21"/>
              </w:rPr>
              <w:t>：</w:t>
            </w:r>
            <w:r>
              <w:rPr>
                <w:rFonts w:hint="eastAsia" w:ascii="Times New Roman" w:hAnsi="Times New Roman"/>
                <w:color w:val="auto"/>
                <w:sz w:val="24"/>
                <w:lang w:val="en-US" w:eastAsia="zh-CN"/>
              </w:rPr>
              <w:t>2，则用水量为25</w:t>
            </w:r>
            <w:r>
              <w:rPr>
                <w:rFonts w:hint="default" w:ascii="Times New Roman" w:hAnsi="Times New Roman"/>
                <w:color w:val="auto"/>
                <w:sz w:val="24"/>
                <w:lang w:val="en-US" w:eastAsia="zh-CN"/>
              </w:rPr>
              <w:t>0</w:t>
            </w:r>
            <w:r>
              <w:rPr>
                <w:rFonts w:hint="eastAsia" w:ascii="Times New Roman" w:hAnsi="Times New Roman"/>
                <w:color w:val="auto"/>
                <w:sz w:val="24"/>
                <w:vertAlign w:val="baseline"/>
                <w:lang w:val="en-US" w:eastAsia="zh-CN"/>
              </w:rPr>
              <w:t>m</w:t>
            </w:r>
            <w:r>
              <w:rPr>
                <w:rFonts w:hint="eastAsia" w:ascii="Times New Roman" w:hAnsi="Times New Roman"/>
                <w:color w:val="auto"/>
                <w:sz w:val="24"/>
                <w:vertAlign w:val="superscript"/>
                <w:lang w:val="en-US" w:eastAsia="zh-CN"/>
              </w:rPr>
              <w:t>3</w:t>
            </w:r>
            <w:r>
              <w:rPr>
                <w:rFonts w:hint="default" w:ascii="Times New Roman" w:hAnsi="Times New Roman"/>
                <w:color w:val="auto"/>
                <w:sz w:val="24"/>
                <w:lang w:val="en-US" w:eastAsia="zh-CN"/>
              </w:rPr>
              <w:t>/a</w:t>
            </w:r>
            <w:r>
              <w:rPr>
                <w:rFonts w:hint="eastAsia" w:ascii="Times New Roman" w:hAnsi="Times New Roman"/>
                <w:color w:val="auto"/>
                <w:sz w:val="24"/>
                <w:lang w:val="en-US" w:eastAsia="zh-CN"/>
              </w:rPr>
              <w:t>。酸菜清洗用水合计410</w:t>
            </w:r>
            <w:r>
              <w:rPr>
                <w:rFonts w:hint="eastAsia" w:ascii="Times New Roman" w:hAnsi="Times New Roman"/>
                <w:color w:val="auto"/>
                <w:sz w:val="24"/>
                <w:vertAlign w:val="baseline"/>
                <w:lang w:val="en-US" w:eastAsia="zh-CN"/>
              </w:rPr>
              <w:t>m</w:t>
            </w:r>
            <w:r>
              <w:rPr>
                <w:rFonts w:hint="eastAsia" w:ascii="Times New Roman" w:hAnsi="Times New Roman"/>
                <w:color w:val="auto"/>
                <w:sz w:val="24"/>
                <w:vertAlign w:val="superscript"/>
                <w:lang w:val="en-US" w:eastAsia="zh-CN"/>
              </w:rPr>
              <w:t>3</w:t>
            </w:r>
            <w:r>
              <w:rPr>
                <w:rFonts w:hint="eastAsia" w:ascii="Times New Roman" w:hAnsi="Times New Roman"/>
                <w:color w:val="auto"/>
                <w:sz w:val="24"/>
                <w:lang w:val="en-US" w:eastAsia="zh-CN"/>
              </w:rPr>
              <w:t>/a。</w:t>
            </w:r>
          </w:p>
          <w:p w14:paraId="3F8A201F">
            <w:pPr>
              <w:adjustRightInd w:val="0"/>
              <w:snapToGrid w:val="0"/>
              <w:spacing w:line="360" w:lineRule="auto"/>
              <w:ind w:firstLine="480" w:firstLineChars="200"/>
              <w:rPr>
                <w:bCs/>
                <w:color w:val="auto"/>
                <w:sz w:val="24"/>
              </w:rPr>
            </w:pPr>
            <w:r>
              <w:rPr>
                <w:rFonts w:hint="eastAsia"/>
                <w:bCs/>
                <w:color w:val="auto"/>
                <w:sz w:val="24"/>
                <w:lang w:val="en-US" w:eastAsia="zh-CN"/>
              </w:rPr>
              <w:t>综上，</w:t>
            </w:r>
            <w:r>
              <w:rPr>
                <w:bCs/>
                <w:color w:val="auto"/>
                <w:sz w:val="24"/>
              </w:rPr>
              <w:t>厂区</w:t>
            </w:r>
            <w:r>
              <w:rPr>
                <w:rFonts w:hint="eastAsia"/>
                <w:bCs/>
                <w:color w:val="auto"/>
                <w:sz w:val="24"/>
                <w:lang w:val="en-US" w:eastAsia="zh-CN"/>
              </w:rPr>
              <w:t>新鲜</w:t>
            </w:r>
            <w:r>
              <w:rPr>
                <w:bCs/>
                <w:color w:val="auto"/>
                <w:sz w:val="24"/>
              </w:rPr>
              <w:t>用水量为</w:t>
            </w:r>
            <w:r>
              <w:rPr>
                <w:rFonts w:hint="eastAsia"/>
                <w:bCs/>
                <w:color w:val="auto"/>
                <w:sz w:val="24"/>
                <w:lang w:val="en-US" w:eastAsia="zh-CN"/>
              </w:rPr>
              <w:t>1280</w:t>
            </w:r>
            <w:r>
              <w:rPr>
                <w:rFonts w:hint="eastAsia"/>
                <w:bCs/>
                <w:color w:val="auto"/>
                <w:sz w:val="24"/>
                <w:vertAlign w:val="baseline"/>
                <w:lang w:eastAsia="zh-CN"/>
              </w:rPr>
              <w:t>m</w:t>
            </w:r>
            <w:r>
              <w:rPr>
                <w:rFonts w:hint="eastAsia"/>
                <w:bCs/>
                <w:color w:val="auto"/>
                <w:sz w:val="24"/>
                <w:vertAlign w:val="superscript"/>
                <w:lang w:eastAsia="zh-CN"/>
              </w:rPr>
              <w:t>3</w:t>
            </w:r>
            <w:r>
              <w:rPr>
                <w:bCs/>
                <w:color w:val="auto"/>
                <w:sz w:val="24"/>
              </w:rPr>
              <w:t>/a。</w:t>
            </w:r>
          </w:p>
          <w:p w14:paraId="30FF136A">
            <w:pPr>
              <w:adjustRightInd w:val="0"/>
              <w:snapToGrid w:val="0"/>
              <w:spacing w:line="360" w:lineRule="auto"/>
              <w:ind w:firstLine="480" w:firstLineChars="200"/>
              <w:rPr>
                <w:bCs/>
                <w:color w:val="auto"/>
                <w:sz w:val="24"/>
              </w:rPr>
            </w:pPr>
            <w:r>
              <w:rPr>
                <w:rFonts w:hint="eastAsia"/>
                <w:bCs/>
                <w:color w:val="auto"/>
                <w:sz w:val="24"/>
              </w:rPr>
              <w:t>（</w:t>
            </w:r>
            <w:r>
              <w:rPr>
                <w:bCs/>
                <w:color w:val="auto"/>
                <w:sz w:val="24"/>
              </w:rPr>
              <w:t>2</w:t>
            </w:r>
            <w:r>
              <w:rPr>
                <w:rFonts w:hint="eastAsia"/>
                <w:bCs/>
                <w:color w:val="auto"/>
                <w:sz w:val="24"/>
              </w:rPr>
              <w:t>）</w:t>
            </w:r>
            <w:r>
              <w:rPr>
                <w:bCs/>
                <w:color w:val="auto"/>
                <w:sz w:val="24"/>
              </w:rPr>
              <w:t>排水工程</w:t>
            </w:r>
          </w:p>
          <w:p w14:paraId="0E8B1015">
            <w:pPr>
              <w:adjustRightInd w:val="0"/>
              <w:snapToGrid w:val="0"/>
              <w:spacing w:line="360" w:lineRule="auto"/>
              <w:ind w:firstLine="480" w:firstLineChars="200"/>
              <w:rPr>
                <w:bCs/>
                <w:color w:val="auto"/>
                <w:sz w:val="24"/>
              </w:rPr>
            </w:pPr>
            <w:r>
              <w:rPr>
                <w:rFonts w:ascii="Cambria Math" w:hAnsi="Cambria Math" w:cs="Cambria Math"/>
                <w:bCs/>
                <w:color w:val="auto"/>
                <w:sz w:val="24"/>
              </w:rPr>
              <w:t>①</w:t>
            </w:r>
            <w:r>
              <w:rPr>
                <w:bCs/>
                <w:color w:val="auto"/>
                <w:sz w:val="24"/>
              </w:rPr>
              <w:t>生活污水</w:t>
            </w:r>
          </w:p>
          <w:p w14:paraId="541F926F">
            <w:pPr>
              <w:adjustRightInd w:val="0"/>
              <w:snapToGrid w:val="0"/>
              <w:spacing w:line="360" w:lineRule="auto"/>
              <w:ind w:firstLine="480" w:firstLineChars="200"/>
              <w:rPr>
                <w:bCs/>
                <w:color w:val="auto"/>
                <w:sz w:val="24"/>
              </w:rPr>
            </w:pPr>
            <w:r>
              <w:rPr>
                <w:bCs/>
                <w:color w:val="auto"/>
                <w:sz w:val="24"/>
              </w:rPr>
              <w:t>生活污水量按用水量的80%计算，则职工生活污水产生量为</w:t>
            </w:r>
            <w:r>
              <w:rPr>
                <w:rFonts w:hint="eastAsia"/>
                <w:bCs/>
                <w:color w:val="auto"/>
                <w:sz w:val="24"/>
                <w:lang w:val="en-US" w:eastAsia="zh-CN"/>
              </w:rPr>
              <w:t>115.2</w:t>
            </w:r>
            <w:r>
              <w:rPr>
                <w:rFonts w:hint="eastAsia"/>
                <w:bCs/>
                <w:color w:val="auto"/>
                <w:sz w:val="24"/>
                <w:vertAlign w:val="baseline"/>
                <w:lang w:eastAsia="zh-CN"/>
              </w:rPr>
              <w:t>m</w:t>
            </w:r>
            <w:r>
              <w:rPr>
                <w:rFonts w:hint="eastAsia"/>
                <w:bCs/>
                <w:color w:val="auto"/>
                <w:sz w:val="24"/>
                <w:vertAlign w:val="superscript"/>
                <w:lang w:eastAsia="zh-CN"/>
              </w:rPr>
              <w:t>3</w:t>
            </w:r>
            <w:r>
              <w:rPr>
                <w:bCs/>
                <w:color w:val="auto"/>
                <w:sz w:val="24"/>
              </w:rPr>
              <w:t>/a。生活污水经化粪池收集后，定期拉运至杭锦旗锡尼镇污水处理厂处理。</w:t>
            </w:r>
          </w:p>
          <w:p w14:paraId="2B97A359">
            <w:pPr>
              <w:adjustRightInd w:val="0"/>
              <w:snapToGrid w:val="0"/>
              <w:spacing w:line="360" w:lineRule="auto"/>
              <w:ind w:firstLine="480" w:firstLineChars="200"/>
              <w:rPr>
                <w:bCs/>
                <w:color w:val="auto"/>
                <w:sz w:val="24"/>
              </w:rPr>
            </w:pPr>
            <w:r>
              <w:rPr>
                <w:rFonts w:ascii="Cambria Math" w:hAnsi="Cambria Math" w:cs="Cambria Math"/>
                <w:bCs/>
                <w:color w:val="auto"/>
                <w:sz w:val="24"/>
              </w:rPr>
              <w:t>②</w:t>
            </w:r>
            <w:r>
              <w:rPr>
                <w:bCs/>
                <w:color w:val="auto"/>
                <w:sz w:val="24"/>
              </w:rPr>
              <w:t>生产废水</w:t>
            </w:r>
          </w:p>
          <w:p w14:paraId="1E3AFA49">
            <w:pPr>
              <w:adjustRightInd w:val="0"/>
              <w:snapToGrid w:val="0"/>
              <w:spacing w:line="360" w:lineRule="auto"/>
              <w:ind w:firstLine="480" w:firstLineChars="200"/>
              <w:rPr>
                <w:rFonts w:hint="default"/>
                <w:bCs/>
                <w:color w:val="auto"/>
                <w:sz w:val="24"/>
                <w:lang w:val="en-US"/>
              </w:rPr>
            </w:pPr>
            <w:r>
              <w:rPr>
                <w:rFonts w:hint="eastAsia"/>
                <w:bCs/>
                <w:color w:val="auto"/>
                <w:sz w:val="24"/>
                <w:lang w:val="en-US" w:eastAsia="zh-CN"/>
              </w:rPr>
              <w:t>新鲜蔬菜漂烫清洗废水</w:t>
            </w:r>
            <w:r>
              <w:rPr>
                <w:rFonts w:hint="eastAsia"/>
                <w:bCs/>
                <w:color w:val="auto"/>
                <w:sz w:val="24"/>
                <w:lang w:eastAsia="zh-CN"/>
              </w:rPr>
              <w:t>：</w:t>
            </w:r>
            <w:r>
              <w:rPr>
                <w:rFonts w:hint="eastAsia"/>
                <w:bCs/>
                <w:color w:val="auto"/>
                <w:sz w:val="24"/>
                <w:lang w:val="en-US" w:eastAsia="zh-CN"/>
              </w:rPr>
              <w:t>新鲜蔬菜漂烫清洗废水的产生量按用水量的80%计算，共计产生废水量为384</w:t>
            </w:r>
            <w:r>
              <w:rPr>
                <w:rFonts w:hint="eastAsia"/>
                <w:bCs/>
                <w:color w:val="auto"/>
                <w:sz w:val="24"/>
                <w:vertAlign w:val="baseline"/>
                <w:lang w:eastAsia="zh-CN"/>
              </w:rPr>
              <w:t>m</w:t>
            </w:r>
            <w:r>
              <w:rPr>
                <w:rFonts w:hint="eastAsia"/>
                <w:bCs/>
                <w:color w:val="auto"/>
                <w:sz w:val="24"/>
                <w:vertAlign w:val="superscript"/>
                <w:lang w:eastAsia="zh-CN"/>
              </w:rPr>
              <w:t>3</w:t>
            </w:r>
            <w:r>
              <w:rPr>
                <w:bCs/>
                <w:color w:val="auto"/>
                <w:sz w:val="24"/>
              </w:rPr>
              <w:t>/</w:t>
            </w:r>
            <w:r>
              <w:rPr>
                <w:rFonts w:hint="eastAsia"/>
                <w:bCs/>
                <w:color w:val="auto"/>
                <w:sz w:val="24"/>
                <w:lang w:val="en-US" w:eastAsia="zh-CN"/>
              </w:rPr>
              <w:t>a</w:t>
            </w:r>
            <w:r>
              <w:rPr>
                <w:bCs/>
                <w:color w:val="auto"/>
                <w:sz w:val="24"/>
              </w:rPr>
              <w:t>。</w:t>
            </w:r>
            <w:r>
              <w:rPr>
                <w:rFonts w:hint="eastAsia"/>
                <w:bCs/>
                <w:color w:val="auto"/>
                <w:sz w:val="24"/>
                <w:lang w:val="en-US" w:eastAsia="zh-CN"/>
              </w:rPr>
              <w:t>经过漂烫的蔬菜脱水量为新鲜蔬菜重量的20%，蔬菜脱水量96</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eastAsia"/>
                <w:bCs/>
                <w:color w:val="auto"/>
                <w:sz w:val="24"/>
                <w:lang w:val="en-US" w:eastAsia="zh-CN"/>
              </w:rPr>
              <w:t>/a。该部分废水合计480</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eastAsia"/>
                <w:bCs/>
                <w:color w:val="auto"/>
                <w:sz w:val="24"/>
                <w:lang w:val="en-US" w:eastAsia="zh-CN"/>
              </w:rPr>
              <w:t>/a，主要含少量悬浮物，且仅在6-8月份产生，经1#废水储罐收集冷却后，拉运至周边农田，用于农田灌溉。</w:t>
            </w:r>
          </w:p>
          <w:p w14:paraId="41417C02">
            <w:pPr>
              <w:adjustRightInd w:val="0"/>
              <w:snapToGrid w:val="0"/>
              <w:spacing w:line="360" w:lineRule="auto"/>
              <w:ind w:firstLine="480" w:firstLineChars="200"/>
              <w:rPr>
                <w:bCs/>
                <w:color w:val="auto"/>
                <w:sz w:val="24"/>
              </w:rPr>
            </w:pPr>
            <w:r>
              <w:rPr>
                <w:rFonts w:hint="eastAsia"/>
                <w:bCs/>
                <w:color w:val="auto"/>
                <w:sz w:val="24"/>
                <w:lang w:val="en-US" w:eastAsia="zh-CN"/>
              </w:rPr>
              <w:t>设备清洗废水</w:t>
            </w:r>
            <w:r>
              <w:rPr>
                <w:bCs/>
                <w:color w:val="auto"/>
                <w:sz w:val="24"/>
              </w:rPr>
              <w:t>：</w:t>
            </w:r>
            <w:r>
              <w:rPr>
                <w:rFonts w:hint="eastAsia"/>
                <w:bCs/>
                <w:color w:val="auto"/>
                <w:sz w:val="24"/>
                <w:lang w:val="en-US" w:eastAsia="zh-CN"/>
              </w:rPr>
              <w:t>发酵池及二次发酵桶需清洗废水的产生量按用水量的80%计算，共计产生废水量为76.8</w:t>
            </w:r>
            <w:r>
              <w:rPr>
                <w:rFonts w:hint="eastAsia"/>
                <w:bCs/>
                <w:color w:val="auto"/>
                <w:sz w:val="24"/>
                <w:vertAlign w:val="baseline"/>
                <w:lang w:val="en-US" w:eastAsia="zh-CN"/>
              </w:rPr>
              <w:t>m</w:t>
            </w:r>
            <w:r>
              <w:rPr>
                <w:rFonts w:hint="eastAsia"/>
                <w:bCs/>
                <w:color w:val="auto"/>
                <w:sz w:val="24"/>
                <w:lang w:val="en-US" w:eastAsia="zh-CN"/>
              </w:rPr>
              <w:t>³/a，收集至2#废水储罐，定期拉运至杭锦旗锡尼镇污水处理厂进行处理，不外排。</w:t>
            </w:r>
          </w:p>
          <w:p w14:paraId="47E2E3B4">
            <w:pPr>
              <w:adjustRightInd w:val="0"/>
              <w:snapToGrid w:val="0"/>
              <w:spacing w:line="360" w:lineRule="auto"/>
              <w:ind w:firstLine="480" w:firstLineChars="200"/>
              <w:rPr>
                <w:bCs/>
                <w:color w:val="auto"/>
                <w:sz w:val="24"/>
              </w:rPr>
            </w:pPr>
            <w:r>
              <w:rPr>
                <w:rFonts w:hint="eastAsia"/>
                <w:bCs/>
                <w:color w:val="auto"/>
                <w:sz w:val="24"/>
                <w:lang w:val="en-US" w:eastAsia="zh-CN"/>
              </w:rPr>
              <w:t>地面清洗废水</w:t>
            </w:r>
            <w:r>
              <w:rPr>
                <w:bCs/>
                <w:color w:val="auto"/>
                <w:sz w:val="24"/>
              </w:rPr>
              <w:t>：</w:t>
            </w:r>
            <w:r>
              <w:rPr>
                <w:rFonts w:hint="eastAsia"/>
                <w:bCs/>
                <w:color w:val="auto"/>
                <w:sz w:val="24"/>
                <w:lang w:val="en-US" w:eastAsia="zh-CN"/>
              </w:rPr>
              <w:t>车间清洗用水废水的产生量按用水量的80%计算，共计产生废水量为135</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eastAsia"/>
                <w:bCs/>
                <w:color w:val="auto"/>
                <w:sz w:val="24"/>
                <w:lang w:val="en-US" w:eastAsia="zh-CN"/>
              </w:rPr>
              <w:t>/a。收集至2#废水储罐，定期拉运至杭锦旗锡尼镇污水处理厂进行处理，不外排。</w:t>
            </w:r>
          </w:p>
          <w:p w14:paraId="146084D5">
            <w:pPr>
              <w:adjustRightInd w:val="0"/>
              <w:snapToGrid w:val="0"/>
              <w:spacing w:line="360" w:lineRule="auto"/>
              <w:ind w:firstLine="480" w:firstLineChars="200"/>
              <w:rPr>
                <w:rFonts w:hint="eastAsia"/>
                <w:bCs/>
                <w:color w:val="auto"/>
                <w:sz w:val="24"/>
                <w:lang w:val="en-US" w:eastAsia="zh-CN"/>
              </w:rPr>
            </w:pPr>
            <w:r>
              <w:rPr>
                <w:rFonts w:hint="eastAsia"/>
                <w:bCs/>
                <w:color w:val="auto"/>
                <w:sz w:val="24"/>
                <w:lang w:val="en-US" w:eastAsia="zh-CN"/>
              </w:rPr>
              <w:t>酸菜</w:t>
            </w:r>
            <w:r>
              <w:rPr>
                <w:bCs/>
                <w:color w:val="auto"/>
                <w:sz w:val="24"/>
              </w:rPr>
              <w:t>清洗废水：</w:t>
            </w:r>
            <w:r>
              <w:rPr>
                <w:rFonts w:hint="eastAsia"/>
                <w:bCs/>
                <w:color w:val="auto"/>
                <w:sz w:val="24"/>
                <w:lang w:val="en-US" w:eastAsia="zh-CN"/>
              </w:rPr>
              <w:t>酸菜清洗</w:t>
            </w:r>
            <w:r>
              <w:rPr>
                <w:rFonts w:hint="eastAsia"/>
                <w:b w:val="0"/>
                <w:bCs/>
                <w:color w:val="auto"/>
                <w:sz w:val="24"/>
                <w:lang w:val="en-US" w:eastAsia="zh-CN"/>
              </w:rPr>
              <w:t>废水的产生量按用水量的80%计算，</w:t>
            </w:r>
            <w:r>
              <w:rPr>
                <w:rFonts w:hint="eastAsia"/>
                <w:bCs/>
                <w:color w:val="auto"/>
                <w:sz w:val="24"/>
                <w:lang w:val="en-US" w:eastAsia="zh-CN"/>
              </w:rPr>
              <w:t>共计产生废水量为328</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default"/>
                <w:bCs/>
                <w:color w:val="auto"/>
                <w:sz w:val="24"/>
                <w:lang w:val="en-US" w:eastAsia="zh-CN"/>
              </w:rPr>
              <w:t>/a</w:t>
            </w:r>
            <w:r>
              <w:rPr>
                <w:rFonts w:hint="eastAsia"/>
                <w:bCs/>
                <w:color w:val="auto"/>
                <w:sz w:val="24"/>
                <w:lang w:val="en-US" w:eastAsia="zh-CN"/>
              </w:rPr>
              <w:t>。收集至2#废水储罐，定期拉运至杭锦旗锡尼镇污水处理厂进行处理，不外排。</w:t>
            </w:r>
          </w:p>
          <w:p w14:paraId="11CE438E">
            <w:pPr>
              <w:adjustRightInd w:val="0"/>
              <w:snapToGrid w:val="0"/>
              <w:spacing w:line="360" w:lineRule="auto"/>
              <w:ind w:firstLine="480" w:firstLineChars="200"/>
              <w:rPr>
                <w:rFonts w:hint="default"/>
                <w:bCs/>
                <w:color w:val="auto"/>
                <w:sz w:val="24"/>
                <w:lang w:val="en-US" w:eastAsia="zh-CN"/>
              </w:rPr>
            </w:pPr>
            <w:r>
              <w:rPr>
                <w:rFonts w:hint="eastAsia"/>
                <w:bCs/>
                <w:color w:val="auto"/>
                <w:sz w:val="24"/>
                <w:lang w:val="en-US" w:eastAsia="zh-CN"/>
              </w:rPr>
              <w:t>酸菜发酵废水：根据建设单位提供资料，酸菜发酵废水产生量为</w:t>
            </w:r>
            <w:r>
              <w:rPr>
                <w:rFonts w:hint="eastAsia"/>
                <w:bCs/>
                <w:color w:val="000000" w:themeColor="text1"/>
                <w:sz w:val="24"/>
                <w:lang w:val="en-US" w:eastAsia="zh-CN"/>
                <w14:textFill>
                  <w14:solidFill>
                    <w14:schemeClr w14:val="tx1"/>
                  </w14:solidFill>
                </w14:textFill>
              </w:rPr>
              <w:t>154</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eastAsia"/>
                <w:bCs/>
                <w:color w:val="auto"/>
                <w:sz w:val="24"/>
                <w:lang w:val="en-US" w:eastAsia="zh-CN"/>
              </w:rPr>
              <w:t>/a。发酵池开池后，将酸菜发酵废水收集至3#废水储罐，定期拉运至蒙苏经济开发区零碳产业园工业污水处理厂处理，不外排。</w:t>
            </w:r>
          </w:p>
          <w:p w14:paraId="012FCA6E">
            <w:pPr>
              <w:autoSpaceDE w:val="0"/>
              <w:autoSpaceDN w:val="0"/>
              <w:adjustRightInd w:val="0"/>
              <w:snapToGrid w:val="0"/>
              <w:spacing w:line="360" w:lineRule="auto"/>
              <w:ind w:firstLine="480" w:firstLineChars="200"/>
              <w:rPr>
                <w:color w:val="auto"/>
                <w:sz w:val="24"/>
              </w:rPr>
            </w:pPr>
            <w:r>
              <w:rPr>
                <w:color w:val="auto"/>
                <w:sz w:val="24"/>
              </w:rPr>
              <w:t>项目用排水情况具体见表2-6，水平衡见图2-1。</w:t>
            </w:r>
          </w:p>
          <w:p w14:paraId="40897580">
            <w:pPr>
              <w:pStyle w:val="26"/>
              <w:rPr>
                <w:color w:val="auto"/>
              </w:rPr>
            </w:pPr>
          </w:p>
          <w:p w14:paraId="54A34A4C">
            <w:pPr>
              <w:pStyle w:val="26"/>
              <w:rPr>
                <w:color w:val="auto"/>
              </w:rPr>
            </w:pPr>
          </w:p>
          <w:p w14:paraId="2C54A40A">
            <w:pPr>
              <w:pStyle w:val="26"/>
              <w:rPr>
                <w:color w:val="auto"/>
              </w:rPr>
            </w:pPr>
          </w:p>
          <w:p w14:paraId="726B7A58">
            <w:pPr>
              <w:pStyle w:val="26"/>
              <w:rPr>
                <w:color w:val="auto"/>
              </w:rPr>
            </w:pPr>
          </w:p>
          <w:p w14:paraId="21758B85">
            <w:pPr>
              <w:pStyle w:val="26"/>
              <w:rPr>
                <w:color w:val="auto"/>
              </w:rPr>
            </w:pPr>
            <w:r>
              <w:rPr>
                <w:color w:val="auto"/>
              </w:rPr>
              <w:t>表2-6 项目用排水情况一览表</w:t>
            </w:r>
          </w:p>
          <w:tbl>
            <w:tblPr>
              <w:tblStyle w:val="17"/>
              <w:tblW w:w="8220" w:type="dxa"/>
              <w:jc w:val="center"/>
              <w:tblBorders>
                <w:top w:val="single" w:color="auto" w:sz="12" w:space="0"/>
                <w:left w:val="none" w:color="auto" w:sz="0" w:space="0"/>
                <w:bottom w:val="single" w:color="auto" w:sz="12" w:space="0"/>
                <w:right w:val="none" w:color="auto" w:sz="0" w:space="0"/>
                <w:insideH w:val="none" w:color="auto" w:sz="0" w:space="0"/>
                <w:insideV w:val="single" w:color="000000" w:sz="4" w:space="0"/>
              </w:tblBorders>
              <w:shd w:val="clear" w:color="auto" w:fill="auto"/>
              <w:tblLayout w:type="fixed"/>
              <w:tblCellMar>
                <w:top w:w="0" w:type="dxa"/>
                <w:left w:w="108" w:type="dxa"/>
                <w:bottom w:w="0" w:type="dxa"/>
                <w:right w:w="108" w:type="dxa"/>
              </w:tblCellMar>
            </w:tblPr>
            <w:tblGrid>
              <w:gridCol w:w="653"/>
              <w:gridCol w:w="1392"/>
              <w:gridCol w:w="1040"/>
              <w:gridCol w:w="825"/>
              <w:gridCol w:w="857"/>
              <w:gridCol w:w="1050"/>
              <w:gridCol w:w="2403"/>
            </w:tblGrid>
            <w:tr w14:paraId="4AC134D5">
              <w:tblPrEx>
                <w:tblBorders>
                  <w:top w:val="single" w:color="auto" w:sz="12" w:space="0"/>
                  <w:left w:val="none" w:color="auto" w:sz="0" w:space="0"/>
                  <w:bottom w:val="single" w:color="auto" w:sz="12" w:space="0"/>
                  <w:right w:val="none" w:color="auto" w:sz="0" w:space="0"/>
                  <w:insideH w:val="none" w:color="auto" w:sz="0"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653" w:type="dxa"/>
                  <w:tcBorders>
                    <w:bottom w:val="single" w:color="auto" w:sz="4" w:space="0"/>
                    <w:right w:val="single" w:color="auto" w:sz="4" w:space="0"/>
                    <w:tl2br w:val="nil"/>
                    <w:tr2bl w:val="nil"/>
                  </w:tcBorders>
                  <w:shd w:val="clear" w:color="auto" w:fill="auto"/>
                  <w:vAlign w:val="center"/>
                </w:tcPr>
                <w:p w14:paraId="3FFA60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序号</w:t>
                  </w:r>
                </w:p>
              </w:tc>
              <w:tc>
                <w:tcPr>
                  <w:tcW w:w="1392" w:type="dxa"/>
                  <w:tcBorders>
                    <w:left w:val="single" w:color="auto" w:sz="4" w:space="0"/>
                    <w:bottom w:val="single" w:color="auto" w:sz="4" w:space="0"/>
                    <w:right w:val="single" w:color="auto" w:sz="4" w:space="0"/>
                    <w:tl2br w:val="nil"/>
                    <w:tr2bl w:val="nil"/>
                  </w:tcBorders>
                  <w:shd w:val="clear" w:color="auto" w:fill="auto"/>
                  <w:vAlign w:val="center"/>
                </w:tcPr>
                <w:p w14:paraId="2FE494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用水项目</w:t>
                  </w:r>
                </w:p>
              </w:tc>
              <w:tc>
                <w:tcPr>
                  <w:tcW w:w="1040" w:type="dxa"/>
                  <w:tcBorders>
                    <w:left w:val="single" w:color="auto" w:sz="4" w:space="0"/>
                    <w:bottom w:val="single" w:color="auto" w:sz="4" w:space="0"/>
                    <w:right w:val="single" w:color="auto" w:sz="4" w:space="0"/>
                    <w:tl2br w:val="nil"/>
                    <w:tr2bl w:val="nil"/>
                  </w:tcBorders>
                  <w:shd w:val="clear" w:color="auto" w:fill="auto"/>
                  <w:vAlign w:val="center"/>
                </w:tcPr>
                <w:p w14:paraId="01104E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用水量（</w:t>
                  </w:r>
                  <w:r>
                    <w:rPr>
                      <w:rStyle w:val="35"/>
                      <w:rFonts w:hint="eastAsia"/>
                      <w:color w:val="auto"/>
                      <w:sz w:val="21"/>
                      <w:szCs w:val="21"/>
                      <w:vertAlign w:val="baseline"/>
                      <w:lang w:val="en-US" w:eastAsia="zh-CN" w:bidi="ar"/>
                    </w:rPr>
                    <w:t>m</w:t>
                  </w:r>
                  <w:r>
                    <w:rPr>
                      <w:rStyle w:val="35"/>
                      <w:rFonts w:hint="eastAsia"/>
                      <w:color w:val="auto"/>
                      <w:sz w:val="21"/>
                      <w:szCs w:val="21"/>
                      <w:vertAlign w:val="superscript"/>
                      <w:lang w:val="en-US" w:eastAsia="zh-CN" w:bidi="ar"/>
                    </w:rPr>
                    <w:t>3</w:t>
                  </w:r>
                  <w:r>
                    <w:rPr>
                      <w:rStyle w:val="35"/>
                      <w:rFonts w:eastAsia="宋体"/>
                      <w:color w:val="auto"/>
                      <w:sz w:val="21"/>
                      <w:szCs w:val="21"/>
                      <w:lang w:val="en-US" w:eastAsia="zh-CN" w:bidi="ar"/>
                    </w:rPr>
                    <w:t>/a</w:t>
                  </w:r>
                  <w:r>
                    <w:rPr>
                      <w:rStyle w:val="34"/>
                      <w:color w:val="auto"/>
                      <w:sz w:val="21"/>
                      <w:szCs w:val="21"/>
                      <w:lang w:val="en-US" w:eastAsia="zh-CN" w:bidi="ar"/>
                    </w:rPr>
                    <w:t>）</w:t>
                  </w:r>
                </w:p>
              </w:tc>
              <w:tc>
                <w:tcPr>
                  <w:tcW w:w="825" w:type="dxa"/>
                  <w:tcBorders>
                    <w:left w:val="single" w:color="auto" w:sz="4" w:space="0"/>
                    <w:bottom w:val="single" w:color="auto" w:sz="4" w:space="0"/>
                    <w:right w:val="single" w:color="auto" w:sz="4" w:space="0"/>
                    <w:tl2br w:val="nil"/>
                    <w:tr2bl w:val="nil"/>
                  </w:tcBorders>
                  <w:shd w:val="clear" w:color="auto" w:fill="auto"/>
                  <w:vAlign w:val="center"/>
                </w:tcPr>
                <w:p w14:paraId="613F22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排污系数</w:t>
                  </w:r>
                </w:p>
              </w:tc>
              <w:tc>
                <w:tcPr>
                  <w:tcW w:w="857" w:type="dxa"/>
                  <w:tcBorders>
                    <w:left w:val="single" w:color="auto" w:sz="4" w:space="0"/>
                    <w:bottom w:val="single" w:color="auto" w:sz="4" w:space="0"/>
                    <w:right w:val="single" w:color="auto" w:sz="4" w:space="0"/>
                    <w:tl2br w:val="nil"/>
                    <w:tr2bl w:val="nil"/>
                  </w:tcBorders>
                  <w:shd w:val="clear" w:color="auto" w:fill="auto"/>
                  <w:vAlign w:val="center"/>
                </w:tcPr>
                <w:p w14:paraId="416366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漂烫蔬菜脱水</w:t>
                  </w:r>
                </w:p>
              </w:tc>
              <w:tc>
                <w:tcPr>
                  <w:tcW w:w="1050" w:type="dxa"/>
                  <w:tcBorders>
                    <w:left w:val="single" w:color="auto" w:sz="4" w:space="0"/>
                    <w:bottom w:val="single" w:color="auto" w:sz="4" w:space="0"/>
                    <w:right w:val="single" w:color="auto" w:sz="4" w:space="0"/>
                    <w:tl2br w:val="nil"/>
                    <w:tr2bl w:val="nil"/>
                  </w:tcBorders>
                  <w:shd w:val="clear" w:color="auto" w:fill="auto"/>
                  <w:vAlign w:val="center"/>
                </w:tcPr>
                <w:p w14:paraId="3014FE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废水量（</w:t>
                  </w:r>
                  <w:r>
                    <w:rPr>
                      <w:rStyle w:val="35"/>
                      <w:rFonts w:hint="eastAsia"/>
                      <w:color w:val="auto"/>
                      <w:sz w:val="21"/>
                      <w:szCs w:val="21"/>
                      <w:vertAlign w:val="baseline"/>
                      <w:lang w:val="en-US" w:eastAsia="zh-CN" w:bidi="ar"/>
                    </w:rPr>
                    <w:t>m</w:t>
                  </w:r>
                  <w:r>
                    <w:rPr>
                      <w:rStyle w:val="35"/>
                      <w:rFonts w:hint="eastAsia"/>
                      <w:color w:val="auto"/>
                      <w:sz w:val="21"/>
                      <w:szCs w:val="21"/>
                      <w:vertAlign w:val="superscript"/>
                      <w:lang w:val="en-US" w:eastAsia="zh-CN" w:bidi="ar"/>
                    </w:rPr>
                    <w:t>3</w:t>
                  </w:r>
                  <w:r>
                    <w:rPr>
                      <w:rStyle w:val="35"/>
                      <w:rFonts w:eastAsia="宋体"/>
                      <w:color w:val="auto"/>
                      <w:sz w:val="21"/>
                      <w:szCs w:val="21"/>
                      <w:lang w:val="en-US" w:eastAsia="zh-CN" w:bidi="ar"/>
                    </w:rPr>
                    <w:t>/a</w:t>
                  </w:r>
                  <w:r>
                    <w:rPr>
                      <w:rStyle w:val="34"/>
                      <w:color w:val="auto"/>
                      <w:sz w:val="21"/>
                      <w:szCs w:val="21"/>
                      <w:lang w:val="en-US" w:eastAsia="zh-CN" w:bidi="ar"/>
                    </w:rPr>
                    <w:t>）</w:t>
                  </w:r>
                </w:p>
              </w:tc>
              <w:tc>
                <w:tcPr>
                  <w:tcW w:w="2403" w:type="dxa"/>
                  <w:tcBorders>
                    <w:left w:val="single" w:color="auto" w:sz="4" w:space="0"/>
                    <w:bottom w:val="single" w:color="auto" w:sz="4" w:space="0"/>
                    <w:tl2br w:val="nil"/>
                    <w:tr2bl w:val="nil"/>
                  </w:tcBorders>
                  <w:shd w:val="clear" w:color="auto" w:fill="auto"/>
                  <w:vAlign w:val="center"/>
                </w:tcPr>
                <w:p w14:paraId="54FE34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备注</w:t>
                  </w:r>
                </w:p>
              </w:tc>
            </w:tr>
            <w:tr w14:paraId="74ED7D58">
              <w:tblPrEx>
                <w:tblBorders>
                  <w:top w:val="single" w:color="auto" w:sz="12" w:space="0"/>
                  <w:left w:val="none" w:color="auto" w:sz="0" w:space="0"/>
                  <w:bottom w:val="single" w:color="auto" w:sz="12" w:space="0"/>
                  <w:right w:val="none" w:color="auto" w:sz="0" w:space="0"/>
                  <w:insideH w:val="none" w:color="auto" w:sz="0" w:space="0"/>
                  <w:insideV w:val="single" w:color="000000" w:sz="4" w:space="0"/>
                </w:tblBorders>
                <w:tblCellMar>
                  <w:top w:w="0" w:type="dxa"/>
                  <w:left w:w="108" w:type="dxa"/>
                  <w:bottom w:w="0" w:type="dxa"/>
                  <w:right w:w="108" w:type="dxa"/>
                </w:tblCellMar>
              </w:tblPrEx>
              <w:trPr>
                <w:trHeight w:val="454" w:hRule="atLeast"/>
                <w:jc w:val="center"/>
              </w:trPr>
              <w:tc>
                <w:tcPr>
                  <w:tcW w:w="653" w:type="dxa"/>
                  <w:tcBorders>
                    <w:top w:val="single" w:color="auto" w:sz="4" w:space="0"/>
                    <w:bottom w:val="single" w:color="auto" w:sz="4" w:space="0"/>
                    <w:right w:val="single" w:color="auto" w:sz="4" w:space="0"/>
                    <w:tl2br w:val="nil"/>
                    <w:tr2bl w:val="nil"/>
                  </w:tcBorders>
                  <w:shd w:val="clear" w:color="auto" w:fill="auto"/>
                  <w:vAlign w:val="center"/>
                </w:tcPr>
                <w:p w14:paraId="6EE5C3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68DEA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生活用水</w:t>
                  </w:r>
                </w:p>
              </w:tc>
              <w:tc>
                <w:tcPr>
                  <w:tcW w:w="10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60622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144</w:t>
                  </w:r>
                </w:p>
              </w:tc>
              <w:tc>
                <w:tcPr>
                  <w:tcW w:w="82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FEC1F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w:t>
                  </w:r>
                </w:p>
              </w:tc>
              <w:tc>
                <w:tcPr>
                  <w:tcW w:w="85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5096827">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1519B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115.2</w:t>
                  </w:r>
                </w:p>
              </w:tc>
              <w:tc>
                <w:tcPr>
                  <w:tcW w:w="2403" w:type="dxa"/>
                  <w:tcBorders>
                    <w:top w:val="single" w:color="auto" w:sz="4" w:space="0"/>
                    <w:left w:val="single" w:color="auto" w:sz="4" w:space="0"/>
                    <w:bottom w:val="single" w:color="auto" w:sz="4" w:space="0"/>
                    <w:tl2br w:val="nil"/>
                    <w:tr2bl w:val="nil"/>
                  </w:tcBorders>
                  <w:shd w:val="clear" w:color="auto" w:fill="auto"/>
                  <w:vAlign w:val="center"/>
                </w:tcPr>
                <w:p w14:paraId="215E69D4">
                  <w:pPr>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经化粪池收集后，定期拉运至杭锦旗锡尼镇污水处理厂</w:t>
                  </w:r>
                  <w:r>
                    <w:rPr>
                      <w:rFonts w:hint="eastAsia" w:cs="Times New Roman"/>
                      <w:i w:val="0"/>
                      <w:iCs w:val="0"/>
                      <w:color w:val="auto"/>
                      <w:sz w:val="21"/>
                      <w:szCs w:val="21"/>
                      <w:u w:val="none"/>
                      <w:lang w:eastAsia="zh-CN"/>
                    </w:rPr>
                    <w:t>。</w:t>
                  </w:r>
                </w:p>
              </w:tc>
            </w:tr>
            <w:tr w14:paraId="0C4C9E2E">
              <w:tblPrEx>
                <w:tblBorders>
                  <w:top w:val="single" w:color="auto" w:sz="12" w:space="0"/>
                  <w:left w:val="none" w:color="auto" w:sz="0" w:space="0"/>
                  <w:bottom w:val="single" w:color="auto" w:sz="12" w:space="0"/>
                  <w:right w:val="none" w:color="auto" w:sz="0" w:space="0"/>
                  <w:insideH w:val="none" w:color="auto" w:sz="0" w:space="0"/>
                  <w:insideV w:val="single" w:color="000000" w:sz="4" w:space="0"/>
                </w:tblBorders>
                <w:tblCellMar>
                  <w:top w:w="0" w:type="dxa"/>
                  <w:left w:w="108" w:type="dxa"/>
                  <w:bottom w:w="0" w:type="dxa"/>
                  <w:right w:w="108" w:type="dxa"/>
                </w:tblCellMar>
              </w:tblPrEx>
              <w:trPr>
                <w:trHeight w:val="454" w:hRule="atLeast"/>
                <w:jc w:val="center"/>
              </w:trPr>
              <w:tc>
                <w:tcPr>
                  <w:tcW w:w="653" w:type="dxa"/>
                  <w:tcBorders>
                    <w:top w:val="single" w:color="auto" w:sz="4" w:space="0"/>
                    <w:bottom w:val="single" w:color="auto" w:sz="4" w:space="0"/>
                    <w:right w:val="single" w:color="auto" w:sz="4" w:space="0"/>
                    <w:tl2br w:val="nil"/>
                    <w:tr2bl w:val="nil"/>
                  </w:tcBorders>
                  <w:shd w:val="clear" w:color="auto" w:fill="auto"/>
                  <w:vAlign w:val="center"/>
                </w:tcPr>
                <w:p w14:paraId="06CFEC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3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E78EE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新鲜蔬菜漂烫清洗</w:t>
                  </w:r>
                </w:p>
              </w:tc>
              <w:tc>
                <w:tcPr>
                  <w:tcW w:w="10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31A42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480</w:t>
                  </w:r>
                </w:p>
              </w:tc>
              <w:tc>
                <w:tcPr>
                  <w:tcW w:w="82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13874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w:t>
                  </w:r>
                </w:p>
              </w:tc>
              <w:tc>
                <w:tcPr>
                  <w:tcW w:w="85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343F5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96</w:t>
                  </w:r>
                </w:p>
              </w:tc>
              <w:tc>
                <w:tcPr>
                  <w:tcW w:w="1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AFAC9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480</w:t>
                  </w:r>
                </w:p>
              </w:tc>
              <w:tc>
                <w:tcPr>
                  <w:tcW w:w="2403" w:type="dxa"/>
                  <w:tcBorders>
                    <w:top w:val="single" w:color="auto" w:sz="4" w:space="0"/>
                    <w:left w:val="single" w:color="auto" w:sz="4" w:space="0"/>
                    <w:bottom w:val="single" w:color="auto" w:sz="4" w:space="0"/>
                    <w:tl2br w:val="nil"/>
                    <w:tr2bl w:val="nil"/>
                  </w:tcBorders>
                  <w:shd w:val="clear" w:color="auto" w:fill="auto"/>
                  <w:vAlign w:val="center"/>
                </w:tcPr>
                <w:p w14:paraId="304F7E42">
                  <w:pPr>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收集至</w:t>
                  </w:r>
                  <w:r>
                    <w:rPr>
                      <w:rFonts w:hint="eastAsia" w:cs="Times New Roman"/>
                      <w:i w:val="0"/>
                      <w:iCs w:val="0"/>
                      <w:color w:val="auto"/>
                      <w:sz w:val="21"/>
                      <w:szCs w:val="21"/>
                      <w:u w:val="none"/>
                      <w:lang w:val="en-US" w:eastAsia="zh-CN"/>
                    </w:rPr>
                    <w:t>1</w:t>
                  </w:r>
                  <w:r>
                    <w:rPr>
                      <w:rFonts w:hint="default" w:ascii="Times New Roman" w:hAnsi="Times New Roman" w:eastAsia="宋体" w:cs="Times New Roman"/>
                      <w:i w:val="0"/>
                      <w:iCs w:val="0"/>
                      <w:color w:val="auto"/>
                      <w:sz w:val="21"/>
                      <w:szCs w:val="21"/>
                      <w:u w:val="none"/>
                      <w:lang w:val="en-US" w:eastAsia="zh-CN"/>
                    </w:rPr>
                    <w:t>#</w:t>
                  </w:r>
                  <w:r>
                    <w:rPr>
                      <w:rFonts w:hint="eastAsia" w:cs="Times New Roman"/>
                      <w:i w:val="0"/>
                      <w:iCs w:val="0"/>
                      <w:color w:val="auto"/>
                      <w:sz w:val="21"/>
                      <w:szCs w:val="21"/>
                      <w:u w:val="none"/>
                      <w:lang w:val="en-US" w:eastAsia="zh-CN"/>
                    </w:rPr>
                    <w:t>废水储罐，冷却后，拉运至</w:t>
                  </w:r>
                  <w:r>
                    <w:rPr>
                      <w:rFonts w:hint="default" w:ascii="Times New Roman" w:hAnsi="Times New Roman" w:eastAsia="宋体" w:cs="Times New Roman"/>
                      <w:i w:val="0"/>
                      <w:iCs w:val="0"/>
                      <w:color w:val="auto"/>
                      <w:sz w:val="21"/>
                      <w:szCs w:val="21"/>
                      <w:u w:val="none"/>
                      <w:lang w:val="en-US" w:eastAsia="zh-CN"/>
                    </w:rPr>
                    <w:t>周边农田，用于农田灌溉</w:t>
                  </w:r>
                  <w:r>
                    <w:rPr>
                      <w:rFonts w:hint="eastAsia" w:cs="Times New Roman"/>
                      <w:i w:val="0"/>
                      <w:iCs w:val="0"/>
                      <w:color w:val="auto"/>
                      <w:sz w:val="21"/>
                      <w:szCs w:val="21"/>
                      <w:u w:val="none"/>
                      <w:lang w:val="en-US" w:eastAsia="zh-CN"/>
                    </w:rPr>
                    <w:t>。</w:t>
                  </w:r>
                </w:p>
              </w:tc>
            </w:tr>
            <w:tr w14:paraId="5F75B265">
              <w:tblPrEx>
                <w:tblBorders>
                  <w:top w:val="single" w:color="auto" w:sz="12" w:space="0"/>
                  <w:left w:val="none" w:color="auto" w:sz="0" w:space="0"/>
                  <w:bottom w:val="single" w:color="auto" w:sz="12" w:space="0"/>
                  <w:right w:val="none" w:color="auto" w:sz="0" w:space="0"/>
                  <w:insideH w:val="none" w:color="auto" w:sz="0" w:space="0"/>
                  <w:insideV w:val="single" w:color="000000" w:sz="4" w:space="0"/>
                </w:tblBorders>
                <w:tblCellMar>
                  <w:top w:w="0" w:type="dxa"/>
                  <w:left w:w="108" w:type="dxa"/>
                  <w:bottom w:w="0" w:type="dxa"/>
                  <w:right w:w="108" w:type="dxa"/>
                </w:tblCellMar>
              </w:tblPrEx>
              <w:trPr>
                <w:trHeight w:val="401" w:hRule="atLeast"/>
                <w:jc w:val="center"/>
              </w:trPr>
              <w:tc>
                <w:tcPr>
                  <w:tcW w:w="653" w:type="dxa"/>
                  <w:tcBorders>
                    <w:top w:val="single" w:color="auto" w:sz="4" w:space="0"/>
                    <w:bottom w:val="single" w:color="auto" w:sz="4" w:space="0"/>
                    <w:right w:val="single" w:color="auto" w:sz="4" w:space="0"/>
                    <w:tl2br w:val="nil"/>
                    <w:tr2bl w:val="nil"/>
                  </w:tcBorders>
                  <w:shd w:val="clear" w:color="auto" w:fill="auto"/>
                  <w:vAlign w:val="center"/>
                </w:tcPr>
                <w:p w14:paraId="6E3E40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3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2D191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设备清洗</w:t>
                  </w:r>
                </w:p>
              </w:tc>
              <w:tc>
                <w:tcPr>
                  <w:tcW w:w="10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0608E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96</w:t>
                  </w:r>
                </w:p>
              </w:tc>
              <w:tc>
                <w:tcPr>
                  <w:tcW w:w="82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6DA64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w:t>
                  </w:r>
                </w:p>
              </w:tc>
              <w:tc>
                <w:tcPr>
                  <w:tcW w:w="85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1D7CA3F">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526CD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76.8</w:t>
                  </w:r>
                </w:p>
              </w:tc>
              <w:tc>
                <w:tcPr>
                  <w:tcW w:w="2403" w:type="dxa"/>
                  <w:vMerge w:val="restart"/>
                  <w:tcBorders>
                    <w:top w:val="single" w:color="auto" w:sz="4" w:space="0"/>
                    <w:left w:val="single" w:color="auto" w:sz="4" w:space="0"/>
                    <w:bottom w:val="single" w:color="auto" w:sz="4" w:space="0"/>
                    <w:tl2br w:val="nil"/>
                    <w:tr2bl w:val="nil"/>
                  </w:tcBorders>
                  <w:shd w:val="clear" w:color="auto" w:fill="auto"/>
                  <w:vAlign w:val="center"/>
                </w:tcPr>
                <w:p w14:paraId="3D96D329">
                  <w:pPr>
                    <w:jc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sz w:val="21"/>
                      <w:szCs w:val="21"/>
                      <w:u w:val="none"/>
                      <w:lang w:val="en-US" w:eastAsia="zh-CN"/>
                    </w:rPr>
                    <w:t>收集至2#废水储罐</w:t>
                  </w:r>
                  <w:r>
                    <w:rPr>
                      <w:rFonts w:hint="default" w:ascii="Times New Roman" w:hAnsi="Times New Roman" w:eastAsia="宋体" w:cs="Times New Roman"/>
                      <w:i w:val="0"/>
                      <w:iCs w:val="0"/>
                      <w:color w:val="auto"/>
                      <w:sz w:val="21"/>
                      <w:szCs w:val="21"/>
                      <w:u w:val="none"/>
                      <w:lang w:val="en-US" w:eastAsia="zh-CN"/>
                    </w:rPr>
                    <w:t>，定期拉运至杭锦旗锡尼镇污水处理厂进行处理，不外排</w:t>
                  </w:r>
                  <w:r>
                    <w:rPr>
                      <w:rFonts w:hint="eastAsia" w:cs="Times New Roman"/>
                      <w:i w:val="0"/>
                      <w:iCs w:val="0"/>
                      <w:color w:val="auto"/>
                      <w:sz w:val="21"/>
                      <w:szCs w:val="21"/>
                      <w:u w:val="none"/>
                      <w:lang w:val="en-US" w:eastAsia="zh-CN"/>
                    </w:rPr>
                    <w:t>。</w:t>
                  </w:r>
                </w:p>
              </w:tc>
            </w:tr>
            <w:tr w14:paraId="2579FB8E">
              <w:tblPrEx>
                <w:tblBorders>
                  <w:top w:val="single" w:color="auto" w:sz="12" w:space="0"/>
                  <w:left w:val="none" w:color="auto" w:sz="0" w:space="0"/>
                  <w:bottom w:val="single" w:color="auto" w:sz="12" w:space="0"/>
                  <w:right w:val="none" w:color="auto" w:sz="0" w:space="0"/>
                  <w:insideH w:val="none" w:color="auto" w:sz="0" w:space="0"/>
                  <w:insideV w:val="single" w:color="000000" w:sz="4" w:space="0"/>
                </w:tblBorders>
                <w:tblCellMar>
                  <w:top w:w="0" w:type="dxa"/>
                  <w:left w:w="108" w:type="dxa"/>
                  <w:bottom w:w="0" w:type="dxa"/>
                  <w:right w:w="108" w:type="dxa"/>
                </w:tblCellMar>
              </w:tblPrEx>
              <w:trPr>
                <w:trHeight w:val="391" w:hRule="atLeast"/>
                <w:jc w:val="center"/>
              </w:trPr>
              <w:tc>
                <w:tcPr>
                  <w:tcW w:w="653" w:type="dxa"/>
                  <w:tcBorders>
                    <w:top w:val="single" w:color="auto" w:sz="4" w:space="0"/>
                    <w:bottom w:val="single" w:color="auto" w:sz="4" w:space="0"/>
                    <w:right w:val="single" w:color="auto" w:sz="4" w:space="0"/>
                    <w:tl2br w:val="nil"/>
                    <w:tr2bl w:val="nil"/>
                  </w:tcBorders>
                  <w:shd w:val="clear" w:color="auto" w:fill="auto"/>
                  <w:vAlign w:val="center"/>
                </w:tcPr>
                <w:p w14:paraId="375EA3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3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D6049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地面清洗</w:t>
                  </w:r>
                </w:p>
              </w:tc>
              <w:tc>
                <w:tcPr>
                  <w:tcW w:w="10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1FFC3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82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68128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w:t>
                  </w:r>
                </w:p>
              </w:tc>
              <w:tc>
                <w:tcPr>
                  <w:tcW w:w="85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98E3C18">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B526A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135</w:t>
                  </w:r>
                </w:p>
              </w:tc>
              <w:tc>
                <w:tcPr>
                  <w:tcW w:w="2403" w:type="dxa"/>
                  <w:vMerge w:val="continue"/>
                  <w:tcBorders>
                    <w:top w:val="single" w:color="auto" w:sz="4" w:space="0"/>
                    <w:left w:val="single" w:color="auto" w:sz="4" w:space="0"/>
                    <w:bottom w:val="single" w:color="auto" w:sz="4" w:space="0"/>
                    <w:tl2br w:val="nil"/>
                    <w:tr2bl w:val="nil"/>
                  </w:tcBorders>
                  <w:shd w:val="clear" w:color="auto" w:fill="auto"/>
                  <w:vAlign w:val="center"/>
                </w:tcPr>
                <w:p w14:paraId="00C38B55">
                  <w:pPr>
                    <w:jc w:val="center"/>
                    <w:rPr>
                      <w:rFonts w:hint="default" w:ascii="Times New Roman" w:hAnsi="Times New Roman" w:eastAsia="宋体" w:cs="Times New Roman"/>
                      <w:i w:val="0"/>
                      <w:iCs w:val="0"/>
                      <w:color w:val="auto"/>
                      <w:sz w:val="21"/>
                      <w:szCs w:val="21"/>
                      <w:u w:val="none"/>
                    </w:rPr>
                  </w:pPr>
                </w:p>
              </w:tc>
            </w:tr>
            <w:tr w14:paraId="1C93AC49">
              <w:tblPrEx>
                <w:tblBorders>
                  <w:top w:val="single" w:color="auto" w:sz="12" w:space="0"/>
                  <w:left w:val="none" w:color="auto" w:sz="0" w:space="0"/>
                  <w:bottom w:val="single" w:color="auto" w:sz="12" w:space="0"/>
                  <w:right w:val="none" w:color="auto" w:sz="0" w:space="0"/>
                  <w:insideH w:val="none" w:color="auto" w:sz="0" w:space="0"/>
                  <w:insideV w:val="single" w:color="000000" w:sz="4" w:space="0"/>
                </w:tblBorders>
                <w:tblCellMar>
                  <w:top w:w="0" w:type="dxa"/>
                  <w:left w:w="108" w:type="dxa"/>
                  <w:bottom w:w="0" w:type="dxa"/>
                  <w:right w:w="108" w:type="dxa"/>
                </w:tblCellMar>
              </w:tblPrEx>
              <w:trPr>
                <w:trHeight w:val="348" w:hRule="atLeast"/>
                <w:jc w:val="center"/>
              </w:trPr>
              <w:tc>
                <w:tcPr>
                  <w:tcW w:w="653" w:type="dxa"/>
                  <w:tcBorders>
                    <w:top w:val="single" w:color="auto" w:sz="4" w:space="0"/>
                    <w:bottom w:val="single" w:color="auto" w:sz="4" w:space="0"/>
                    <w:right w:val="single" w:color="auto" w:sz="4" w:space="0"/>
                    <w:tl2br w:val="nil"/>
                    <w:tr2bl w:val="nil"/>
                  </w:tcBorders>
                  <w:shd w:val="clear" w:color="auto" w:fill="auto"/>
                  <w:vAlign w:val="center"/>
                </w:tcPr>
                <w:p w14:paraId="61D6CA3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0"/>
                      <w:sz w:val="21"/>
                      <w:szCs w:val="21"/>
                      <w:u w:val="none"/>
                      <w:lang w:val="en-US" w:eastAsia="zh-CN" w:bidi="ar"/>
                    </w:rPr>
                    <w:t>5</w:t>
                  </w:r>
                </w:p>
              </w:tc>
              <w:tc>
                <w:tcPr>
                  <w:tcW w:w="13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98992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酸菜</w:t>
                  </w:r>
                  <w:r>
                    <w:rPr>
                      <w:rStyle w:val="37"/>
                      <w:color w:val="auto"/>
                      <w:sz w:val="21"/>
                      <w:szCs w:val="21"/>
                      <w:lang w:val="en-US" w:eastAsia="zh-CN" w:bidi="ar"/>
                    </w:rPr>
                    <w:t>清洗</w:t>
                  </w:r>
                </w:p>
              </w:tc>
              <w:tc>
                <w:tcPr>
                  <w:tcW w:w="10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9E16D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410</w:t>
                  </w:r>
                </w:p>
              </w:tc>
              <w:tc>
                <w:tcPr>
                  <w:tcW w:w="82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72EB4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w:t>
                  </w:r>
                </w:p>
              </w:tc>
              <w:tc>
                <w:tcPr>
                  <w:tcW w:w="85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CA63891">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EF156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328</w:t>
                  </w:r>
                </w:p>
              </w:tc>
              <w:tc>
                <w:tcPr>
                  <w:tcW w:w="2403" w:type="dxa"/>
                  <w:vMerge w:val="continue"/>
                  <w:tcBorders>
                    <w:top w:val="single" w:color="auto" w:sz="4" w:space="0"/>
                    <w:left w:val="single" w:color="auto" w:sz="4" w:space="0"/>
                    <w:bottom w:val="single" w:color="auto" w:sz="4" w:space="0"/>
                    <w:tl2br w:val="nil"/>
                    <w:tr2bl w:val="nil"/>
                  </w:tcBorders>
                  <w:shd w:val="clear" w:color="auto" w:fill="auto"/>
                  <w:vAlign w:val="center"/>
                </w:tcPr>
                <w:p w14:paraId="48B5528B">
                  <w:pPr>
                    <w:jc w:val="center"/>
                    <w:rPr>
                      <w:rFonts w:hint="default" w:ascii="Times New Roman" w:hAnsi="Times New Roman" w:eastAsia="宋体" w:cs="Times New Roman"/>
                      <w:i w:val="0"/>
                      <w:iCs w:val="0"/>
                      <w:color w:val="auto"/>
                      <w:sz w:val="21"/>
                      <w:szCs w:val="21"/>
                      <w:u w:val="none"/>
                    </w:rPr>
                  </w:pPr>
                </w:p>
              </w:tc>
            </w:tr>
            <w:tr w14:paraId="5671CC5A">
              <w:tblPrEx>
                <w:tblBorders>
                  <w:top w:val="single" w:color="auto" w:sz="12" w:space="0"/>
                  <w:left w:val="none" w:color="auto" w:sz="0" w:space="0"/>
                  <w:bottom w:val="single" w:color="auto" w:sz="12" w:space="0"/>
                  <w:right w:val="none" w:color="auto" w:sz="0" w:space="0"/>
                  <w:insideH w:val="none" w:color="auto" w:sz="0" w:space="0"/>
                  <w:insideV w:val="single" w:color="000000" w:sz="4" w:space="0"/>
                </w:tblBorders>
                <w:tblCellMar>
                  <w:top w:w="0" w:type="dxa"/>
                  <w:left w:w="108" w:type="dxa"/>
                  <w:bottom w:w="0" w:type="dxa"/>
                  <w:right w:w="108" w:type="dxa"/>
                </w:tblCellMar>
              </w:tblPrEx>
              <w:trPr>
                <w:trHeight w:val="454" w:hRule="atLeast"/>
                <w:jc w:val="center"/>
              </w:trPr>
              <w:tc>
                <w:tcPr>
                  <w:tcW w:w="653" w:type="dxa"/>
                  <w:tcBorders>
                    <w:top w:val="single" w:color="auto" w:sz="4" w:space="0"/>
                    <w:bottom w:val="single" w:color="auto" w:sz="4" w:space="0"/>
                    <w:right w:val="single" w:color="auto" w:sz="4" w:space="0"/>
                    <w:tl2br w:val="nil"/>
                    <w:tr2bl w:val="nil"/>
                  </w:tcBorders>
                  <w:shd w:val="clear" w:color="auto" w:fill="auto"/>
                  <w:vAlign w:val="center"/>
                </w:tcPr>
                <w:p w14:paraId="7477C7CB">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6</w:t>
                  </w:r>
                </w:p>
              </w:tc>
              <w:tc>
                <w:tcPr>
                  <w:tcW w:w="139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2DBB6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酸菜发酵废水</w:t>
                  </w:r>
                </w:p>
              </w:tc>
              <w:tc>
                <w:tcPr>
                  <w:tcW w:w="10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8BD28F7">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82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9C9F3C2">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85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B628A9D">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05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D6BCC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154</w:t>
                  </w:r>
                </w:p>
              </w:tc>
              <w:tc>
                <w:tcPr>
                  <w:tcW w:w="2403" w:type="dxa"/>
                  <w:tcBorders>
                    <w:top w:val="single" w:color="auto" w:sz="4" w:space="0"/>
                    <w:left w:val="single" w:color="auto" w:sz="4" w:space="0"/>
                    <w:bottom w:val="single" w:color="auto" w:sz="4" w:space="0"/>
                    <w:tl2br w:val="nil"/>
                    <w:tr2bl w:val="nil"/>
                  </w:tcBorders>
                  <w:shd w:val="clear" w:color="auto" w:fill="auto"/>
                  <w:vAlign w:val="center"/>
                </w:tcPr>
                <w:p w14:paraId="05805395">
                  <w:pPr>
                    <w:jc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sz w:val="21"/>
                      <w:szCs w:val="21"/>
                      <w:u w:val="none"/>
                      <w:lang w:val="en-US" w:eastAsia="zh-CN"/>
                    </w:rPr>
                    <w:t>收集至3#废水储罐</w:t>
                  </w:r>
                  <w:r>
                    <w:rPr>
                      <w:rFonts w:hint="eastAsia" w:ascii="Times New Roman" w:hAnsi="Times New Roman" w:eastAsia="宋体" w:cs="Times New Roman"/>
                      <w:i w:val="0"/>
                      <w:iCs w:val="0"/>
                      <w:color w:val="auto"/>
                      <w:sz w:val="21"/>
                      <w:szCs w:val="21"/>
                      <w:u w:val="none"/>
                      <w:lang w:val="en-US" w:eastAsia="zh-CN"/>
                    </w:rPr>
                    <w:t>，定期</w:t>
                  </w:r>
                  <w:r>
                    <w:rPr>
                      <w:rFonts w:hint="default" w:ascii="Times New Roman" w:hAnsi="Times New Roman" w:eastAsia="宋体" w:cs="Times New Roman"/>
                      <w:i w:val="0"/>
                      <w:iCs w:val="0"/>
                      <w:color w:val="auto"/>
                      <w:sz w:val="21"/>
                      <w:szCs w:val="21"/>
                      <w:u w:val="none"/>
                      <w:lang w:val="en-US" w:eastAsia="zh-CN"/>
                    </w:rPr>
                    <w:t>拉运至蒙苏经济开发区零碳产业园工业污水处理厂处理，不外排</w:t>
                  </w:r>
                  <w:r>
                    <w:rPr>
                      <w:rFonts w:hint="eastAsia" w:cs="Times New Roman"/>
                      <w:i w:val="0"/>
                      <w:iCs w:val="0"/>
                      <w:color w:val="auto"/>
                      <w:sz w:val="21"/>
                      <w:szCs w:val="21"/>
                      <w:u w:val="none"/>
                      <w:lang w:val="en-US" w:eastAsia="zh-CN"/>
                    </w:rPr>
                    <w:t>。</w:t>
                  </w:r>
                </w:p>
              </w:tc>
            </w:tr>
            <w:tr w14:paraId="79A3846D">
              <w:tblPrEx>
                <w:tblBorders>
                  <w:top w:val="single" w:color="auto" w:sz="12" w:space="0"/>
                  <w:left w:val="none" w:color="auto" w:sz="0" w:space="0"/>
                  <w:bottom w:val="single" w:color="auto" w:sz="12" w:space="0"/>
                  <w:right w:val="none" w:color="auto" w:sz="0" w:space="0"/>
                  <w:insideH w:val="none" w:color="auto" w:sz="0" w:space="0"/>
                  <w:insideV w:val="single" w:color="000000" w:sz="4" w:space="0"/>
                </w:tblBorders>
                <w:tblCellMar>
                  <w:top w:w="0" w:type="dxa"/>
                  <w:left w:w="108" w:type="dxa"/>
                  <w:bottom w:w="0" w:type="dxa"/>
                  <w:right w:w="108" w:type="dxa"/>
                </w:tblCellMar>
              </w:tblPrEx>
              <w:trPr>
                <w:trHeight w:val="454" w:hRule="atLeast"/>
                <w:jc w:val="center"/>
              </w:trPr>
              <w:tc>
                <w:tcPr>
                  <w:tcW w:w="653" w:type="dxa"/>
                  <w:tcBorders>
                    <w:top w:val="single" w:color="auto" w:sz="4" w:space="0"/>
                    <w:right w:val="single" w:color="auto" w:sz="4" w:space="0"/>
                    <w:tl2br w:val="nil"/>
                    <w:tr2bl w:val="nil"/>
                  </w:tcBorders>
                  <w:shd w:val="clear" w:color="auto" w:fill="auto"/>
                  <w:vAlign w:val="center"/>
                </w:tcPr>
                <w:p w14:paraId="26ECE7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34"/>
                      <w:color w:val="auto"/>
                      <w:sz w:val="21"/>
                      <w:szCs w:val="21"/>
                      <w:lang w:val="en-US" w:eastAsia="zh-CN" w:bidi="ar"/>
                    </w:rPr>
                    <w:t>合计</w:t>
                  </w:r>
                </w:p>
              </w:tc>
              <w:tc>
                <w:tcPr>
                  <w:tcW w:w="1392" w:type="dxa"/>
                  <w:tcBorders>
                    <w:top w:val="single" w:color="auto" w:sz="4" w:space="0"/>
                    <w:left w:val="single" w:color="auto" w:sz="4" w:space="0"/>
                    <w:right w:val="single" w:color="auto" w:sz="4" w:space="0"/>
                    <w:tl2br w:val="nil"/>
                    <w:tr2bl w:val="nil"/>
                  </w:tcBorders>
                  <w:shd w:val="clear" w:color="auto" w:fill="auto"/>
                  <w:vAlign w:val="center"/>
                </w:tcPr>
                <w:p w14:paraId="036E4565">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040" w:type="dxa"/>
                  <w:tcBorders>
                    <w:top w:val="single" w:color="auto" w:sz="4" w:space="0"/>
                    <w:left w:val="single" w:color="auto" w:sz="4" w:space="0"/>
                    <w:right w:val="single" w:color="auto" w:sz="4" w:space="0"/>
                    <w:tl2br w:val="nil"/>
                    <w:tr2bl w:val="nil"/>
                  </w:tcBorders>
                  <w:shd w:val="clear" w:color="auto" w:fill="auto"/>
                  <w:vAlign w:val="center"/>
                </w:tcPr>
                <w:p w14:paraId="3A7BEA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1280</w:t>
                  </w:r>
                </w:p>
              </w:tc>
              <w:tc>
                <w:tcPr>
                  <w:tcW w:w="825" w:type="dxa"/>
                  <w:tcBorders>
                    <w:top w:val="single" w:color="auto" w:sz="4" w:space="0"/>
                    <w:left w:val="single" w:color="auto" w:sz="4" w:space="0"/>
                    <w:right w:val="single" w:color="auto" w:sz="4" w:space="0"/>
                    <w:tl2br w:val="nil"/>
                    <w:tr2bl w:val="nil"/>
                  </w:tcBorders>
                  <w:shd w:val="clear" w:color="auto" w:fill="auto"/>
                  <w:vAlign w:val="center"/>
                </w:tcPr>
                <w:p w14:paraId="61D75F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7" w:type="dxa"/>
                  <w:tcBorders>
                    <w:top w:val="single" w:color="auto" w:sz="4" w:space="0"/>
                    <w:left w:val="single" w:color="auto" w:sz="4" w:space="0"/>
                    <w:right w:val="single" w:color="auto" w:sz="4" w:space="0"/>
                    <w:tl2br w:val="nil"/>
                    <w:tr2bl w:val="nil"/>
                  </w:tcBorders>
                  <w:shd w:val="clear" w:color="auto" w:fill="auto"/>
                  <w:vAlign w:val="center"/>
                </w:tcPr>
                <w:p w14:paraId="41F44082">
                  <w:pPr>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050" w:type="dxa"/>
                  <w:tcBorders>
                    <w:top w:val="single" w:color="auto" w:sz="4" w:space="0"/>
                    <w:left w:val="single" w:color="auto" w:sz="4" w:space="0"/>
                    <w:right w:val="single" w:color="auto" w:sz="4" w:space="0"/>
                    <w:tl2br w:val="nil"/>
                    <w:tr2bl w:val="nil"/>
                  </w:tcBorders>
                  <w:shd w:val="clear" w:color="auto" w:fill="auto"/>
                  <w:vAlign w:val="center"/>
                </w:tcPr>
                <w:p w14:paraId="619CE3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1289</w:t>
                  </w:r>
                </w:p>
              </w:tc>
              <w:tc>
                <w:tcPr>
                  <w:tcW w:w="2403" w:type="dxa"/>
                  <w:tcBorders>
                    <w:top w:val="single" w:color="auto" w:sz="4" w:space="0"/>
                    <w:left w:val="single" w:color="auto" w:sz="4" w:space="0"/>
                    <w:tl2br w:val="nil"/>
                    <w:tr2bl w:val="nil"/>
                  </w:tcBorders>
                  <w:shd w:val="clear" w:color="auto" w:fill="auto"/>
                  <w:vAlign w:val="center"/>
                </w:tcPr>
                <w:p w14:paraId="702BC6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26A68841">
            <w:pPr>
              <w:autoSpaceDE w:val="0"/>
              <w:autoSpaceDN w:val="0"/>
              <w:adjustRightInd w:val="0"/>
              <w:snapToGrid w:val="0"/>
              <w:spacing w:line="360" w:lineRule="auto"/>
              <w:jc w:val="center"/>
              <w:rPr>
                <w:b/>
                <w:color w:val="auto"/>
                <w:kern w:val="0"/>
                <w:szCs w:val="21"/>
              </w:rPr>
            </w:pPr>
            <w:r>
              <w:rPr>
                <w:b/>
                <w:color w:val="auto"/>
                <w:kern w:val="0"/>
                <w:szCs w:val="21"/>
              </w:rPr>
              <w:drawing>
                <wp:inline distT="0" distB="0" distL="114300" distR="114300">
                  <wp:extent cx="4610100" cy="3211195"/>
                  <wp:effectExtent l="0" t="0" r="0" b="0"/>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8"/>
                          <a:srcRect b="3731"/>
                          <a:stretch>
                            <a:fillRect/>
                          </a:stretch>
                        </pic:blipFill>
                        <pic:spPr>
                          <a:xfrm>
                            <a:off x="0" y="0"/>
                            <a:ext cx="4610100" cy="3211195"/>
                          </a:xfrm>
                          <a:prstGeom prst="rect">
                            <a:avLst/>
                          </a:prstGeom>
                          <a:noFill/>
                          <a:ln>
                            <a:noFill/>
                          </a:ln>
                        </pic:spPr>
                      </pic:pic>
                    </a:graphicData>
                  </a:graphic>
                </wp:inline>
              </w:drawing>
            </w:r>
          </w:p>
          <w:p w14:paraId="5DC5FFC0">
            <w:pPr>
              <w:pStyle w:val="26"/>
              <w:rPr>
                <w:rFonts w:hint="eastAsia" w:eastAsia="宋体"/>
                <w:color w:val="auto"/>
                <w:lang w:eastAsia="zh-CN"/>
              </w:rPr>
            </w:pPr>
            <w:r>
              <w:rPr>
                <w:color w:val="auto"/>
              </w:rPr>
              <w:t>图2-1 项目</w:t>
            </w:r>
            <w:r>
              <w:rPr>
                <w:rFonts w:hint="eastAsia"/>
                <w:color w:val="auto"/>
              </w:rPr>
              <w:t>用</w:t>
            </w:r>
            <w:r>
              <w:rPr>
                <w:color w:val="auto"/>
              </w:rPr>
              <w:t xml:space="preserve">水平衡图  </w:t>
            </w:r>
            <w:r>
              <w:rPr>
                <w:rFonts w:hint="eastAsia"/>
                <w:color w:val="auto"/>
                <w:vertAlign w:val="baseline"/>
                <w:lang w:eastAsia="zh-CN"/>
              </w:rPr>
              <w:t>m</w:t>
            </w:r>
            <w:r>
              <w:rPr>
                <w:rFonts w:hint="eastAsia"/>
                <w:color w:val="auto"/>
                <w:vertAlign w:val="superscript"/>
                <w:lang w:eastAsia="zh-CN"/>
              </w:rPr>
              <w:t>3</w:t>
            </w:r>
            <w:r>
              <w:rPr>
                <w:color w:val="auto"/>
              </w:rPr>
              <w:t>/</w:t>
            </w:r>
            <w:r>
              <w:rPr>
                <w:rFonts w:hint="eastAsia"/>
                <w:color w:val="auto"/>
                <w:lang w:val="en-US" w:eastAsia="zh-CN"/>
              </w:rPr>
              <w:t>a</w:t>
            </w:r>
          </w:p>
          <w:p w14:paraId="0FF1564C">
            <w:pPr>
              <w:adjustRightInd w:val="0"/>
              <w:snapToGrid w:val="0"/>
              <w:spacing w:line="360" w:lineRule="auto"/>
              <w:ind w:firstLine="480" w:firstLineChars="200"/>
              <w:rPr>
                <w:bCs/>
                <w:color w:val="auto"/>
                <w:sz w:val="24"/>
              </w:rPr>
            </w:pPr>
            <w:r>
              <w:rPr>
                <w:rFonts w:hint="eastAsia"/>
                <w:bCs/>
                <w:color w:val="auto"/>
                <w:sz w:val="24"/>
              </w:rPr>
              <w:t>（</w:t>
            </w:r>
            <w:r>
              <w:rPr>
                <w:bCs/>
                <w:color w:val="auto"/>
                <w:sz w:val="24"/>
              </w:rPr>
              <w:t>3</w:t>
            </w:r>
            <w:r>
              <w:rPr>
                <w:rFonts w:hint="eastAsia"/>
                <w:bCs/>
                <w:color w:val="auto"/>
                <w:sz w:val="24"/>
              </w:rPr>
              <w:t>）</w:t>
            </w:r>
            <w:r>
              <w:rPr>
                <w:bCs/>
                <w:color w:val="auto"/>
                <w:sz w:val="24"/>
              </w:rPr>
              <w:t>供电工程</w:t>
            </w:r>
          </w:p>
          <w:p w14:paraId="38886A84">
            <w:pPr>
              <w:spacing w:line="360" w:lineRule="auto"/>
              <w:ind w:firstLine="480" w:firstLineChars="200"/>
              <w:rPr>
                <w:bCs/>
                <w:color w:val="auto"/>
                <w:sz w:val="24"/>
              </w:rPr>
            </w:pPr>
            <w:r>
              <w:rPr>
                <w:bCs/>
                <w:color w:val="auto"/>
                <w:sz w:val="24"/>
              </w:rPr>
              <w:t>项目总用电量为</w:t>
            </w:r>
            <w:r>
              <w:rPr>
                <w:rFonts w:hint="eastAsia"/>
                <w:bCs/>
                <w:color w:val="auto"/>
                <w:sz w:val="24"/>
                <w:lang w:val="en-US" w:eastAsia="zh-CN"/>
              </w:rPr>
              <w:t>1</w:t>
            </w:r>
            <w:r>
              <w:rPr>
                <w:bCs/>
                <w:color w:val="auto"/>
                <w:sz w:val="24"/>
              </w:rPr>
              <w:t>0</w:t>
            </w:r>
            <w:r>
              <w:rPr>
                <w:rFonts w:hint="eastAsia"/>
                <w:bCs/>
                <w:color w:val="auto"/>
                <w:sz w:val="24"/>
                <w:lang w:val="en-US" w:eastAsia="zh-CN"/>
              </w:rPr>
              <w:t>万</w:t>
            </w:r>
            <w:r>
              <w:rPr>
                <w:bCs/>
                <w:color w:val="auto"/>
                <w:sz w:val="24"/>
              </w:rPr>
              <w:t>KWh，由当地电网供给。</w:t>
            </w:r>
          </w:p>
          <w:p w14:paraId="646B19AD">
            <w:pPr>
              <w:spacing w:line="360" w:lineRule="auto"/>
              <w:ind w:firstLine="480" w:firstLineChars="200"/>
              <w:rPr>
                <w:bCs/>
                <w:color w:val="auto"/>
                <w:sz w:val="24"/>
              </w:rPr>
            </w:pPr>
            <w:r>
              <w:rPr>
                <w:rFonts w:hint="eastAsia"/>
                <w:bCs/>
                <w:color w:val="auto"/>
                <w:sz w:val="24"/>
              </w:rPr>
              <w:t>（</w:t>
            </w:r>
            <w:r>
              <w:rPr>
                <w:bCs/>
                <w:color w:val="auto"/>
                <w:sz w:val="24"/>
              </w:rPr>
              <w:t>4</w:t>
            </w:r>
            <w:r>
              <w:rPr>
                <w:rFonts w:hint="eastAsia"/>
                <w:bCs/>
                <w:color w:val="auto"/>
                <w:sz w:val="24"/>
              </w:rPr>
              <w:t>）</w:t>
            </w:r>
            <w:r>
              <w:rPr>
                <w:bCs/>
                <w:color w:val="auto"/>
                <w:sz w:val="24"/>
              </w:rPr>
              <w:t>供暖工程</w:t>
            </w:r>
          </w:p>
          <w:p w14:paraId="4BB3AF05">
            <w:pPr>
              <w:spacing w:line="360" w:lineRule="auto"/>
              <w:ind w:firstLine="480" w:firstLineChars="200"/>
              <w:rPr>
                <w:color w:val="auto"/>
              </w:rPr>
            </w:pPr>
            <w:r>
              <w:rPr>
                <w:rFonts w:hint="eastAsia"/>
                <w:color w:val="auto"/>
                <w:sz w:val="24"/>
                <w:lang w:val="en-US" w:eastAsia="zh-CN"/>
              </w:rPr>
              <w:t>项目冬季采取电暖器供暖</w:t>
            </w:r>
            <w:r>
              <w:rPr>
                <w:color w:val="auto"/>
                <w:sz w:val="24"/>
              </w:rPr>
              <w:t>。</w:t>
            </w:r>
          </w:p>
        </w:tc>
      </w:tr>
      <w:tr w14:paraId="37FA0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239" w:type="pct"/>
            <w:vAlign w:val="center"/>
          </w:tcPr>
          <w:p w14:paraId="1F47615C">
            <w:pPr>
              <w:pStyle w:val="14"/>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工艺流程和产排污环节</w:t>
            </w:r>
          </w:p>
        </w:tc>
        <w:tc>
          <w:tcPr>
            <w:tcW w:w="4760" w:type="pct"/>
          </w:tcPr>
          <w:p w14:paraId="106EB75A">
            <w:pPr>
              <w:spacing w:line="360" w:lineRule="auto"/>
              <w:jc w:val="left"/>
              <w:rPr>
                <w:b/>
                <w:color w:val="auto"/>
                <w:sz w:val="24"/>
              </w:rPr>
            </w:pPr>
            <w:bookmarkStart w:id="5" w:name="_Toc65446908"/>
            <w:r>
              <w:rPr>
                <w:b/>
                <w:color w:val="auto"/>
                <w:sz w:val="24"/>
              </w:rPr>
              <w:t>项目生产工艺及流程</w:t>
            </w:r>
            <w:bookmarkEnd w:id="5"/>
          </w:p>
          <w:p w14:paraId="027CC2A1">
            <w:pPr>
              <w:spacing w:line="360" w:lineRule="auto"/>
              <w:jc w:val="left"/>
              <w:rPr>
                <w:b/>
                <w:color w:val="auto"/>
                <w:sz w:val="24"/>
              </w:rPr>
            </w:pPr>
            <w:r>
              <w:rPr>
                <w:b/>
                <w:color w:val="auto"/>
                <w:sz w:val="24"/>
              </w:rPr>
              <w:t>一、施工期工程分析</w:t>
            </w:r>
          </w:p>
          <w:p w14:paraId="0743402E">
            <w:pPr>
              <w:adjustRightInd w:val="0"/>
              <w:snapToGrid w:val="0"/>
              <w:spacing w:line="360" w:lineRule="auto"/>
              <w:ind w:firstLine="480" w:firstLineChars="200"/>
              <w:rPr>
                <w:color w:val="auto"/>
                <w:sz w:val="24"/>
              </w:rPr>
            </w:pPr>
            <w:r>
              <w:rPr>
                <w:rFonts w:hint="eastAsia"/>
                <w:color w:val="auto"/>
                <w:sz w:val="24"/>
                <w:lang w:val="en-US" w:eastAsia="zh-CN"/>
              </w:rPr>
              <w:t>本项目酱腌菜加工厂已于2012年建成并运行，本次主要埋设废水储罐设施1套，</w:t>
            </w:r>
            <w:r>
              <w:rPr>
                <w:color w:val="auto"/>
                <w:sz w:val="24"/>
              </w:rPr>
              <w:t>施工流程及各阶段主要污染物产生见图2-2。</w:t>
            </w:r>
          </w:p>
          <w:p w14:paraId="3A01E634">
            <w:pPr>
              <w:adjustRightInd w:val="0"/>
              <w:snapToGrid w:val="0"/>
              <w:spacing w:line="360" w:lineRule="auto"/>
              <w:jc w:val="center"/>
              <w:rPr>
                <w:color w:val="auto"/>
                <w:sz w:val="24"/>
              </w:rPr>
            </w:pPr>
            <w:r>
              <w:rPr>
                <w:color w:val="auto"/>
                <w:sz w:val="24"/>
              </w:rPr>
              <w:drawing>
                <wp:inline distT="0" distB="0" distL="0" distR="0">
                  <wp:extent cx="3362960" cy="1985010"/>
                  <wp:effectExtent l="0" t="0" r="7620" b="1524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9"/>
                          <a:stretch>
                            <a:fillRect/>
                          </a:stretch>
                        </pic:blipFill>
                        <pic:spPr>
                          <a:xfrm>
                            <a:off x="0" y="0"/>
                            <a:ext cx="3362960" cy="1985010"/>
                          </a:xfrm>
                          <a:prstGeom prst="rect">
                            <a:avLst/>
                          </a:prstGeom>
                        </pic:spPr>
                      </pic:pic>
                    </a:graphicData>
                  </a:graphic>
                </wp:inline>
              </w:drawing>
            </w:r>
          </w:p>
          <w:p w14:paraId="75E919EB">
            <w:pPr>
              <w:pStyle w:val="26"/>
              <w:rPr>
                <w:color w:val="auto"/>
              </w:rPr>
            </w:pPr>
            <w:r>
              <w:rPr>
                <w:color w:val="auto"/>
              </w:rPr>
              <w:t>图2-2 施工期</w:t>
            </w:r>
            <w:r>
              <w:rPr>
                <w:rFonts w:hint="eastAsia"/>
                <w:color w:val="auto"/>
                <w:lang w:eastAsia="zh-CN"/>
              </w:rPr>
              <w:t>施工</w:t>
            </w:r>
            <w:r>
              <w:rPr>
                <w:color w:val="auto"/>
              </w:rPr>
              <w:t>工艺流程图</w:t>
            </w:r>
          </w:p>
          <w:p w14:paraId="0A943067">
            <w:pPr>
              <w:adjustRightInd w:val="0"/>
              <w:snapToGrid w:val="0"/>
              <w:spacing w:line="360" w:lineRule="auto"/>
              <w:jc w:val="left"/>
              <w:rPr>
                <w:b/>
                <w:bCs/>
                <w:color w:val="auto"/>
                <w:sz w:val="24"/>
              </w:rPr>
            </w:pPr>
            <w:r>
              <w:rPr>
                <w:b/>
                <w:bCs/>
                <w:color w:val="auto"/>
                <w:sz w:val="24"/>
              </w:rPr>
              <w:t>二、运营期工程分析</w:t>
            </w:r>
          </w:p>
          <w:p w14:paraId="25AF577C">
            <w:pPr>
              <w:adjustRightInd w:val="0"/>
              <w:snapToGrid w:val="0"/>
              <w:spacing w:line="360" w:lineRule="auto"/>
              <w:ind w:firstLine="482" w:firstLineChars="200"/>
              <w:jc w:val="left"/>
              <w:rPr>
                <w:rFonts w:hint="default"/>
                <w:b/>
                <w:bCs w:val="0"/>
                <w:color w:val="auto"/>
                <w:sz w:val="24"/>
                <w:highlight w:val="none"/>
                <w:lang w:val="en-US" w:eastAsia="zh-CN"/>
              </w:rPr>
            </w:pPr>
            <w:r>
              <w:rPr>
                <w:rFonts w:hint="eastAsia"/>
                <w:b/>
                <w:bCs w:val="0"/>
                <w:color w:val="auto"/>
                <w:sz w:val="24"/>
                <w:highlight w:val="none"/>
                <w:lang w:val="en-US" w:eastAsia="zh-CN"/>
              </w:rPr>
              <w:t>1.酱腌菜生产工艺</w:t>
            </w:r>
          </w:p>
          <w:p w14:paraId="2A65A14B">
            <w:pPr>
              <w:adjustRightInd w:val="0"/>
              <w:snapToGrid w:val="0"/>
              <w:spacing w:line="360" w:lineRule="auto"/>
              <w:ind w:firstLine="480" w:firstLineChars="200"/>
              <w:jc w:val="left"/>
              <w:rPr>
                <w:bCs/>
                <w:color w:val="auto"/>
                <w:sz w:val="24"/>
                <w:highlight w:val="none"/>
              </w:rPr>
            </w:pPr>
            <w:r>
              <w:rPr>
                <w:rFonts w:hint="eastAsia"/>
                <w:bCs/>
                <w:color w:val="auto"/>
                <w:sz w:val="24"/>
                <w:highlight w:val="none"/>
                <w:lang w:val="en-US" w:eastAsia="zh-CN"/>
              </w:rPr>
              <w:t>本项目采用传统工艺腌制酸菜，</w:t>
            </w:r>
            <w:r>
              <w:rPr>
                <w:bCs/>
                <w:color w:val="auto"/>
                <w:sz w:val="24"/>
                <w:highlight w:val="none"/>
              </w:rPr>
              <w:t>工艺流程如下：</w:t>
            </w:r>
          </w:p>
          <w:p w14:paraId="5E0EA9B4">
            <w:pPr>
              <w:adjustRightInd w:val="0"/>
              <w:snapToGrid w:val="0"/>
              <w:spacing w:line="360" w:lineRule="auto"/>
              <w:ind w:firstLine="480" w:firstLineChars="200"/>
              <w:jc w:val="left"/>
              <w:rPr>
                <w:rFonts w:hint="eastAsia"/>
                <w:bCs/>
                <w:color w:val="auto"/>
                <w:sz w:val="24"/>
                <w:highlight w:val="none"/>
                <w:lang w:eastAsia="zh-CN"/>
              </w:rPr>
            </w:pPr>
            <w:r>
              <w:rPr>
                <w:rFonts w:hint="eastAsia"/>
                <w:bCs/>
                <w:color w:val="auto"/>
                <w:sz w:val="24"/>
                <w:highlight w:val="none"/>
                <w:lang w:eastAsia="zh-CN"/>
              </w:rPr>
              <w:t>（</w:t>
            </w:r>
            <w:r>
              <w:rPr>
                <w:rFonts w:hint="eastAsia"/>
                <w:bCs/>
                <w:color w:val="auto"/>
                <w:sz w:val="24"/>
                <w:highlight w:val="none"/>
                <w:lang w:val="en-US" w:eastAsia="zh-CN"/>
              </w:rPr>
              <w:t>1</w:t>
            </w:r>
            <w:r>
              <w:rPr>
                <w:rFonts w:hint="eastAsia"/>
                <w:bCs/>
                <w:color w:val="auto"/>
                <w:sz w:val="24"/>
                <w:highlight w:val="none"/>
                <w:lang w:eastAsia="zh-CN"/>
              </w:rPr>
              <w:t>）</w:t>
            </w:r>
            <w:r>
              <w:rPr>
                <w:rFonts w:hint="eastAsia"/>
                <w:bCs/>
                <w:color w:val="auto"/>
                <w:sz w:val="24"/>
                <w:highlight w:val="none"/>
                <w:lang w:val="en-US" w:eastAsia="zh-CN"/>
              </w:rPr>
              <w:t>白菜拣选</w:t>
            </w:r>
          </w:p>
          <w:p w14:paraId="10B667DA">
            <w:pPr>
              <w:adjustRightInd w:val="0"/>
              <w:snapToGrid w:val="0"/>
              <w:spacing w:line="360" w:lineRule="auto"/>
              <w:ind w:firstLine="480" w:firstLineChars="200"/>
              <w:jc w:val="left"/>
              <w:rPr>
                <w:rFonts w:hint="eastAsia"/>
                <w:bCs/>
                <w:color w:val="auto"/>
                <w:sz w:val="24"/>
                <w:highlight w:val="none"/>
                <w:lang w:val="en-US" w:eastAsia="zh-CN"/>
              </w:rPr>
            </w:pPr>
            <w:r>
              <w:rPr>
                <w:rFonts w:hint="eastAsia"/>
                <w:bCs/>
                <w:color w:val="auto"/>
                <w:sz w:val="24"/>
                <w:highlight w:val="none"/>
                <w:lang w:val="en-US" w:eastAsia="zh-CN"/>
              </w:rPr>
              <w:t>从附近农户收购长白菜、精白菜，入场后首先进行人工拣选，选用无腐烂、无虫害、新鲜的蔬菜，去除外面枯黄的叶子和根部。</w:t>
            </w:r>
          </w:p>
          <w:p w14:paraId="4BF30AB0">
            <w:pPr>
              <w:adjustRightInd w:val="0"/>
              <w:snapToGrid w:val="0"/>
              <w:spacing w:line="360" w:lineRule="auto"/>
              <w:ind w:firstLine="480" w:firstLineChars="200"/>
              <w:jc w:val="left"/>
              <w:rPr>
                <w:rFonts w:hint="eastAsia"/>
                <w:bCs/>
                <w:color w:val="auto"/>
                <w:sz w:val="24"/>
                <w:highlight w:val="none"/>
                <w:lang w:val="en-US" w:eastAsia="zh-CN"/>
              </w:rPr>
            </w:pPr>
            <w:r>
              <w:rPr>
                <w:rFonts w:hint="eastAsia"/>
                <w:bCs/>
                <w:color w:val="auto"/>
                <w:sz w:val="24"/>
                <w:highlight w:val="none"/>
                <w:lang w:val="en-US" w:eastAsia="zh-CN"/>
              </w:rPr>
              <w:t>（2）漂烫</w:t>
            </w:r>
          </w:p>
          <w:p w14:paraId="74719CD5">
            <w:pPr>
              <w:adjustRightInd w:val="0"/>
              <w:snapToGrid w:val="0"/>
              <w:spacing w:line="360" w:lineRule="auto"/>
              <w:ind w:firstLine="480" w:firstLineChars="200"/>
              <w:jc w:val="left"/>
              <w:rPr>
                <w:rFonts w:hint="default"/>
                <w:bCs/>
                <w:color w:val="auto"/>
                <w:sz w:val="24"/>
                <w:highlight w:val="none"/>
                <w:lang w:val="en-US" w:eastAsia="zh-CN"/>
              </w:rPr>
            </w:pPr>
            <w:r>
              <w:rPr>
                <w:rFonts w:hint="eastAsia"/>
                <w:bCs/>
                <w:color w:val="auto"/>
                <w:sz w:val="24"/>
                <w:highlight w:val="none"/>
                <w:lang w:val="en-US" w:eastAsia="zh-CN"/>
              </w:rPr>
              <w:t>漂烫后的白菜需冷却后才能发酵，故新鲜蔬菜采取先漂烫后清洗的工序。</w:t>
            </w:r>
            <w:r>
              <w:rPr>
                <w:rFonts w:hint="default"/>
                <w:bCs/>
                <w:color w:val="auto"/>
                <w:sz w:val="24"/>
                <w:highlight w:val="none"/>
                <w:lang w:val="en-US" w:eastAsia="zh-CN"/>
              </w:rPr>
              <w:t>拣选</w:t>
            </w:r>
            <w:r>
              <w:rPr>
                <w:rFonts w:hint="eastAsia"/>
                <w:bCs/>
                <w:color w:val="auto"/>
                <w:sz w:val="24"/>
                <w:highlight w:val="none"/>
                <w:lang w:val="en-US" w:eastAsia="zh-CN"/>
              </w:rPr>
              <w:t>完白菜进入漂烫机，漂烫温度在70-90℃之间，停留时间为30s。漂烫可以帮助去除蔬菜表面的杂质和农药残留，同时也有助于杀死细菌，保证蔬菜的卫生安全。</w:t>
            </w:r>
          </w:p>
          <w:p w14:paraId="731873E6">
            <w:pPr>
              <w:adjustRightInd w:val="0"/>
              <w:snapToGrid w:val="0"/>
              <w:spacing w:line="360" w:lineRule="auto"/>
              <w:ind w:firstLine="480" w:firstLineChars="200"/>
              <w:jc w:val="left"/>
              <w:rPr>
                <w:rFonts w:hint="eastAsia"/>
                <w:bCs/>
                <w:color w:val="auto"/>
                <w:sz w:val="24"/>
                <w:highlight w:val="none"/>
                <w:lang w:val="en-US" w:eastAsia="zh-CN"/>
              </w:rPr>
            </w:pPr>
            <w:r>
              <w:rPr>
                <w:rFonts w:hint="eastAsia"/>
                <w:bCs/>
                <w:color w:val="auto"/>
                <w:sz w:val="24"/>
                <w:highlight w:val="none"/>
                <w:lang w:val="en-US" w:eastAsia="zh-CN"/>
              </w:rPr>
              <w:t>（3）洗菜</w:t>
            </w:r>
          </w:p>
          <w:p w14:paraId="2E993F12">
            <w:pPr>
              <w:adjustRightInd w:val="0"/>
              <w:snapToGrid w:val="0"/>
              <w:spacing w:line="360" w:lineRule="auto"/>
              <w:ind w:firstLine="480" w:firstLineChars="200"/>
              <w:jc w:val="left"/>
              <w:rPr>
                <w:rFonts w:hint="default"/>
                <w:bCs/>
                <w:color w:val="auto"/>
                <w:sz w:val="24"/>
                <w:highlight w:val="none"/>
                <w:lang w:val="en-US" w:eastAsia="zh-CN"/>
              </w:rPr>
            </w:pPr>
            <w:r>
              <w:rPr>
                <w:rFonts w:hint="default"/>
                <w:bCs/>
                <w:color w:val="auto"/>
                <w:sz w:val="24"/>
                <w:highlight w:val="none"/>
                <w:lang w:val="en-US" w:eastAsia="zh-CN"/>
              </w:rPr>
              <w:t>漂烫</w:t>
            </w:r>
            <w:r>
              <w:rPr>
                <w:rFonts w:hint="eastAsia"/>
                <w:bCs/>
                <w:color w:val="auto"/>
                <w:sz w:val="24"/>
                <w:highlight w:val="none"/>
                <w:lang w:val="en-US" w:eastAsia="zh-CN"/>
              </w:rPr>
              <w:t>后的白菜进入气泡洗菜机，在高压水流和气泡的作用下，清洗白菜的同时起到冷却降温的作用。</w:t>
            </w:r>
          </w:p>
          <w:p w14:paraId="616615C0">
            <w:pPr>
              <w:adjustRightInd w:val="0"/>
              <w:snapToGrid w:val="0"/>
              <w:spacing w:line="360" w:lineRule="auto"/>
              <w:ind w:firstLine="480" w:firstLineChars="200"/>
              <w:jc w:val="left"/>
              <w:rPr>
                <w:rFonts w:hint="eastAsia"/>
                <w:bCs/>
                <w:color w:val="FF0000"/>
                <w:sz w:val="24"/>
                <w:highlight w:val="none"/>
                <w:lang w:val="en-US" w:eastAsia="zh-CN"/>
              </w:rPr>
            </w:pPr>
            <w:r>
              <w:rPr>
                <w:rFonts w:hint="eastAsia"/>
                <w:bCs/>
                <w:color w:val="auto"/>
                <w:sz w:val="24"/>
                <w:highlight w:val="none"/>
                <w:lang w:val="en-US" w:eastAsia="zh-CN"/>
              </w:rPr>
              <w:t>为降低漂烫废水的温度，新鲜蔬菜漂烫和清洗共用一个排水口。新鲜蔬菜漂烫清洗废水经1#废水储罐收集冷却后，拉运至周边农田，用于农田灌溉。</w:t>
            </w:r>
          </w:p>
          <w:p w14:paraId="1D932B64">
            <w:pPr>
              <w:adjustRightInd w:val="0"/>
              <w:snapToGrid w:val="0"/>
              <w:spacing w:line="360" w:lineRule="auto"/>
              <w:ind w:firstLine="480" w:firstLineChars="200"/>
              <w:jc w:val="left"/>
              <w:rPr>
                <w:rFonts w:hint="eastAsia"/>
                <w:bCs/>
                <w:color w:val="auto"/>
                <w:sz w:val="24"/>
                <w:highlight w:val="none"/>
                <w:lang w:val="en-US" w:eastAsia="zh-CN"/>
              </w:rPr>
            </w:pPr>
            <w:r>
              <w:rPr>
                <w:rFonts w:hint="eastAsia"/>
                <w:bCs/>
                <w:color w:val="auto"/>
                <w:sz w:val="24"/>
                <w:highlight w:val="none"/>
                <w:lang w:val="en-US" w:eastAsia="zh-CN"/>
              </w:rPr>
              <w:t>（4）发酵</w:t>
            </w:r>
          </w:p>
          <w:p w14:paraId="5192CB59">
            <w:pPr>
              <w:adjustRightInd w:val="0"/>
              <w:snapToGrid w:val="0"/>
              <w:spacing w:line="360" w:lineRule="auto"/>
              <w:ind w:firstLine="480" w:firstLineChars="200"/>
              <w:jc w:val="left"/>
              <w:rPr>
                <w:rFonts w:hint="default"/>
                <w:bCs/>
                <w:color w:val="auto"/>
                <w:sz w:val="24"/>
                <w:highlight w:val="none"/>
                <w:lang w:val="en-US" w:eastAsia="zh-CN"/>
              </w:rPr>
            </w:pPr>
            <w:r>
              <w:rPr>
                <w:rFonts w:hint="default"/>
                <w:bCs/>
                <w:color w:val="auto"/>
                <w:sz w:val="24"/>
                <w:highlight w:val="none"/>
                <w:lang w:val="en-US" w:eastAsia="zh-CN"/>
              </w:rPr>
              <w:t>将清洗好</w:t>
            </w:r>
            <w:r>
              <w:rPr>
                <w:rFonts w:hint="eastAsia"/>
                <w:bCs/>
                <w:color w:val="auto"/>
                <w:sz w:val="24"/>
                <w:highlight w:val="none"/>
                <w:lang w:val="en-US" w:eastAsia="zh-CN"/>
              </w:rPr>
              <w:t>冷却后</w:t>
            </w:r>
            <w:r>
              <w:rPr>
                <w:rFonts w:hint="default"/>
                <w:bCs/>
                <w:color w:val="auto"/>
                <w:sz w:val="24"/>
                <w:highlight w:val="none"/>
                <w:lang w:val="en-US" w:eastAsia="zh-CN"/>
              </w:rPr>
              <w:t>的白菜移入发酵池，加适量的食盐进行发酵，发酵过程不加水，常温，发酵时间从60天至90天不等。</w:t>
            </w:r>
          </w:p>
          <w:p w14:paraId="63CFA073">
            <w:pPr>
              <w:adjustRightInd w:val="0"/>
              <w:snapToGrid w:val="0"/>
              <w:spacing w:line="360" w:lineRule="auto"/>
              <w:ind w:firstLine="480" w:firstLineChars="200"/>
              <w:jc w:val="left"/>
              <w:rPr>
                <w:rFonts w:hint="default"/>
                <w:bCs/>
                <w:color w:val="auto"/>
                <w:sz w:val="24"/>
                <w:highlight w:val="none"/>
                <w:lang w:val="en-US" w:eastAsia="zh-CN"/>
              </w:rPr>
            </w:pPr>
            <w:r>
              <w:rPr>
                <w:rFonts w:hint="default"/>
                <w:bCs/>
                <w:color w:val="auto"/>
                <w:sz w:val="24"/>
                <w:highlight w:val="none"/>
                <w:lang w:val="en-US" w:eastAsia="zh-CN"/>
              </w:rPr>
              <w:t>每年腌制一次，保证60-90天的发酵时间</w:t>
            </w:r>
            <w:r>
              <w:rPr>
                <w:rFonts w:hint="eastAsia"/>
                <w:bCs/>
                <w:color w:val="auto"/>
                <w:sz w:val="24"/>
                <w:highlight w:val="none"/>
                <w:lang w:val="en-US" w:eastAsia="zh-CN"/>
              </w:rPr>
              <w:t>。</w:t>
            </w:r>
            <w:r>
              <w:rPr>
                <w:rFonts w:hint="default"/>
                <w:bCs/>
                <w:color w:val="auto"/>
                <w:sz w:val="24"/>
                <w:highlight w:val="none"/>
                <w:lang w:val="en-US" w:eastAsia="zh-CN"/>
              </w:rPr>
              <w:t>发酵结束后根据订单需求从发酵池中取出相应数量的酸菜进行后续加工，其余</w:t>
            </w:r>
            <w:r>
              <w:rPr>
                <w:rFonts w:hint="eastAsia"/>
                <w:bCs/>
                <w:color w:val="auto"/>
                <w:sz w:val="24"/>
                <w:highlight w:val="none"/>
                <w:lang w:val="en-US" w:eastAsia="zh-CN"/>
              </w:rPr>
              <w:t>酸菜</w:t>
            </w:r>
            <w:r>
              <w:rPr>
                <w:rFonts w:hint="default"/>
                <w:bCs/>
                <w:color w:val="auto"/>
                <w:sz w:val="24"/>
                <w:highlight w:val="none"/>
                <w:lang w:val="en-US" w:eastAsia="zh-CN"/>
              </w:rPr>
              <w:t>仍在</w:t>
            </w:r>
            <w:r>
              <w:rPr>
                <w:rFonts w:hint="eastAsia"/>
                <w:bCs/>
                <w:color w:val="auto"/>
                <w:sz w:val="24"/>
                <w:highlight w:val="none"/>
                <w:lang w:val="en-US" w:eastAsia="zh-CN"/>
              </w:rPr>
              <w:t>发酵池</w:t>
            </w:r>
            <w:r>
              <w:rPr>
                <w:rFonts w:hint="default"/>
                <w:bCs/>
                <w:color w:val="auto"/>
                <w:sz w:val="24"/>
                <w:highlight w:val="none"/>
                <w:lang w:val="en-US" w:eastAsia="zh-CN"/>
              </w:rPr>
              <w:t>中保存。全年将所有酸菜加工完毕后，第二年相应季节重新腌制，往复循环。</w:t>
            </w:r>
          </w:p>
          <w:p w14:paraId="24FAA0D2">
            <w:pPr>
              <w:adjustRightInd w:val="0"/>
              <w:snapToGrid w:val="0"/>
              <w:spacing w:line="360" w:lineRule="auto"/>
              <w:ind w:firstLine="480" w:firstLineChars="200"/>
              <w:jc w:val="left"/>
              <w:rPr>
                <w:rFonts w:hint="eastAsia"/>
                <w:bCs/>
                <w:color w:val="auto"/>
                <w:sz w:val="24"/>
                <w:highlight w:val="none"/>
                <w:lang w:val="en-US" w:eastAsia="zh-CN"/>
              </w:rPr>
            </w:pPr>
            <w:r>
              <w:rPr>
                <w:rFonts w:hint="default"/>
                <w:bCs/>
                <w:color w:val="auto"/>
                <w:sz w:val="24"/>
                <w:highlight w:val="none"/>
                <w:lang w:val="en-US" w:eastAsia="zh-CN"/>
              </w:rPr>
              <w:t>厂内共建设发酵池</w:t>
            </w:r>
            <w:r>
              <w:rPr>
                <w:rFonts w:hint="eastAsia"/>
                <w:bCs/>
                <w:color w:val="auto"/>
                <w:sz w:val="24"/>
                <w:highlight w:val="none"/>
                <w:lang w:val="en-US" w:eastAsia="zh-CN"/>
              </w:rPr>
              <w:t>36</w:t>
            </w:r>
            <w:r>
              <w:rPr>
                <w:rFonts w:hint="default"/>
                <w:bCs/>
                <w:color w:val="auto"/>
                <w:sz w:val="24"/>
                <w:highlight w:val="none"/>
                <w:lang w:val="en-US" w:eastAsia="zh-CN"/>
              </w:rPr>
              <w:t>个，每个发酵池在酸菜全部取出后（每个发酵池的酸菜一年全部取出一次，每个</w:t>
            </w:r>
            <w:r>
              <w:rPr>
                <w:rFonts w:hint="eastAsia"/>
                <w:bCs/>
                <w:color w:val="auto"/>
                <w:sz w:val="24"/>
                <w:highlight w:val="none"/>
                <w:lang w:val="en-US" w:eastAsia="zh-CN"/>
              </w:rPr>
              <w:t>发酵池</w:t>
            </w:r>
            <w:r>
              <w:rPr>
                <w:rFonts w:hint="default"/>
                <w:bCs/>
                <w:color w:val="auto"/>
                <w:sz w:val="24"/>
                <w:highlight w:val="none"/>
                <w:lang w:val="en-US" w:eastAsia="zh-CN"/>
              </w:rPr>
              <w:t>一年清洗一次），均会对其</w:t>
            </w:r>
            <w:r>
              <w:rPr>
                <w:rFonts w:hint="eastAsia"/>
                <w:bCs/>
                <w:color w:val="auto"/>
                <w:sz w:val="24"/>
                <w:highlight w:val="none"/>
                <w:lang w:val="en-US" w:eastAsia="zh-CN"/>
              </w:rPr>
              <w:t>进行</w:t>
            </w:r>
            <w:r>
              <w:rPr>
                <w:rFonts w:hint="default"/>
                <w:bCs/>
                <w:color w:val="auto"/>
                <w:sz w:val="24"/>
                <w:highlight w:val="none"/>
                <w:lang w:val="en-US" w:eastAsia="zh-CN"/>
              </w:rPr>
              <w:t>清洗</w:t>
            </w:r>
            <w:r>
              <w:rPr>
                <w:rFonts w:hint="eastAsia"/>
                <w:bCs/>
                <w:color w:val="auto"/>
                <w:sz w:val="24"/>
                <w:highlight w:val="none"/>
                <w:lang w:val="en-US" w:eastAsia="zh-CN"/>
              </w:rPr>
              <w:t>。</w:t>
            </w:r>
          </w:p>
          <w:p w14:paraId="43871039">
            <w:pPr>
              <w:adjustRightInd w:val="0"/>
              <w:snapToGrid w:val="0"/>
              <w:spacing w:line="360" w:lineRule="auto"/>
              <w:ind w:firstLine="480" w:firstLineChars="200"/>
              <w:jc w:val="left"/>
              <w:rPr>
                <w:rFonts w:hint="default"/>
                <w:bCs/>
                <w:color w:val="auto"/>
                <w:sz w:val="24"/>
                <w:highlight w:val="none"/>
                <w:lang w:val="en-US" w:eastAsia="zh-CN"/>
              </w:rPr>
            </w:pPr>
            <w:r>
              <w:rPr>
                <w:rFonts w:hint="default"/>
                <w:bCs/>
                <w:color w:val="auto"/>
                <w:sz w:val="24"/>
                <w:highlight w:val="none"/>
                <w:lang w:val="en-US" w:eastAsia="zh-CN"/>
              </w:rPr>
              <w:t>酸菜发酵废水经3#</w:t>
            </w:r>
            <w:r>
              <w:rPr>
                <w:rFonts w:hint="eastAsia"/>
                <w:bCs/>
                <w:color w:val="auto"/>
                <w:sz w:val="24"/>
                <w:highlight w:val="none"/>
                <w:lang w:val="en-US" w:eastAsia="zh-CN"/>
              </w:rPr>
              <w:t>废水储罐</w:t>
            </w:r>
            <w:r>
              <w:rPr>
                <w:rFonts w:hint="default"/>
                <w:bCs/>
                <w:color w:val="auto"/>
                <w:sz w:val="24"/>
                <w:highlight w:val="none"/>
                <w:lang w:val="en-US" w:eastAsia="zh-CN"/>
              </w:rPr>
              <w:t>收集后，定期拉运至蒙苏经济开发区零碳产业园工业污水处理厂处理，不外排。</w:t>
            </w:r>
          </w:p>
          <w:p w14:paraId="5273B0C3">
            <w:pPr>
              <w:adjustRightInd w:val="0"/>
              <w:snapToGrid w:val="0"/>
              <w:spacing w:line="360" w:lineRule="auto"/>
              <w:ind w:firstLine="480" w:firstLineChars="200"/>
              <w:jc w:val="left"/>
              <w:rPr>
                <w:rFonts w:hint="default"/>
                <w:bCs/>
                <w:color w:val="auto"/>
                <w:sz w:val="24"/>
                <w:highlight w:val="none"/>
                <w:lang w:val="en-US" w:eastAsia="zh-CN"/>
              </w:rPr>
            </w:pPr>
            <w:r>
              <w:rPr>
                <w:rFonts w:hint="eastAsia"/>
                <w:bCs/>
                <w:color w:val="auto"/>
                <w:sz w:val="24"/>
                <w:highlight w:val="none"/>
                <w:lang w:val="en-US" w:eastAsia="zh-CN"/>
              </w:rPr>
              <w:t>发酵池清洗废水经2#废水储罐收集后，定期拉运至杭锦旗锡尼镇污水处理厂进行处理，不外排</w:t>
            </w:r>
            <w:r>
              <w:rPr>
                <w:rFonts w:hint="default"/>
                <w:bCs/>
                <w:color w:val="auto"/>
                <w:sz w:val="24"/>
                <w:highlight w:val="none"/>
                <w:lang w:val="en-US" w:eastAsia="zh-CN"/>
              </w:rPr>
              <w:t>。</w:t>
            </w:r>
          </w:p>
          <w:p w14:paraId="70A23B69">
            <w:pPr>
              <w:adjustRightInd w:val="0"/>
              <w:snapToGrid w:val="0"/>
              <w:spacing w:line="360" w:lineRule="auto"/>
              <w:ind w:firstLine="480" w:firstLineChars="200"/>
              <w:jc w:val="left"/>
              <w:rPr>
                <w:rFonts w:hint="default"/>
                <w:bCs/>
                <w:color w:val="auto"/>
                <w:sz w:val="24"/>
                <w:highlight w:val="none"/>
                <w:lang w:val="en-US" w:eastAsia="zh-CN"/>
              </w:rPr>
            </w:pPr>
            <w:r>
              <w:rPr>
                <w:rFonts w:hint="eastAsia" w:ascii="Times New Roman" w:eastAsia="宋体"/>
                <w:bCs/>
                <w:color w:val="auto"/>
                <w:sz w:val="24"/>
                <w:highlight w:val="none"/>
                <w:lang w:val="en-US" w:eastAsia="zh-CN"/>
              </w:rPr>
              <w:t>（5）检查</w:t>
            </w:r>
            <w:r>
              <w:rPr>
                <w:rFonts w:hint="eastAsia"/>
                <w:bCs/>
                <w:color w:val="auto"/>
                <w:sz w:val="24"/>
                <w:highlight w:val="none"/>
                <w:lang w:val="en-US" w:eastAsia="zh-CN"/>
              </w:rPr>
              <w:t>及</w:t>
            </w:r>
            <w:r>
              <w:rPr>
                <w:rFonts w:hint="eastAsia" w:ascii="Times New Roman" w:eastAsia="宋体"/>
                <w:bCs/>
                <w:color w:val="auto"/>
                <w:sz w:val="24"/>
                <w:highlight w:val="none"/>
                <w:lang w:val="en-US" w:eastAsia="zh-CN"/>
              </w:rPr>
              <w:t>二次发酵</w:t>
            </w:r>
          </w:p>
          <w:p w14:paraId="780935BA">
            <w:pPr>
              <w:adjustRightInd w:val="0"/>
              <w:snapToGrid w:val="0"/>
              <w:spacing w:line="360" w:lineRule="auto"/>
              <w:ind w:firstLine="480" w:firstLineChars="200"/>
              <w:jc w:val="left"/>
              <w:rPr>
                <w:rFonts w:hint="eastAsia"/>
                <w:bCs/>
                <w:color w:val="auto"/>
                <w:sz w:val="24"/>
                <w:highlight w:val="none"/>
                <w:lang w:eastAsia="zh-CN"/>
              </w:rPr>
            </w:pPr>
            <w:r>
              <w:rPr>
                <w:rFonts w:hint="eastAsia" w:ascii="Times New Roman" w:eastAsia="宋体"/>
                <w:bCs/>
                <w:color w:val="auto"/>
                <w:sz w:val="24"/>
                <w:highlight w:val="none"/>
                <w:lang w:val="en-US" w:eastAsia="zh-CN"/>
              </w:rPr>
              <w:t>对发酵的白菜进行检查，将发酵不均匀的白菜挑出，放入发酵桶内进行二次发酵。每个发酵桶中</w:t>
            </w:r>
            <w:r>
              <w:rPr>
                <w:rFonts w:hint="eastAsia"/>
                <w:bCs/>
                <w:color w:val="auto"/>
                <w:sz w:val="24"/>
                <w:highlight w:val="none"/>
                <w:lang w:val="en-US" w:eastAsia="zh-CN"/>
              </w:rPr>
              <w:t>的</w:t>
            </w:r>
            <w:r>
              <w:rPr>
                <w:rFonts w:hint="eastAsia" w:ascii="Times New Roman" w:eastAsia="宋体"/>
                <w:bCs/>
                <w:color w:val="auto"/>
                <w:sz w:val="24"/>
                <w:highlight w:val="none"/>
                <w:lang w:val="en-US" w:eastAsia="zh-CN"/>
              </w:rPr>
              <w:t>酸菜全部取出后，均会对其</w:t>
            </w:r>
            <w:r>
              <w:rPr>
                <w:rFonts w:hint="eastAsia"/>
                <w:bCs/>
                <w:color w:val="auto"/>
                <w:sz w:val="24"/>
                <w:highlight w:val="none"/>
                <w:lang w:val="en-US" w:eastAsia="zh-CN"/>
              </w:rPr>
              <w:t>进行</w:t>
            </w:r>
            <w:r>
              <w:rPr>
                <w:rFonts w:hint="eastAsia" w:ascii="Times New Roman" w:eastAsia="宋体"/>
                <w:bCs/>
                <w:color w:val="auto"/>
                <w:sz w:val="24"/>
                <w:highlight w:val="none"/>
                <w:lang w:val="en-US" w:eastAsia="zh-CN"/>
              </w:rPr>
              <w:t>清洗。</w:t>
            </w:r>
          </w:p>
          <w:p w14:paraId="5BF99136">
            <w:pPr>
              <w:adjustRightInd w:val="0"/>
              <w:snapToGrid w:val="0"/>
              <w:spacing w:line="360" w:lineRule="auto"/>
              <w:ind w:firstLine="480" w:firstLineChars="200"/>
              <w:jc w:val="left"/>
              <w:rPr>
                <w:rFonts w:hint="eastAsia"/>
                <w:bCs/>
                <w:color w:val="auto"/>
                <w:sz w:val="24"/>
                <w:highlight w:val="none"/>
                <w:lang w:eastAsia="zh-CN"/>
              </w:rPr>
            </w:pPr>
            <w:r>
              <w:rPr>
                <w:rFonts w:hint="eastAsia" w:ascii="Times New Roman" w:eastAsia="宋体"/>
                <w:bCs/>
                <w:color w:val="auto"/>
                <w:sz w:val="24"/>
                <w:highlight w:val="none"/>
                <w:lang w:val="en-US" w:eastAsia="zh-CN"/>
              </w:rPr>
              <w:t>二次发酵桶清洗废水经2#</w:t>
            </w:r>
            <w:r>
              <w:rPr>
                <w:rFonts w:hint="eastAsia"/>
                <w:bCs/>
                <w:color w:val="auto"/>
                <w:sz w:val="24"/>
                <w:highlight w:val="none"/>
                <w:lang w:val="en-US" w:eastAsia="zh-CN"/>
              </w:rPr>
              <w:t>废水储罐</w:t>
            </w:r>
            <w:r>
              <w:rPr>
                <w:rFonts w:hint="eastAsia" w:ascii="Times New Roman" w:eastAsia="宋体"/>
                <w:bCs/>
                <w:color w:val="auto"/>
                <w:sz w:val="24"/>
                <w:highlight w:val="none"/>
                <w:lang w:val="en-US" w:eastAsia="zh-CN"/>
              </w:rPr>
              <w:t>收集后，定期拉运至杭锦旗锡尼镇污水处理厂进行处理，不外排。</w:t>
            </w:r>
          </w:p>
          <w:p w14:paraId="21115E19">
            <w:pPr>
              <w:adjustRightInd w:val="0"/>
              <w:snapToGrid w:val="0"/>
              <w:spacing w:line="360" w:lineRule="auto"/>
              <w:ind w:firstLine="480" w:firstLineChars="200"/>
              <w:jc w:val="left"/>
              <w:rPr>
                <w:rFonts w:hint="eastAsia"/>
                <w:bCs/>
                <w:color w:val="auto"/>
                <w:sz w:val="24"/>
                <w:highlight w:val="none"/>
                <w:lang w:eastAsia="zh-CN"/>
              </w:rPr>
            </w:pPr>
            <w:r>
              <w:rPr>
                <w:rFonts w:hint="eastAsia" w:eastAsia="宋体"/>
                <w:bCs/>
                <w:color w:val="auto"/>
                <w:sz w:val="24"/>
                <w:highlight w:val="none"/>
                <w:lang w:eastAsia="zh-CN"/>
              </w:rPr>
              <w:t>（</w:t>
            </w:r>
            <w:r>
              <w:rPr>
                <w:rFonts w:hint="eastAsia" w:ascii="Times New Roman" w:eastAsia="宋体"/>
                <w:bCs/>
                <w:color w:val="auto"/>
                <w:sz w:val="24"/>
                <w:highlight w:val="none"/>
                <w:lang w:val="en-US" w:eastAsia="zh-CN"/>
              </w:rPr>
              <w:t>6</w:t>
            </w:r>
            <w:r>
              <w:rPr>
                <w:rFonts w:hint="eastAsia" w:eastAsia="宋体"/>
                <w:bCs/>
                <w:color w:val="auto"/>
                <w:sz w:val="24"/>
                <w:highlight w:val="none"/>
                <w:lang w:eastAsia="zh-CN"/>
              </w:rPr>
              <w:t>）</w:t>
            </w:r>
            <w:r>
              <w:rPr>
                <w:rFonts w:hint="eastAsia" w:ascii="Times New Roman" w:eastAsia="宋体"/>
                <w:bCs/>
                <w:color w:val="auto"/>
                <w:sz w:val="24"/>
                <w:highlight w:val="none"/>
                <w:lang w:val="en-US" w:eastAsia="zh-CN"/>
              </w:rPr>
              <w:t>洗酸菜</w:t>
            </w:r>
          </w:p>
          <w:p w14:paraId="66DCAC68">
            <w:pPr>
              <w:adjustRightInd w:val="0"/>
              <w:snapToGrid w:val="0"/>
              <w:spacing w:line="360" w:lineRule="auto"/>
              <w:ind w:firstLine="480" w:firstLineChars="200"/>
              <w:jc w:val="left"/>
              <w:rPr>
                <w:rFonts w:hint="eastAsia"/>
                <w:bCs/>
                <w:color w:val="auto"/>
                <w:sz w:val="24"/>
                <w:highlight w:val="none"/>
                <w:lang w:eastAsia="zh-CN"/>
              </w:rPr>
            </w:pPr>
            <w:r>
              <w:rPr>
                <w:rFonts w:hint="eastAsia" w:ascii="Times New Roman" w:eastAsia="宋体"/>
                <w:bCs/>
                <w:color w:val="auto"/>
                <w:sz w:val="24"/>
                <w:highlight w:val="none"/>
                <w:lang w:val="en-US" w:eastAsia="zh-CN"/>
              </w:rPr>
              <w:t>将发酵好的酸菜拿出，由人工进行清洗处理，去除多余的盐分。</w:t>
            </w:r>
          </w:p>
          <w:p w14:paraId="34297071">
            <w:pPr>
              <w:adjustRightInd w:val="0"/>
              <w:snapToGrid w:val="0"/>
              <w:spacing w:line="360" w:lineRule="auto"/>
              <w:ind w:firstLine="480" w:firstLineChars="200"/>
              <w:jc w:val="left"/>
              <w:rPr>
                <w:rFonts w:hint="eastAsia"/>
                <w:bCs/>
                <w:color w:val="auto"/>
                <w:sz w:val="24"/>
                <w:highlight w:val="none"/>
                <w:lang w:eastAsia="zh-CN"/>
              </w:rPr>
            </w:pPr>
            <w:r>
              <w:rPr>
                <w:rFonts w:hint="eastAsia" w:ascii="Times New Roman" w:eastAsia="宋体"/>
                <w:bCs/>
                <w:color w:val="auto"/>
                <w:sz w:val="24"/>
                <w:highlight w:val="none"/>
                <w:lang w:val="en-US" w:eastAsia="zh-CN"/>
              </w:rPr>
              <w:t>洗酸菜废水经2#</w:t>
            </w:r>
            <w:r>
              <w:rPr>
                <w:rFonts w:hint="eastAsia"/>
                <w:bCs/>
                <w:color w:val="auto"/>
                <w:sz w:val="24"/>
                <w:highlight w:val="none"/>
                <w:lang w:val="en-US" w:eastAsia="zh-CN"/>
              </w:rPr>
              <w:t>废水储罐</w:t>
            </w:r>
            <w:r>
              <w:rPr>
                <w:rFonts w:hint="eastAsia" w:ascii="Times New Roman" w:eastAsia="宋体"/>
                <w:bCs/>
                <w:color w:val="auto"/>
                <w:sz w:val="24"/>
                <w:highlight w:val="none"/>
                <w:lang w:val="en-US" w:eastAsia="zh-CN"/>
              </w:rPr>
              <w:t>收集后，定期拉运至杭锦旗锡尼镇污水处理厂进行处理，不外排。</w:t>
            </w:r>
          </w:p>
          <w:p w14:paraId="2FF56089">
            <w:pPr>
              <w:adjustRightInd w:val="0"/>
              <w:snapToGrid w:val="0"/>
              <w:spacing w:line="360" w:lineRule="auto"/>
              <w:ind w:firstLine="480" w:firstLineChars="200"/>
              <w:jc w:val="left"/>
              <w:rPr>
                <w:rFonts w:hint="default"/>
                <w:bCs/>
                <w:color w:val="auto"/>
                <w:sz w:val="24"/>
                <w:highlight w:val="none"/>
                <w:lang w:val="en-US" w:eastAsia="zh-CN"/>
              </w:rPr>
            </w:pPr>
            <w:r>
              <w:rPr>
                <w:rFonts w:hint="eastAsia" w:eastAsia="宋体"/>
                <w:bCs/>
                <w:color w:val="auto"/>
                <w:sz w:val="24"/>
                <w:highlight w:val="none"/>
                <w:lang w:eastAsia="zh-CN"/>
              </w:rPr>
              <w:t>（</w:t>
            </w:r>
            <w:r>
              <w:rPr>
                <w:rFonts w:hint="eastAsia" w:ascii="Times New Roman" w:eastAsia="宋体"/>
                <w:bCs/>
                <w:color w:val="auto"/>
                <w:sz w:val="24"/>
                <w:highlight w:val="none"/>
                <w:lang w:val="en-US" w:eastAsia="zh-CN"/>
              </w:rPr>
              <w:t>7</w:t>
            </w:r>
            <w:r>
              <w:rPr>
                <w:rFonts w:hint="eastAsia" w:eastAsia="宋体"/>
                <w:bCs/>
                <w:color w:val="auto"/>
                <w:sz w:val="24"/>
                <w:highlight w:val="none"/>
                <w:lang w:eastAsia="zh-CN"/>
              </w:rPr>
              <w:t>）</w:t>
            </w:r>
            <w:r>
              <w:rPr>
                <w:rFonts w:hint="eastAsia" w:ascii="Times New Roman" w:eastAsia="宋体"/>
                <w:bCs/>
                <w:color w:val="auto"/>
                <w:sz w:val="24"/>
                <w:highlight w:val="none"/>
                <w:lang w:val="en-US" w:eastAsia="zh-CN"/>
              </w:rPr>
              <w:t>切丝</w:t>
            </w:r>
          </w:p>
          <w:p w14:paraId="13B3A2C2">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将清洗后的酸菜送至包装车间，使用切丝机对其进行切丝。</w:t>
            </w:r>
          </w:p>
          <w:p w14:paraId="16B33FFD">
            <w:pPr>
              <w:adjustRightInd w:val="0"/>
              <w:snapToGrid w:val="0"/>
              <w:spacing w:line="360" w:lineRule="auto"/>
              <w:ind w:firstLine="480" w:firstLineChars="200"/>
              <w:jc w:val="left"/>
              <w:rPr>
                <w:rFonts w:hint="eastAsia"/>
                <w:bCs/>
                <w:color w:val="auto"/>
                <w:sz w:val="24"/>
                <w:highlight w:val="none"/>
                <w:lang w:eastAsia="zh-CN"/>
              </w:rPr>
            </w:pPr>
            <w:r>
              <w:rPr>
                <w:rFonts w:hint="eastAsia" w:ascii="Times New Roman" w:eastAsia="宋体"/>
                <w:bCs/>
                <w:color w:val="auto"/>
                <w:sz w:val="24"/>
                <w:highlight w:val="none"/>
                <w:lang w:val="en-US" w:eastAsia="zh-CN"/>
              </w:rPr>
              <w:t>（8）包装</w:t>
            </w:r>
          </w:p>
          <w:p w14:paraId="165EFFF2">
            <w:pPr>
              <w:pStyle w:val="4"/>
              <w:rPr>
                <w:rFonts w:hint="default"/>
                <w:lang w:val="en-US" w:eastAsia="zh-CN"/>
              </w:rPr>
            </w:pPr>
            <w:r>
              <w:rPr>
                <w:rFonts w:hint="eastAsia" w:ascii="Times New Roman" w:eastAsia="宋体"/>
                <w:bCs/>
                <w:color w:val="auto"/>
                <w:sz w:val="24"/>
                <w:highlight w:val="none"/>
                <w:lang w:val="en-US" w:eastAsia="zh-CN"/>
              </w:rPr>
              <w:t>酸菜切丝后按照生产要求进行称量、包装、激光打码</w:t>
            </w:r>
            <w:r>
              <w:rPr>
                <w:rFonts w:hint="eastAsia"/>
                <w:bCs/>
                <w:color w:val="auto"/>
                <w:sz w:val="24"/>
                <w:highlight w:val="none"/>
                <w:lang w:val="en-US" w:eastAsia="zh-CN"/>
              </w:rPr>
              <w:t>、</w:t>
            </w:r>
            <w:r>
              <w:rPr>
                <w:rFonts w:hint="eastAsia" w:ascii="Times New Roman" w:eastAsia="宋体"/>
                <w:bCs/>
                <w:color w:val="auto"/>
                <w:sz w:val="24"/>
                <w:highlight w:val="none"/>
                <w:lang w:val="en-US" w:eastAsia="zh-CN"/>
              </w:rPr>
              <w:t>装箱</w:t>
            </w:r>
            <w:r>
              <w:rPr>
                <w:rFonts w:hint="eastAsia"/>
                <w:bCs/>
                <w:color w:val="auto"/>
                <w:sz w:val="24"/>
                <w:highlight w:val="none"/>
                <w:lang w:val="en-US" w:eastAsia="zh-CN"/>
              </w:rPr>
              <w:t>、</w:t>
            </w:r>
            <w:r>
              <w:rPr>
                <w:rFonts w:hint="eastAsia" w:ascii="Times New Roman" w:eastAsia="宋体"/>
                <w:bCs/>
                <w:color w:val="auto"/>
                <w:sz w:val="24"/>
                <w:highlight w:val="none"/>
                <w:lang w:val="en-US" w:eastAsia="zh-CN"/>
              </w:rPr>
              <w:t>入库。</w:t>
            </w:r>
          </w:p>
          <w:p w14:paraId="7ADBE9EC">
            <w:pPr>
              <w:adjustRightInd w:val="0"/>
              <w:snapToGrid w:val="0"/>
              <w:spacing w:line="360" w:lineRule="auto"/>
              <w:jc w:val="center"/>
              <w:rPr>
                <w:rFonts w:hint="eastAsia" w:ascii="Times New Roman" w:hAnsi="Times New Roman" w:eastAsia="宋体" w:cs="Times New Roman"/>
                <w:bCs/>
                <w:color w:val="auto"/>
                <w:sz w:val="24"/>
                <w:highlight w:val="none"/>
                <w:lang w:eastAsia="zh-CN"/>
              </w:rPr>
            </w:pPr>
            <w:r>
              <w:rPr>
                <w:rFonts w:hint="eastAsia" w:ascii="Times New Roman" w:hAnsi="Times New Roman" w:eastAsia="宋体" w:cs="Times New Roman"/>
                <w:bCs/>
                <w:color w:val="auto"/>
                <w:sz w:val="24"/>
                <w:highlight w:val="none"/>
                <w:lang w:eastAsia="zh-CN"/>
              </w:rPr>
              <w:drawing>
                <wp:inline distT="0" distB="0" distL="114300" distR="114300">
                  <wp:extent cx="4171950" cy="4645660"/>
                  <wp:effectExtent l="0" t="0" r="0" b="0"/>
                  <wp:docPr id="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pic:cNvPicPr>
                            <a:picLocks noChangeAspect="1"/>
                          </pic:cNvPicPr>
                        </pic:nvPicPr>
                        <pic:blipFill>
                          <a:blip r:embed="rId10"/>
                          <a:srcRect b="2932"/>
                          <a:stretch>
                            <a:fillRect/>
                          </a:stretch>
                        </pic:blipFill>
                        <pic:spPr>
                          <a:xfrm>
                            <a:off x="0" y="0"/>
                            <a:ext cx="4171950" cy="4645660"/>
                          </a:xfrm>
                          <a:prstGeom prst="rect">
                            <a:avLst/>
                          </a:prstGeom>
                          <a:noFill/>
                          <a:ln>
                            <a:noFill/>
                          </a:ln>
                        </pic:spPr>
                      </pic:pic>
                    </a:graphicData>
                  </a:graphic>
                </wp:inline>
              </w:drawing>
            </w:r>
          </w:p>
          <w:p w14:paraId="148EE5D5">
            <w:pPr>
              <w:widowControl w:val="0"/>
              <w:adjustRightInd w:val="0"/>
              <w:snapToGrid w:val="0"/>
              <w:spacing w:line="360" w:lineRule="auto"/>
              <w:jc w:val="center"/>
              <w:rPr>
                <w:rFonts w:ascii="Times New Roman" w:hAnsi="Times New Roman" w:eastAsia="宋体" w:cs="Times New Roman"/>
                <w:b/>
                <w:bCs/>
                <w:color w:val="auto"/>
                <w:kern w:val="2"/>
                <w:sz w:val="24"/>
                <w:szCs w:val="24"/>
                <w:highlight w:val="none"/>
                <w:lang w:val="en-US" w:eastAsia="zh-CN" w:bidi="ar-SA"/>
              </w:rPr>
            </w:pPr>
            <w:r>
              <w:rPr>
                <w:rFonts w:ascii="Times New Roman" w:hAnsi="Times New Roman" w:eastAsia="宋体" w:cs="Times New Roman"/>
                <w:b/>
                <w:bCs/>
                <w:color w:val="auto"/>
                <w:kern w:val="2"/>
                <w:sz w:val="24"/>
                <w:szCs w:val="24"/>
                <w:highlight w:val="none"/>
                <w:lang w:val="en-US" w:eastAsia="zh-CN" w:bidi="ar-SA"/>
              </w:rPr>
              <w:t xml:space="preserve">图2-3 </w:t>
            </w:r>
            <w:r>
              <w:rPr>
                <w:rFonts w:hint="eastAsia" w:ascii="Times New Roman" w:hAnsi="Times New Roman" w:eastAsia="宋体" w:cs="Times New Roman"/>
                <w:b/>
                <w:bCs/>
                <w:color w:val="auto"/>
                <w:kern w:val="2"/>
                <w:sz w:val="24"/>
                <w:szCs w:val="24"/>
                <w:highlight w:val="none"/>
                <w:lang w:val="en-US" w:eastAsia="zh-CN" w:bidi="ar-SA"/>
              </w:rPr>
              <w:t>酱腌菜</w:t>
            </w:r>
            <w:r>
              <w:rPr>
                <w:rFonts w:hint="eastAsia" w:cs="Times New Roman"/>
                <w:b/>
                <w:bCs/>
                <w:color w:val="auto"/>
                <w:kern w:val="2"/>
                <w:sz w:val="24"/>
                <w:szCs w:val="24"/>
                <w:highlight w:val="none"/>
                <w:lang w:val="en-US" w:eastAsia="zh-CN" w:bidi="ar-SA"/>
              </w:rPr>
              <w:t>/生腌酱腌菜</w:t>
            </w:r>
            <w:r>
              <w:rPr>
                <w:rFonts w:ascii="Times New Roman" w:hAnsi="Times New Roman" w:eastAsia="宋体" w:cs="Times New Roman"/>
                <w:b/>
                <w:bCs/>
                <w:color w:val="auto"/>
                <w:kern w:val="2"/>
                <w:sz w:val="24"/>
                <w:szCs w:val="24"/>
                <w:highlight w:val="none"/>
                <w:lang w:val="en-US" w:eastAsia="zh-CN" w:bidi="ar-SA"/>
              </w:rPr>
              <w:t>工艺流程及产污环节图</w:t>
            </w:r>
          </w:p>
          <w:p w14:paraId="5B4AA4EE">
            <w:pPr>
              <w:adjustRightInd w:val="0"/>
              <w:snapToGrid w:val="0"/>
              <w:spacing w:line="360" w:lineRule="auto"/>
              <w:ind w:firstLine="482" w:firstLineChars="200"/>
              <w:jc w:val="left"/>
              <w:rPr>
                <w:rFonts w:hint="default"/>
                <w:b/>
                <w:bCs w:val="0"/>
                <w:color w:val="auto"/>
                <w:sz w:val="24"/>
                <w:highlight w:val="none"/>
                <w:lang w:val="en-US" w:eastAsia="zh-CN"/>
              </w:rPr>
            </w:pPr>
            <w:r>
              <w:rPr>
                <w:rFonts w:hint="eastAsia" w:ascii="Times New Roman" w:eastAsia="宋体"/>
                <w:b/>
                <w:bCs w:val="0"/>
                <w:color w:val="auto"/>
                <w:sz w:val="24"/>
                <w:highlight w:val="none"/>
                <w:lang w:val="en-US" w:eastAsia="zh-CN"/>
              </w:rPr>
              <w:t>2</w:t>
            </w:r>
            <w:r>
              <w:rPr>
                <w:rFonts w:hint="eastAsia"/>
                <w:b/>
                <w:bCs w:val="0"/>
                <w:color w:val="auto"/>
                <w:sz w:val="24"/>
                <w:highlight w:val="none"/>
                <w:lang w:val="en-US" w:eastAsia="zh-CN"/>
              </w:rPr>
              <w:t>.</w:t>
            </w:r>
            <w:r>
              <w:rPr>
                <w:rFonts w:hint="eastAsia" w:ascii="Times New Roman" w:eastAsia="宋体"/>
                <w:b/>
                <w:bCs w:val="0"/>
                <w:color w:val="auto"/>
                <w:sz w:val="24"/>
                <w:highlight w:val="none"/>
                <w:lang w:val="en-US" w:eastAsia="zh-CN"/>
              </w:rPr>
              <w:t>生腌酱腌菜生产工艺</w:t>
            </w:r>
          </w:p>
          <w:p w14:paraId="14BB460D">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（1）白菜拣选</w:t>
            </w:r>
          </w:p>
          <w:p w14:paraId="16AC5BF0">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从附近农户手中收购长白菜、精白菜，入场后首先进行人工拣选，选用无腐烂、无虫害、新鲜的蔬菜，去除外面枯黄的叶子和根部。</w:t>
            </w:r>
          </w:p>
          <w:p w14:paraId="7C56AEE8">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（2）发酵</w:t>
            </w:r>
          </w:p>
          <w:p w14:paraId="2D32D5BE">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漂烫后的白菜需冷却后才能发酵，冷却所需时间会拉长蔬菜进厂后</w:t>
            </w:r>
            <w:r>
              <w:rPr>
                <w:rFonts w:hint="eastAsia"/>
                <w:bCs/>
                <w:color w:val="auto"/>
                <w:sz w:val="24"/>
                <w:highlight w:val="none"/>
                <w:lang w:val="en-US" w:eastAsia="zh-CN"/>
              </w:rPr>
              <w:t>的</w:t>
            </w:r>
            <w:r>
              <w:rPr>
                <w:rFonts w:hint="eastAsia" w:ascii="Times New Roman" w:eastAsia="宋体"/>
                <w:bCs/>
                <w:color w:val="auto"/>
                <w:sz w:val="24"/>
                <w:highlight w:val="none"/>
                <w:lang w:val="en-US" w:eastAsia="zh-CN"/>
              </w:rPr>
              <w:t>存储周期。因夏季蔬菜供给量大，不宜长时间存放，故部分白菜采用生腌工艺进行腌制。</w:t>
            </w:r>
          </w:p>
          <w:p w14:paraId="22830AF4">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拣选后的新鲜白菜移入发酵池进行生腌，加适量的食盐进行发酵，发酵过程不加水，常温，发酵时间为一周。</w:t>
            </w:r>
          </w:p>
          <w:p w14:paraId="6BDD8373">
            <w:pPr>
              <w:adjustRightInd w:val="0"/>
              <w:snapToGrid w:val="0"/>
              <w:spacing w:line="360" w:lineRule="auto"/>
              <w:ind w:firstLine="480" w:firstLineChars="200"/>
              <w:jc w:val="left"/>
              <w:rPr>
                <w:rFonts w:hint="eastAsia"/>
                <w:color w:val="auto"/>
                <w:lang w:val="en-US" w:eastAsia="zh-CN"/>
              </w:rPr>
            </w:pPr>
            <w:r>
              <w:rPr>
                <w:rFonts w:hint="eastAsia" w:ascii="Times New Roman" w:eastAsia="宋体"/>
                <w:bCs/>
                <w:color w:val="auto"/>
                <w:sz w:val="24"/>
                <w:highlight w:val="none"/>
                <w:lang w:val="en-US" w:eastAsia="zh-CN"/>
              </w:rPr>
              <w:t>（3）洗菜</w:t>
            </w:r>
          </w:p>
          <w:p w14:paraId="2C520A4A">
            <w:pPr>
              <w:adjustRightInd w:val="0"/>
              <w:snapToGrid w:val="0"/>
              <w:spacing w:line="360" w:lineRule="auto"/>
              <w:ind w:firstLine="480" w:firstLineChars="200"/>
              <w:jc w:val="left"/>
              <w:rPr>
                <w:rFonts w:hint="eastAsia"/>
                <w:bCs/>
                <w:color w:val="auto"/>
                <w:sz w:val="24"/>
                <w:highlight w:val="none"/>
                <w:lang w:val="en-US" w:eastAsia="zh-CN"/>
              </w:rPr>
            </w:pPr>
            <w:r>
              <w:rPr>
                <w:rFonts w:hint="eastAsia"/>
                <w:bCs/>
                <w:color w:val="auto"/>
                <w:sz w:val="24"/>
                <w:highlight w:val="none"/>
                <w:lang w:val="en-US" w:eastAsia="zh-CN"/>
              </w:rPr>
              <w:t>一周后将白菜拿出，对变软后的白菜进行清洗处理。</w:t>
            </w:r>
          </w:p>
          <w:p w14:paraId="5C9E45B3">
            <w:pPr>
              <w:adjustRightInd w:val="0"/>
              <w:snapToGrid w:val="0"/>
              <w:spacing w:line="360" w:lineRule="auto"/>
              <w:ind w:firstLine="480" w:firstLineChars="200"/>
              <w:jc w:val="left"/>
              <w:rPr>
                <w:rFonts w:hint="eastAsia"/>
                <w:bCs/>
                <w:color w:val="auto"/>
                <w:sz w:val="24"/>
                <w:highlight w:val="none"/>
                <w:lang w:val="en-US" w:eastAsia="zh-CN"/>
              </w:rPr>
            </w:pPr>
            <w:r>
              <w:rPr>
                <w:rFonts w:hint="eastAsia"/>
                <w:bCs/>
                <w:color w:val="auto"/>
                <w:sz w:val="24"/>
                <w:highlight w:val="none"/>
                <w:lang w:val="en-US" w:eastAsia="zh-CN"/>
              </w:rPr>
              <w:t>该洗菜废水经2#废水储罐收集后，定期拉运至杭锦旗锡尼镇污水处理厂进行处理，不外排。</w:t>
            </w:r>
          </w:p>
          <w:p w14:paraId="5C143BD5">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（4）二次发酵</w:t>
            </w:r>
          </w:p>
          <w:p w14:paraId="5FD6D0FE">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清洗后白菜沥出水分，放入发酵桶内进行二次发酵。发酵时间从45天至90天不等。每个发酵桶中酸菜全部取出后，均会对其</w:t>
            </w:r>
            <w:r>
              <w:rPr>
                <w:rFonts w:hint="eastAsia"/>
                <w:bCs/>
                <w:color w:val="auto"/>
                <w:sz w:val="24"/>
                <w:highlight w:val="none"/>
                <w:lang w:val="en-US" w:eastAsia="zh-CN"/>
              </w:rPr>
              <w:t>进行</w:t>
            </w:r>
            <w:r>
              <w:rPr>
                <w:rFonts w:hint="eastAsia" w:ascii="Times New Roman" w:eastAsia="宋体"/>
                <w:bCs/>
                <w:color w:val="auto"/>
                <w:sz w:val="24"/>
                <w:highlight w:val="none"/>
                <w:lang w:val="en-US" w:eastAsia="zh-CN"/>
              </w:rPr>
              <w:t>清洗。</w:t>
            </w:r>
          </w:p>
          <w:p w14:paraId="40B98FD3">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二次发酵桶清洗废水经2#</w:t>
            </w:r>
            <w:r>
              <w:rPr>
                <w:rFonts w:hint="eastAsia"/>
                <w:bCs/>
                <w:color w:val="auto"/>
                <w:sz w:val="24"/>
                <w:highlight w:val="none"/>
                <w:lang w:val="en-US" w:eastAsia="zh-CN"/>
              </w:rPr>
              <w:t>废水储罐</w:t>
            </w:r>
            <w:r>
              <w:rPr>
                <w:rFonts w:hint="eastAsia" w:ascii="Times New Roman" w:eastAsia="宋体"/>
                <w:bCs/>
                <w:color w:val="auto"/>
                <w:sz w:val="24"/>
                <w:highlight w:val="none"/>
                <w:lang w:val="en-US" w:eastAsia="zh-CN"/>
              </w:rPr>
              <w:t>收集后，定期拉运至杭锦旗锡尼镇污水处理厂进行处理，不外排。</w:t>
            </w:r>
          </w:p>
          <w:p w14:paraId="73D2773E">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（5）洗酸菜</w:t>
            </w:r>
          </w:p>
          <w:p w14:paraId="2A74EFD6">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将发酵好的酸菜拿出，由人工进行清洗处理，去除多余的盐分。</w:t>
            </w:r>
          </w:p>
          <w:p w14:paraId="2DB28EC5">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洗酸菜废水经2#</w:t>
            </w:r>
            <w:r>
              <w:rPr>
                <w:rFonts w:hint="eastAsia"/>
                <w:bCs/>
                <w:color w:val="auto"/>
                <w:sz w:val="24"/>
                <w:highlight w:val="none"/>
                <w:lang w:val="en-US" w:eastAsia="zh-CN"/>
              </w:rPr>
              <w:t>废水储罐</w:t>
            </w:r>
            <w:r>
              <w:rPr>
                <w:rFonts w:hint="eastAsia" w:ascii="Times New Roman" w:eastAsia="宋体"/>
                <w:bCs/>
                <w:color w:val="auto"/>
                <w:sz w:val="24"/>
                <w:highlight w:val="none"/>
                <w:lang w:val="en-US" w:eastAsia="zh-CN"/>
              </w:rPr>
              <w:t>收集后，定期拉运至杭锦旗锡尼镇污水处理厂进行处理，不外排。</w:t>
            </w:r>
          </w:p>
          <w:p w14:paraId="5334DA28">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（6）切丝</w:t>
            </w:r>
          </w:p>
          <w:p w14:paraId="48DBEEFB">
            <w:pPr>
              <w:adjustRightInd w:val="0"/>
              <w:snapToGrid w:val="0"/>
              <w:spacing w:line="360" w:lineRule="auto"/>
              <w:ind w:firstLine="480" w:firstLineChars="200"/>
              <w:jc w:val="left"/>
              <w:rPr>
                <w:rFonts w:hint="eastAsia"/>
                <w:bCs/>
                <w:color w:val="auto"/>
                <w:sz w:val="24"/>
                <w:highlight w:val="none"/>
                <w:lang w:val="en-US" w:eastAsia="zh-CN"/>
              </w:rPr>
            </w:pPr>
            <w:r>
              <w:rPr>
                <w:rFonts w:hint="eastAsia" w:ascii="Times New Roman" w:eastAsia="宋体"/>
                <w:bCs/>
                <w:color w:val="auto"/>
                <w:sz w:val="24"/>
                <w:highlight w:val="none"/>
                <w:lang w:val="en-US" w:eastAsia="zh-CN"/>
              </w:rPr>
              <w:t>将清洗后的酸菜送至包装车间，使用切丝机对其进行切丝。</w:t>
            </w:r>
          </w:p>
          <w:p w14:paraId="41A2A64A">
            <w:pPr>
              <w:adjustRightInd w:val="0"/>
              <w:snapToGrid w:val="0"/>
              <w:spacing w:line="360" w:lineRule="auto"/>
              <w:ind w:firstLine="480" w:firstLineChars="200"/>
              <w:jc w:val="left"/>
              <w:rPr>
                <w:rFonts w:hint="eastAsia" w:ascii="Times New Roman" w:eastAsia="宋体"/>
                <w:bCs/>
                <w:color w:val="auto"/>
                <w:sz w:val="24"/>
                <w:highlight w:val="none"/>
                <w:lang w:val="en-US" w:eastAsia="zh-CN"/>
              </w:rPr>
            </w:pPr>
            <w:r>
              <w:rPr>
                <w:rFonts w:hint="eastAsia" w:ascii="Times New Roman" w:eastAsia="宋体"/>
                <w:bCs/>
                <w:color w:val="auto"/>
                <w:sz w:val="24"/>
                <w:highlight w:val="none"/>
                <w:lang w:val="en-US" w:eastAsia="zh-CN"/>
              </w:rPr>
              <w:t>（7）包装</w:t>
            </w:r>
          </w:p>
          <w:p w14:paraId="415BFAFD">
            <w:pPr>
              <w:adjustRightInd w:val="0"/>
              <w:snapToGrid w:val="0"/>
              <w:spacing w:line="360" w:lineRule="auto"/>
              <w:ind w:firstLine="480" w:firstLineChars="200"/>
              <w:jc w:val="left"/>
              <w:rPr>
                <w:rFonts w:hint="eastAsia" w:ascii="Times New Roman" w:eastAsia="宋体"/>
                <w:bCs/>
                <w:color w:val="auto"/>
                <w:sz w:val="24"/>
                <w:highlight w:val="none"/>
                <w:lang w:val="en-US" w:eastAsia="zh-CN"/>
              </w:rPr>
            </w:pPr>
            <w:r>
              <w:rPr>
                <w:rFonts w:hint="eastAsia" w:ascii="Times New Roman" w:eastAsia="宋体"/>
                <w:bCs/>
                <w:color w:val="auto"/>
                <w:sz w:val="24"/>
                <w:highlight w:val="none"/>
                <w:lang w:val="en-US" w:eastAsia="zh-CN"/>
              </w:rPr>
              <w:t>酸菜切丝后按照生产要求进行称量、包装、激光打码</w:t>
            </w:r>
            <w:r>
              <w:rPr>
                <w:rFonts w:hint="eastAsia"/>
                <w:bCs/>
                <w:color w:val="auto"/>
                <w:sz w:val="24"/>
                <w:highlight w:val="none"/>
                <w:lang w:val="en-US" w:eastAsia="zh-CN"/>
              </w:rPr>
              <w:t>、</w:t>
            </w:r>
            <w:r>
              <w:rPr>
                <w:rFonts w:hint="eastAsia" w:ascii="Times New Roman" w:eastAsia="宋体"/>
                <w:bCs/>
                <w:color w:val="auto"/>
                <w:sz w:val="24"/>
                <w:highlight w:val="none"/>
                <w:lang w:val="en-US" w:eastAsia="zh-CN"/>
              </w:rPr>
              <w:t>装箱</w:t>
            </w:r>
            <w:r>
              <w:rPr>
                <w:rFonts w:hint="eastAsia"/>
                <w:bCs/>
                <w:color w:val="auto"/>
                <w:sz w:val="24"/>
                <w:highlight w:val="none"/>
                <w:lang w:val="en-US" w:eastAsia="zh-CN"/>
              </w:rPr>
              <w:t>、</w:t>
            </w:r>
            <w:r>
              <w:rPr>
                <w:rFonts w:hint="eastAsia" w:ascii="Times New Roman" w:eastAsia="宋体"/>
                <w:bCs/>
                <w:color w:val="auto"/>
                <w:sz w:val="24"/>
                <w:highlight w:val="none"/>
                <w:lang w:val="en-US" w:eastAsia="zh-CN"/>
              </w:rPr>
              <w:t>入库。</w:t>
            </w:r>
          </w:p>
          <w:p w14:paraId="2274C4F0">
            <w:pPr>
              <w:adjustRightInd w:val="0"/>
              <w:snapToGrid w:val="0"/>
              <w:spacing w:line="360" w:lineRule="auto"/>
              <w:ind w:firstLine="482" w:firstLineChars="200"/>
              <w:jc w:val="left"/>
              <w:rPr>
                <w:rFonts w:hint="eastAsia" w:ascii="Times New Roman" w:eastAsia="宋体"/>
                <w:b/>
                <w:bCs w:val="0"/>
                <w:color w:val="auto"/>
                <w:sz w:val="24"/>
                <w:highlight w:val="none"/>
                <w:lang w:val="en-US" w:eastAsia="zh-CN"/>
              </w:rPr>
            </w:pPr>
            <w:r>
              <w:rPr>
                <w:rFonts w:hint="eastAsia"/>
                <w:b/>
                <w:bCs w:val="0"/>
                <w:color w:val="auto"/>
                <w:sz w:val="24"/>
                <w:highlight w:val="none"/>
                <w:lang w:val="en-US" w:eastAsia="zh-CN"/>
              </w:rPr>
              <w:t>3.污水处理</w:t>
            </w:r>
            <w:r>
              <w:rPr>
                <w:rFonts w:hint="eastAsia" w:ascii="Times New Roman" w:eastAsia="宋体"/>
                <w:b/>
                <w:bCs w:val="0"/>
                <w:color w:val="auto"/>
                <w:sz w:val="24"/>
                <w:highlight w:val="none"/>
                <w:lang w:val="en-US" w:eastAsia="zh-CN"/>
              </w:rPr>
              <w:t>工艺</w:t>
            </w:r>
          </w:p>
          <w:p w14:paraId="3E24EED4">
            <w:pPr>
              <w:adjustRightInd w:val="0"/>
              <w:snapToGrid w:val="0"/>
              <w:spacing w:line="360" w:lineRule="auto"/>
              <w:ind w:firstLine="480" w:firstLineChars="200"/>
              <w:rPr>
                <w:rFonts w:hint="eastAsia" w:ascii="Times New Roman" w:eastAsia="宋体"/>
                <w:bCs/>
                <w:color w:val="auto"/>
                <w:sz w:val="24"/>
                <w:lang w:val="en-US" w:eastAsia="zh-CN"/>
              </w:rPr>
            </w:pPr>
            <w:r>
              <w:rPr>
                <w:rFonts w:hint="eastAsia" w:ascii="Times New Roman" w:eastAsia="宋体"/>
                <w:bCs/>
                <w:color w:val="auto"/>
                <w:sz w:val="24"/>
                <w:lang w:val="en-US" w:eastAsia="zh-CN"/>
              </w:rPr>
              <w:drawing>
                <wp:inline distT="0" distB="0" distL="114300" distR="114300">
                  <wp:extent cx="4652645" cy="2602230"/>
                  <wp:effectExtent l="0" t="0" r="14605" b="7620"/>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1"/>
                          <a:stretch>
                            <a:fillRect/>
                          </a:stretch>
                        </pic:blipFill>
                        <pic:spPr>
                          <a:xfrm>
                            <a:off x="0" y="0"/>
                            <a:ext cx="4652645" cy="2602230"/>
                          </a:xfrm>
                          <a:prstGeom prst="rect">
                            <a:avLst/>
                          </a:prstGeom>
                          <a:noFill/>
                          <a:ln>
                            <a:noFill/>
                          </a:ln>
                        </pic:spPr>
                      </pic:pic>
                    </a:graphicData>
                  </a:graphic>
                </wp:inline>
              </w:drawing>
            </w:r>
          </w:p>
          <w:p w14:paraId="0B9EBB88">
            <w:pPr>
              <w:adjustRightInd w:val="0"/>
              <w:snapToGrid w:val="0"/>
              <w:spacing w:line="360" w:lineRule="auto"/>
              <w:jc w:val="center"/>
              <w:rPr>
                <w:rFonts w:hint="eastAsia" w:ascii="Times New Roman" w:eastAsia="宋体"/>
                <w:b/>
                <w:bCs w:val="0"/>
                <w:color w:val="auto"/>
                <w:sz w:val="24"/>
                <w:lang w:val="en-US" w:eastAsia="zh-CN"/>
              </w:rPr>
            </w:pPr>
            <w:r>
              <w:rPr>
                <w:rFonts w:hint="eastAsia" w:ascii="Times New Roman" w:eastAsia="宋体"/>
                <w:b/>
                <w:bCs w:val="0"/>
                <w:color w:val="auto"/>
                <w:sz w:val="24"/>
                <w:lang w:val="en-US" w:eastAsia="zh-CN"/>
              </w:rPr>
              <w:t>图2-</w:t>
            </w:r>
            <w:r>
              <w:rPr>
                <w:rFonts w:hint="eastAsia"/>
                <w:b/>
                <w:bCs w:val="0"/>
                <w:color w:val="auto"/>
                <w:sz w:val="24"/>
                <w:lang w:val="en-US" w:eastAsia="zh-CN"/>
              </w:rPr>
              <w:t>4</w:t>
            </w:r>
            <w:r>
              <w:rPr>
                <w:rFonts w:hint="eastAsia" w:ascii="Times New Roman" w:eastAsia="宋体"/>
                <w:b/>
                <w:bCs w:val="0"/>
                <w:color w:val="auto"/>
                <w:sz w:val="24"/>
                <w:lang w:val="en-US" w:eastAsia="zh-CN"/>
              </w:rPr>
              <w:t xml:space="preserve"> 生产废水处理工艺流程</w:t>
            </w:r>
          </w:p>
          <w:p w14:paraId="53F21FE6">
            <w:pPr>
              <w:adjustRightInd w:val="0"/>
              <w:snapToGrid w:val="0"/>
              <w:spacing w:line="360" w:lineRule="auto"/>
              <w:ind w:firstLine="480" w:firstLineChars="200"/>
              <w:rPr>
                <w:rFonts w:hint="eastAsia" w:ascii="Times New Roman" w:eastAsia="宋体"/>
                <w:bCs/>
                <w:color w:val="auto"/>
                <w:sz w:val="24"/>
                <w:lang w:val="en-US" w:eastAsia="zh-CN"/>
              </w:rPr>
            </w:pPr>
            <w:r>
              <w:rPr>
                <w:rFonts w:hint="eastAsia" w:ascii="Times New Roman" w:eastAsia="宋体"/>
                <w:bCs/>
                <w:color w:val="auto"/>
                <w:sz w:val="24"/>
                <w:lang w:val="en-US" w:eastAsia="zh-CN"/>
              </w:rPr>
              <w:t>本项目为新建腌酸菜废水污水处理项目</w:t>
            </w:r>
            <w:r>
              <w:rPr>
                <w:rFonts w:hint="eastAsia"/>
                <w:bCs/>
                <w:color w:val="auto"/>
                <w:sz w:val="24"/>
                <w:lang w:val="en-US" w:eastAsia="zh-CN"/>
              </w:rPr>
              <w:t>，</w:t>
            </w:r>
            <w:r>
              <w:rPr>
                <w:rFonts w:hint="eastAsia" w:ascii="Times New Roman" w:eastAsia="宋体"/>
                <w:bCs/>
                <w:color w:val="auto"/>
                <w:sz w:val="24"/>
                <w:lang w:val="en-US" w:eastAsia="zh-CN"/>
              </w:rPr>
              <w:t>生产</w:t>
            </w:r>
            <w:r>
              <w:rPr>
                <w:rFonts w:hint="eastAsia"/>
                <w:bCs/>
                <w:color w:val="auto"/>
                <w:sz w:val="24"/>
                <w:lang w:val="en-US" w:eastAsia="zh-CN"/>
              </w:rPr>
              <w:t>废水</w:t>
            </w:r>
            <w:r>
              <w:rPr>
                <w:rFonts w:hint="eastAsia" w:ascii="Times New Roman" w:eastAsia="宋体"/>
                <w:bCs/>
                <w:color w:val="auto"/>
                <w:sz w:val="24"/>
                <w:lang w:val="en-US" w:eastAsia="zh-CN"/>
              </w:rPr>
              <w:t>主要是</w:t>
            </w:r>
            <w:r>
              <w:rPr>
                <w:rFonts w:hint="eastAsia"/>
                <w:bCs/>
                <w:color w:val="auto"/>
                <w:sz w:val="24"/>
                <w:lang w:val="en-US" w:eastAsia="zh-CN"/>
              </w:rPr>
              <w:t>新鲜蔬菜</w:t>
            </w:r>
            <w:r>
              <w:rPr>
                <w:rFonts w:hint="eastAsia" w:ascii="Times New Roman" w:eastAsia="宋体"/>
                <w:bCs/>
                <w:color w:val="auto"/>
                <w:sz w:val="24"/>
                <w:lang w:val="en-US" w:eastAsia="zh-CN"/>
              </w:rPr>
              <w:t>漂烫清洗废水、设备清洗废水、地面清洗废水、酸菜清洗废水</w:t>
            </w:r>
            <w:r>
              <w:rPr>
                <w:rFonts w:hint="eastAsia"/>
                <w:bCs/>
                <w:color w:val="auto"/>
                <w:sz w:val="24"/>
                <w:lang w:val="en-US" w:eastAsia="zh-CN"/>
              </w:rPr>
              <w:t>及酸菜发酵废水</w:t>
            </w:r>
            <w:r>
              <w:rPr>
                <w:rFonts w:hint="eastAsia" w:ascii="Times New Roman" w:eastAsia="宋体"/>
                <w:bCs/>
                <w:color w:val="auto"/>
                <w:sz w:val="24"/>
                <w:lang w:val="en-US" w:eastAsia="zh-CN"/>
              </w:rPr>
              <w:t>。</w:t>
            </w:r>
          </w:p>
          <w:p w14:paraId="2953EA16">
            <w:pPr>
              <w:adjustRightInd w:val="0"/>
              <w:snapToGrid w:val="0"/>
              <w:spacing w:line="360" w:lineRule="auto"/>
              <w:ind w:firstLine="480" w:firstLineChars="200"/>
              <w:rPr>
                <w:rFonts w:hint="default"/>
                <w:bCs/>
                <w:color w:val="auto"/>
                <w:sz w:val="24"/>
                <w:lang w:val="en-US"/>
              </w:rPr>
            </w:pPr>
            <w:r>
              <w:rPr>
                <w:rFonts w:hint="eastAsia" w:ascii="Times New Roman" w:eastAsia="宋体"/>
                <w:bCs/>
                <w:color w:val="auto"/>
                <w:sz w:val="24"/>
                <w:lang w:val="en-US" w:eastAsia="zh-CN"/>
              </w:rPr>
              <w:t>新鲜</w:t>
            </w:r>
            <w:r>
              <w:rPr>
                <w:rFonts w:hint="eastAsia"/>
                <w:bCs/>
                <w:color w:val="auto"/>
                <w:sz w:val="24"/>
                <w:lang w:val="en-US" w:eastAsia="zh-CN"/>
              </w:rPr>
              <w:t>蔬</w:t>
            </w:r>
            <w:r>
              <w:rPr>
                <w:rFonts w:hint="eastAsia" w:ascii="Times New Roman" w:eastAsia="宋体"/>
                <w:bCs/>
                <w:color w:val="auto"/>
                <w:sz w:val="24"/>
                <w:lang w:val="en-US" w:eastAsia="zh-CN"/>
              </w:rPr>
              <w:t>菜漂烫清洗废水主要含少量悬浮物，且仅在6-8月份产生，经1#废水储罐收集冷却后，拉运至周边农田，用于农田灌溉。</w:t>
            </w:r>
          </w:p>
          <w:p w14:paraId="09B13ED5">
            <w:pPr>
              <w:adjustRightInd w:val="0"/>
              <w:snapToGrid w:val="0"/>
              <w:spacing w:line="360" w:lineRule="auto"/>
              <w:ind w:firstLine="480" w:firstLineChars="200"/>
              <w:rPr>
                <w:rFonts w:hint="eastAsia"/>
                <w:bCs/>
                <w:color w:val="auto"/>
                <w:sz w:val="24"/>
                <w:lang w:val="en-US" w:eastAsia="zh-CN"/>
              </w:rPr>
            </w:pPr>
            <w:r>
              <w:rPr>
                <w:rFonts w:hint="eastAsia" w:ascii="Times New Roman" w:eastAsia="宋体"/>
                <w:bCs/>
                <w:color w:val="auto"/>
                <w:sz w:val="24"/>
                <w:lang w:val="en-US" w:eastAsia="zh-CN"/>
              </w:rPr>
              <w:t>设备清洗废水</w:t>
            </w:r>
            <w:r>
              <w:rPr>
                <w:rFonts w:hint="eastAsia"/>
                <w:bCs/>
                <w:color w:val="auto"/>
                <w:sz w:val="24"/>
                <w:lang w:eastAsia="zh-CN"/>
              </w:rPr>
              <w:t>、</w:t>
            </w:r>
            <w:r>
              <w:rPr>
                <w:rFonts w:hint="eastAsia" w:ascii="Times New Roman" w:eastAsia="宋体"/>
                <w:bCs/>
                <w:color w:val="auto"/>
                <w:sz w:val="24"/>
                <w:lang w:val="en-US" w:eastAsia="zh-CN"/>
              </w:rPr>
              <w:t>地面清洗废水</w:t>
            </w:r>
            <w:r>
              <w:rPr>
                <w:rFonts w:hint="eastAsia"/>
                <w:bCs/>
                <w:color w:val="auto"/>
                <w:sz w:val="24"/>
                <w:lang w:val="en-US" w:eastAsia="zh-CN"/>
              </w:rPr>
              <w:t>、</w:t>
            </w:r>
            <w:r>
              <w:rPr>
                <w:rFonts w:hint="eastAsia" w:ascii="Times New Roman" w:eastAsia="宋体"/>
                <w:bCs/>
                <w:color w:val="auto"/>
                <w:sz w:val="24"/>
                <w:lang w:val="en-US" w:eastAsia="zh-CN"/>
              </w:rPr>
              <w:t>酸菜清洗</w:t>
            </w:r>
            <w:r>
              <w:rPr>
                <w:rFonts w:hint="eastAsia" w:ascii="Times New Roman" w:eastAsia="宋体"/>
                <w:b w:val="0"/>
                <w:bCs/>
                <w:color w:val="auto"/>
                <w:sz w:val="24"/>
                <w:lang w:val="en-US" w:eastAsia="zh-CN"/>
              </w:rPr>
              <w:t>废水</w:t>
            </w:r>
            <w:r>
              <w:rPr>
                <w:rFonts w:hint="eastAsia"/>
                <w:b w:val="0"/>
                <w:bCs/>
                <w:color w:val="auto"/>
                <w:sz w:val="24"/>
                <w:lang w:val="en-US" w:eastAsia="zh-CN"/>
              </w:rPr>
              <w:t>统一</w:t>
            </w:r>
            <w:r>
              <w:rPr>
                <w:rFonts w:hint="eastAsia" w:ascii="Times New Roman" w:eastAsia="宋体"/>
                <w:bCs/>
                <w:color w:val="auto"/>
                <w:sz w:val="24"/>
                <w:lang w:val="en-US" w:eastAsia="zh-CN"/>
              </w:rPr>
              <w:t>收集至2#废水储罐，定期拉运至杭锦旗锡尼镇污水处理厂进行处理，不外排。</w:t>
            </w:r>
          </w:p>
          <w:p w14:paraId="60C627B7">
            <w:pPr>
              <w:adjustRightInd w:val="0"/>
              <w:snapToGrid w:val="0"/>
              <w:spacing w:line="360" w:lineRule="auto"/>
              <w:ind w:firstLine="480" w:firstLineChars="200"/>
              <w:rPr>
                <w:rFonts w:hint="eastAsia" w:ascii="Times New Roman" w:eastAsia="宋体"/>
                <w:bCs/>
                <w:color w:val="auto"/>
                <w:sz w:val="24"/>
                <w:lang w:val="en-US" w:eastAsia="zh-CN"/>
              </w:rPr>
            </w:pPr>
            <w:r>
              <w:rPr>
                <w:rFonts w:hint="eastAsia" w:ascii="Times New Roman" w:eastAsia="宋体"/>
                <w:bCs/>
                <w:color w:val="auto"/>
                <w:sz w:val="24"/>
                <w:lang w:val="en-US" w:eastAsia="zh-CN"/>
              </w:rPr>
              <w:t>发酵池开池后，将酸菜发酵废水收集至3#废水储罐，定期拉运至蒙苏经济开发区零碳产业园工业污水处理厂处理，不外排。</w:t>
            </w:r>
          </w:p>
          <w:p w14:paraId="119AE48F">
            <w:pPr>
              <w:adjustRightInd w:val="0"/>
              <w:snapToGrid w:val="0"/>
              <w:spacing w:line="360" w:lineRule="auto"/>
              <w:rPr>
                <w:b/>
                <w:bCs/>
                <w:color w:val="auto"/>
                <w:sz w:val="24"/>
              </w:rPr>
            </w:pPr>
            <w:r>
              <w:rPr>
                <w:b/>
                <w:bCs/>
                <w:color w:val="auto"/>
                <w:sz w:val="24"/>
              </w:rPr>
              <w:t>主要污染工序</w:t>
            </w:r>
          </w:p>
          <w:p w14:paraId="7E3EFD5D">
            <w:pPr>
              <w:adjustRightInd w:val="0"/>
              <w:snapToGrid w:val="0"/>
              <w:spacing w:line="360" w:lineRule="auto"/>
              <w:ind w:firstLine="482" w:firstLineChars="200"/>
              <w:rPr>
                <w:b/>
                <w:bCs/>
                <w:color w:val="auto"/>
                <w:sz w:val="24"/>
              </w:rPr>
            </w:pPr>
            <w:r>
              <w:rPr>
                <w:b/>
                <w:bCs/>
                <w:color w:val="auto"/>
                <w:sz w:val="24"/>
              </w:rPr>
              <w:t>1.施工期主要污染工序</w:t>
            </w:r>
          </w:p>
          <w:p w14:paraId="518ADA8F">
            <w:pPr>
              <w:adjustRightInd w:val="0"/>
              <w:snapToGrid w:val="0"/>
              <w:spacing w:line="360" w:lineRule="auto"/>
              <w:ind w:firstLine="480" w:firstLineChars="200"/>
              <w:rPr>
                <w:bCs/>
                <w:color w:val="auto"/>
                <w:sz w:val="24"/>
              </w:rPr>
            </w:pPr>
            <w:r>
              <w:rPr>
                <w:rFonts w:hint="eastAsia"/>
                <w:bCs/>
                <w:color w:val="auto"/>
                <w:sz w:val="24"/>
              </w:rPr>
              <w:t>（</w:t>
            </w:r>
            <w:r>
              <w:rPr>
                <w:bCs/>
                <w:color w:val="auto"/>
                <w:sz w:val="24"/>
              </w:rPr>
              <w:t>1</w:t>
            </w:r>
            <w:r>
              <w:rPr>
                <w:rFonts w:hint="eastAsia"/>
                <w:bCs/>
                <w:color w:val="auto"/>
                <w:sz w:val="24"/>
              </w:rPr>
              <w:t>）</w:t>
            </w:r>
            <w:r>
              <w:rPr>
                <w:bCs/>
                <w:color w:val="auto"/>
                <w:sz w:val="24"/>
              </w:rPr>
              <w:t>废气：主要为扬尘以及施工机械、运输车辆</w:t>
            </w:r>
            <w:r>
              <w:rPr>
                <w:rFonts w:hint="eastAsia"/>
                <w:bCs/>
                <w:color w:val="auto"/>
                <w:sz w:val="24"/>
                <w:lang w:eastAsia="zh-CN"/>
              </w:rPr>
              <w:t>的</w:t>
            </w:r>
            <w:r>
              <w:rPr>
                <w:bCs/>
                <w:color w:val="auto"/>
                <w:sz w:val="24"/>
              </w:rPr>
              <w:t>废气。</w:t>
            </w:r>
          </w:p>
          <w:p w14:paraId="56EF90DD">
            <w:pPr>
              <w:adjustRightInd w:val="0"/>
              <w:snapToGrid w:val="0"/>
              <w:spacing w:line="360" w:lineRule="auto"/>
              <w:ind w:firstLine="480" w:firstLineChars="200"/>
              <w:rPr>
                <w:bCs/>
                <w:color w:val="auto"/>
                <w:sz w:val="24"/>
              </w:rPr>
            </w:pPr>
            <w:r>
              <w:rPr>
                <w:rFonts w:hint="eastAsia"/>
                <w:bCs/>
                <w:color w:val="auto"/>
                <w:sz w:val="24"/>
              </w:rPr>
              <w:t>（</w:t>
            </w:r>
            <w:r>
              <w:rPr>
                <w:bCs/>
                <w:color w:val="auto"/>
                <w:sz w:val="24"/>
              </w:rPr>
              <w:t>2</w:t>
            </w:r>
            <w:r>
              <w:rPr>
                <w:rFonts w:hint="eastAsia"/>
                <w:bCs/>
                <w:color w:val="auto"/>
                <w:sz w:val="24"/>
              </w:rPr>
              <w:t>）</w:t>
            </w:r>
            <w:r>
              <w:rPr>
                <w:bCs/>
                <w:color w:val="auto"/>
                <w:sz w:val="24"/>
              </w:rPr>
              <w:t>废水：主要为施工人员生活污水和施工废水。</w:t>
            </w:r>
          </w:p>
          <w:p w14:paraId="3F956439">
            <w:pPr>
              <w:adjustRightInd w:val="0"/>
              <w:snapToGrid w:val="0"/>
              <w:spacing w:line="360" w:lineRule="auto"/>
              <w:ind w:firstLine="480" w:firstLineChars="200"/>
              <w:rPr>
                <w:bCs/>
                <w:color w:val="auto"/>
                <w:sz w:val="24"/>
              </w:rPr>
            </w:pPr>
            <w:r>
              <w:rPr>
                <w:rFonts w:hint="eastAsia"/>
                <w:bCs/>
                <w:color w:val="auto"/>
                <w:sz w:val="24"/>
              </w:rPr>
              <w:t>（</w:t>
            </w:r>
            <w:r>
              <w:rPr>
                <w:bCs/>
                <w:color w:val="auto"/>
                <w:sz w:val="24"/>
              </w:rPr>
              <w:t>3</w:t>
            </w:r>
            <w:r>
              <w:rPr>
                <w:rFonts w:hint="eastAsia"/>
                <w:bCs/>
                <w:color w:val="auto"/>
                <w:sz w:val="24"/>
              </w:rPr>
              <w:t>）</w:t>
            </w:r>
            <w:r>
              <w:rPr>
                <w:bCs/>
                <w:color w:val="auto"/>
                <w:sz w:val="24"/>
              </w:rPr>
              <w:t>噪声：主要为施工过程中作业机械运行时产生的噪声。</w:t>
            </w:r>
          </w:p>
          <w:p w14:paraId="6132B4CC">
            <w:pPr>
              <w:adjustRightInd w:val="0"/>
              <w:snapToGrid w:val="0"/>
              <w:spacing w:line="360" w:lineRule="auto"/>
              <w:ind w:firstLine="480" w:firstLineChars="200"/>
              <w:rPr>
                <w:bCs/>
                <w:color w:val="auto"/>
                <w:sz w:val="24"/>
              </w:rPr>
            </w:pPr>
            <w:r>
              <w:rPr>
                <w:rFonts w:hint="eastAsia"/>
                <w:bCs/>
                <w:color w:val="auto"/>
                <w:sz w:val="24"/>
              </w:rPr>
              <w:t>（</w:t>
            </w:r>
            <w:r>
              <w:rPr>
                <w:bCs/>
                <w:color w:val="auto"/>
                <w:sz w:val="24"/>
              </w:rPr>
              <w:t>4</w:t>
            </w:r>
            <w:r>
              <w:rPr>
                <w:rFonts w:hint="eastAsia"/>
                <w:bCs/>
                <w:color w:val="auto"/>
                <w:sz w:val="24"/>
              </w:rPr>
              <w:t>）</w:t>
            </w:r>
            <w:r>
              <w:rPr>
                <w:bCs/>
                <w:color w:val="auto"/>
                <w:sz w:val="24"/>
              </w:rPr>
              <w:t>固体废物：主要为建筑垃圾和施工人员生活垃圾。</w:t>
            </w:r>
          </w:p>
          <w:p w14:paraId="714EEAFF">
            <w:pPr>
              <w:adjustRightInd w:val="0"/>
              <w:snapToGrid w:val="0"/>
              <w:spacing w:line="360" w:lineRule="auto"/>
              <w:ind w:firstLine="482" w:firstLineChars="200"/>
              <w:rPr>
                <w:b/>
                <w:bCs/>
                <w:color w:val="auto"/>
                <w:sz w:val="24"/>
              </w:rPr>
            </w:pPr>
            <w:r>
              <w:rPr>
                <w:b/>
                <w:bCs/>
                <w:color w:val="auto"/>
                <w:sz w:val="24"/>
              </w:rPr>
              <w:t>2.运营期主要污染工序</w:t>
            </w:r>
          </w:p>
          <w:p w14:paraId="7B9A2042">
            <w:pPr>
              <w:adjustRightInd w:val="0"/>
              <w:snapToGrid w:val="0"/>
              <w:spacing w:line="360" w:lineRule="auto"/>
              <w:ind w:firstLine="480" w:firstLineChars="200"/>
              <w:rPr>
                <w:bCs/>
                <w:color w:val="auto"/>
                <w:sz w:val="24"/>
                <w:highlight w:val="none"/>
              </w:rPr>
            </w:pPr>
            <w:r>
              <w:rPr>
                <w:rFonts w:hint="eastAsia"/>
                <w:bCs/>
                <w:color w:val="auto"/>
                <w:sz w:val="24"/>
                <w:highlight w:val="none"/>
              </w:rPr>
              <w:t>（</w:t>
            </w:r>
            <w:r>
              <w:rPr>
                <w:bCs/>
                <w:color w:val="auto"/>
                <w:sz w:val="24"/>
                <w:highlight w:val="none"/>
              </w:rPr>
              <w:t>1</w:t>
            </w:r>
            <w:r>
              <w:rPr>
                <w:rFonts w:hint="eastAsia"/>
                <w:bCs/>
                <w:color w:val="auto"/>
                <w:sz w:val="24"/>
                <w:highlight w:val="none"/>
              </w:rPr>
              <w:t>）</w:t>
            </w:r>
            <w:r>
              <w:rPr>
                <w:bCs/>
                <w:color w:val="auto"/>
                <w:sz w:val="24"/>
                <w:highlight w:val="none"/>
              </w:rPr>
              <w:t>废气：主要</w:t>
            </w:r>
            <w:r>
              <w:rPr>
                <w:rFonts w:hint="eastAsia"/>
                <w:bCs/>
                <w:color w:val="auto"/>
                <w:sz w:val="24"/>
                <w:highlight w:val="none"/>
              </w:rPr>
              <w:t>为</w:t>
            </w:r>
            <w:r>
              <w:rPr>
                <w:rFonts w:hint="eastAsia"/>
                <w:bCs/>
                <w:color w:val="auto"/>
                <w:sz w:val="24"/>
                <w:highlight w:val="none"/>
                <w:lang w:val="en-US" w:eastAsia="zh-CN"/>
              </w:rPr>
              <w:t>发酵异味</w:t>
            </w:r>
            <w:r>
              <w:rPr>
                <w:bCs/>
                <w:color w:val="auto"/>
                <w:sz w:val="24"/>
                <w:highlight w:val="none"/>
              </w:rPr>
              <w:t>。</w:t>
            </w:r>
          </w:p>
          <w:p w14:paraId="62D48C45">
            <w:pPr>
              <w:adjustRightInd w:val="0"/>
              <w:snapToGrid w:val="0"/>
              <w:spacing w:line="360" w:lineRule="auto"/>
              <w:ind w:firstLine="480" w:firstLineChars="200"/>
              <w:rPr>
                <w:bCs/>
                <w:color w:val="auto"/>
                <w:sz w:val="24"/>
                <w:highlight w:val="none"/>
              </w:rPr>
            </w:pPr>
            <w:r>
              <w:rPr>
                <w:rFonts w:hint="eastAsia"/>
                <w:bCs/>
                <w:color w:val="auto"/>
                <w:sz w:val="24"/>
                <w:highlight w:val="none"/>
              </w:rPr>
              <w:t>（</w:t>
            </w:r>
            <w:r>
              <w:rPr>
                <w:bCs/>
                <w:color w:val="auto"/>
                <w:sz w:val="24"/>
                <w:highlight w:val="none"/>
              </w:rPr>
              <w:t>2</w:t>
            </w:r>
            <w:r>
              <w:rPr>
                <w:rFonts w:hint="eastAsia"/>
                <w:bCs/>
                <w:color w:val="auto"/>
                <w:sz w:val="24"/>
                <w:highlight w:val="none"/>
              </w:rPr>
              <w:t>）</w:t>
            </w:r>
            <w:r>
              <w:rPr>
                <w:bCs/>
                <w:color w:val="auto"/>
                <w:sz w:val="24"/>
                <w:highlight w:val="none"/>
              </w:rPr>
              <w:t>废水：主要为</w:t>
            </w:r>
            <w:r>
              <w:rPr>
                <w:rFonts w:hint="eastAsia"/>
                <w:bCs/>
                <w:color w:val="auto"/>
                <w:sz w:val="24"/>
                <w:highlight w:val="none"/>
              </w:rPr>
              <w:t>生产废水和</w:t>
            </w:r>
            <w:r>
              <w:rPr>
                <w:bCs/>
                <w:color w:val="auto"/>
                <w:sz w:val="24"/>
                <w:highlight w:val="none"/>
              </w:rPr>
              <w:t>生活污水。</w:t>
            </w:r>
          </w:p>
          <w:p w14:paraId="0F161C7E">
            <w:pPr>
              <w:adjustRightInd w:val="0"/>
              <w:snapToGrid w:val="0"/>
              <w:spacing w:line="360" w:lineRule="auto"/>
              <w:ind w:firstLine="480" w:firstLineChars="200"/>
              <w:rPr>
                <w:bCs/>
                <w:color w:val="auto"/>
                <w:sz w:val="24"/>
                <w:highlight w:val="none"/>
              </w:rPr>
            </w:pPr>
            <w:r>
              <w:rPr>
                <w:rFonts w:hint="eastAsia"/>
                <w:bCs/>
                <w:color w:val="auto"/>
                <w:sz w:val="24"/>
                <w:highlight w:val="none"/>
              </w:rPr>
              <w:t>（</w:t>
            </w:r>
            <w:r>
              <w:rPr>
                <w:bCs/>
                <w:color w:val="auto"/>
                <w:sz w:val="24"/>
                <w:highlight w:val="none"/>
              </w:rPr>
              <w:t>3</w:t>
            </w:r>
            <w:r>
              <w:rPr>
                <w:rFonts w:hint="eastAsia"/>
                <w:bCs/>
                <w:color w:val="auto"/>
                <w:sz w:val="24"/>
                <w:highlight w:val="none"/>
              </w:rPr>
              <w:t>）</w:t>
            </w:r>
            <w:r>
              <w:rPr>
                <w:bCs/>
                <w:color w:val="auto"/>
                <w:sz w:val="24"/>
                <w:highlight w:val="none"/>
              </w:rPr>
              <w:t>噪声：主要为</w:t>
            </w:r>
            <w:r>
              <w:rPr>
                <w:rFonts w:hint="eastAsia"/>
                <w:bCs/>
                <w:color w:val="auto"/>
                <w:sz w:val="24"/>
                <w:highlight w:val="none"/>
                <w:lang w:val="en-US" w:eastAsia="zh-CN"/>
              </w:rPr>
              <w:t>生产</w:t>
            </w:r>
            <w:r>
              <w:rPr>
                <w:bCs/>
                <w:color w:val="auto"/>
                <w:sz w:val="24"/>
                <w:highlight w:val="none"/>
              </w:rPr>
              <w:t>设备运转过程中产生的噪声。</w:t>
            </w:r>
          </w:p>
          <w:p w14:paraId="5E4FD70D">
            <w:pPr>
              <w:adjustRightInd w:val="0"/>
              <w:snapToGrid w:val="0"/>
              <w:spacing w:line="360" w:lineRule="auto"/>
              <w:ind w:firstLine="480" w:firstLineChars="200"/>
              <w:rPr>
                <w:bCs/>
                <w:color w:val="auto"/>
                <w:sz w:val="24"/>
              </w:rPr>
            </w:pPr>
            <w:r>
              <w:rPr>
                <w:rFonts w:hint="eastAsia"/>
                <w:bCs/>
                <w:color w:val="auto"/>
                <w:sz w:val="24"/>
                <w:highlight w:val="none"/>
              </w:rPr>
              <w:t>（</w:t>
            </w:r>
            <w:r>
              <w:rPr>
                <w:bCs/>
                <w:color w:val="auto"/>
                <w:sz w:val="24"/>
                <w:highlight w:val="none"/>
              </w:rPr>
              <w:t>4</w:t>
            </w:r>
            <w:r>
              <w:rPr>
                <w:rFonts w:hint="eastAsia"/>
                <w:bCs/>
                <w:color w:val="auto"/>
                <w:sz w:val="24"/>
                <w:highlight w:val="none"/>
              </w:rPr>
              <w:t>）</w:t>
            </w:r>
            <w:r>
              <w:rPr>
                <w:bCs/>
                <w:color w:val="auto"/>
                <w:sz w:val="24"/>
                <w:highlight w:val="none"/>
              </w:rPr>
              <w:t>固体废物：主要为生活垃圾</w:t>
            </w:r>
            <w:r>
              <w:rPr>
                <w:rFonts w:hint="eastAsia"/>
                <w:bCs/>
                <w:color w:val="auto"/>
                <w:sz w:val="24"/>
                <w:highlight w:val="none"/>
                <w:lang w:eastAsia="zh-CN"/>
              </w:rPr>
              <w:t>、</w:t>
            </w:r>
            <w:r>
              <w:rPr>
                <w:rFonts w:hint="eastAsia"/>
                <w:bCs/>
                <w:color w:val="auto"/>
                <w:sz w:val="24"/>
                <w:highlight w:val="none"/>
                <w:lang w:val="en-US" w:eastAsia="zh-CN"/>
              </w:rPr>
              <w:t>废菜渣、废包装材料</w:t>
            </w:r>
            <w:r>
              <w:rPr>
                <w:bCs/>
                <w:color w:val="auto"/>
                <w:sz w:val="24"/>
                <w:highlight w:val="none"/>
              </w:rPr>
              <w:t>等。</w:t>
            </w:r>
          </w:p>
        </w:tc>
      </w:tr>
      <w:tr w14:paraId="0706A4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9" w:hRule="atLeast"/>
          <w:jc w:val="center"/>
        </w:trPr>
        <w:tc>
          <w:tcPr>
            <w:tcW w:w="239" w:type="pct"/>
            <w:vAlign w:val="center"/>
          </w:tcPr>
          <w:p w14:paraId="0CE9E64F">
            <w:pPr>
              <w:pStyle w:val="14"/>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bCs/>
                <w:color w:val="auto"/>
                <w:kern w:val="2"/>
                <w:sz w:val="21"/>
                <w:szCs w:val="21"/>
              </w:rPr>
              <w:t>与项目有关的原有环境污染问题</w:t>
            </w:r>
          </w:p>
        </w:tc>
        <w:tc>
          <w:tcPr>
            <w:tcW w:w="4760" w:type="pct"/>
            <w:vAlign w:val="center"/>
          </w:tcPr>
          <w:p w14:paraId="7B1314D0">
            <w:pPr>
              <w:spacing w:line="360" w:lineRule="auto"/>
              <w:ind w:firstLine="480" w:firstLineChars="200"/>
              <w:rPr>
                <w:rFonts w:hint="default"/>
                <w:color w:val="auto"/>
                <w:kern w:val="0"/>
                <w:sz w:val="24"/>
                <w:lang w:val="en-US" w:eastAsia="zh-CN"/>
              </w:rPr>
            </w:pPr>
            <w:r>
              <w:rPr>
                <w:rFonts w:hint="eastAsia"/>
                <w:color w:val="auto"/>
                <w:kern w:val="0"/>
                <w:sz w:val="24"/>
                <w:lang w:val="en-US" w:eastAsia="zh-CN"/>
              </w:rPr>
              <w:t>1.原有环境污染问题</w:t>
            </w:r>
          </w:p>
          <w:p w14:paraId="67910380">
            <w:pPr>
              <w:spacing w:line="360" w:lineRule="auto"/>
              <w:ind w:firstLine="480" w:firstLineChars="200"/>
              <w:rPr>
                <w:rFonts w:hint="default"/>
                <w:color w:val="auto"/>
                <w:kern w:val="0"/>
                <w:sz w:val="24"/>
                <w:lang w:val="en-US" w:eastAsia="zh-CN"/>
              </w:rPr>
            </w:pPr>
            <w:r>
              <w:rPr>
                <w:rFonts w:hint="eastAsia"/>
                <w:color w:val="auto"/>
                <w:kern w:val="0"/>
                <w:sz w:val="24"/>
                <w:lang w:val="en-US" w:eastAsia="zh-CN"/>
              </w:rPr>
              <w:t>本项目酱腌菜加工厂已于2012年建成并运行，因清洗酸菜废水和酸菜发酵废水含盐分较高，直接排放会导致周边农田盐碱化。同时，新鲜蔬菜漂烫清洗废水直接外排周边农田，也存在环境问题。</w:t>
            </w:r>
          </w:p>
          <w:p w14:paraId="02B4BB41">
            <w:pPr>
              <w:spacing w:line="360" w:lineRule="auto"/>
              <w:ind w:firstLine="480" w:firstLineChars="200"/>
              <w:rPr>
                <w:rFonts w:hint="default"/>
                <w:color w:val="auto"/>
                <w:kern w:val="0"/>
                <w:sz w:val="24"/>
                <w:lang w:val="en-US" w:eastAsia="zh-CN"/>
              </w:rPr>
            </w:pPr>
            <w:r>
              <w:rPr>
                <w:rFonts w:hint="eastAsia"/>
                <w:color w:val="auto"/>
                <w:kern w:val="0"/>
                <w:sz w:val="24"/>
                <w:lang w:val="en-US" w:eastAsia="zh-CN"/>
              </w:rPr>
              <w:t>2.污染防治措施</w:t>
            </w:r>
          </w:p>
          <w:p w14:paraId="39044FF5">
            <w:pPr>
              <w:spacing w:line="360" w:lineRule="auto"/>
              <w:ind w:firstLine="480" w:firstLineChars="200"/>
              <w:rPr>
                <w:rFonts w:hint="default" w:eastAsia="宋体"/>
                <w:color w:val="auto"/>
                <w:kern w:val="0"/>
                <w:sz w:val="24"/>
                <w:lang w:val="en-US" w:eastAsia="zh-CN"/>
              </w:rPr>
            </w:pPr>
            <w:r>
              <w:rPr>
                <w:rFonts w:hint="eastAsia"/>
                <w:color w:val="auto"/>
                <w:kern w:val="0"/>
                <w:sz w:val="24"/>
                <w:lang w:val="en-US" w:eastAsia="zh-CN"/>
              </w:rPr>
              <w:t>本次主要埋设废水储罐设施1套，设置废水储罐3个，容积均为30</w:t>
            </w:r>
            <w:r>
              <w:rPr>
                <w:rFonts w:hint="eastAsia"/>
                <w:color w:val="auto"/>
                <w:kern w:val="0"/>
                <w:sz w:val="24"/>
                <w:vertAlign w:val="baseline"/>
                <w:lang w:val="en-US" w:eastAsia="zh-CN"/>
              </w:rPr>
              <w:t>m</w:t>
            </w:r>
            <w:r>
              <w:rPr>
                <w:rFonts w:hint="eastAsia"/>
                <w:color w:val="auto"/>
                <w:kern w:val="0"/>
                <w:sz w:val="24"/>
                <w:vertAlign w:val="superscript"/>
                <w:lang w:val="en-US" w:eastAsia="zh-CN"/>
              </w:rPr>
              <w:t>3</w:t>
            </w:r>
            <w:r>
              <w:rPr>
                <w:rFonts w:hint="eastAsia"/>
                <w:color w:val="auto"/>
                <w:kern w:val="0"/>
                <w:sz w:val="24"/>
                <w:lang w:val="en-US" w:eastAsia="zh-CN"/>
              </w:rPr>
              <w:t>。其中，新鲜蔬菜漂烫清洗废水经1#废水储罐收集冷却后，拉运至周边农田，用于农田灌溉；酸菜清洗废水经2#废水储罐收集后，定期拉运至杭锦旗锡尼镇污水处理厂进行处理，不外排；酸菜发酵废水经3#废水储罐收集后，定期拉运至蒙苏经济开发区零碳产业园工业污水处理厂处理，不外排。</w:t>
            </w:r>
          </w:p>
        </w:tc>
      </w:tr>
    </w:tbl>
    <w:p w14:paraId="47CAC035">
      <w:pPr>
        <w:pStyle w:val="14"/>
        <w:jc w:val="center"/>
        <w:rPr>
          <w:rFonts w:ascii="Times New Roman" w:hAnsi="Times New Roman" w:eastAsia="黑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D775470">
      <w:pPr>
        <w:pStyle w:val="14"/>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三、区域环境质量现状、环境保护目标及评价标准</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8527"/>
      </w:tblGrid>
      <w:tr w14:paraId="65B971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4" w:hRule="atLeast"/>
          <w:jc w:val="center"/>
        </w:trPr>
        <w:tc>
          <w:tcPr>
            <w:tcW w:w="534" w:type="dxa"/>
            <w:vAlign w:val="center"/>
          </w:tcPr>
          <w:p w14:paraId="3B6DE4C4">
            <w:pPr>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区域环境质量现状</w:t>
            </w:r>
          </w:p>
        </w:tc>
        <w:tc>
          <w:tcPr>
            <w:tcW w:w="8527" w:type="dxa"/>
            <w:vAlign w:val="top"/>
          </w:tcPr>
          <w:p w14:paraId="01EE0122">
            <w:pPr>
              <w:autoSpaceDE w:val="0"/>
              <w:autoSpaceDN w:val="0"/>
              <w:spacing w:line="360" w:lineRule="auto"/>
              <w:ind w:firstLine="482" w:firstLineChars="200"/>
              <w:jc w:val="left"/>
              <w:rPr>
                <w:rFonts w:hint="default" w:ascii="Times New Roman" w:hAnsi="Times New Roman" w:cs="Times New Roman"/>
                <w:b/>
                <w:color w:val="auto"/>
                <w:kern w:val="0"/>
                <w:sz w:val="24"/>
              </w:rPr>
            </w:pPr>
            <w:r>
              <w:rPr>
                <w:rFonts w:hint="default" w:ascii="Times New Roman" w:hAnsi="Times New Roman" w:cs="Times New Roman"/>
                <w:b/>
                <w:color w:val="auto"/>
                <w:kern w:val="0"/>
                <w:sz w:val="24"/>
              </w:rPr>
              <w:t>1.环境空气质量现状监测与评价</w:t>
            </w:r>
          </w:p>
          <w:p w14:paraId="22AE253C">
            <w:pPr>
              <w:spacing w:line="360" w:lineRule="auto"/>
              <w:ind w:firstLine="480" w:firstLineChars="200"/>
              <w:jc w:val="left"/>
              <w:rPr>
                <w:rFonts w:hint="default" w:ascii="Times New Roman" w:hAnsi="Times New Roman" w:cs="Times New Roman"/>
                <w:color w:val="auto"/>
                <w:kern w:val="0"/>
                <w:sz w:val="24"/>
              </w:rPr>
            </w:pPr>
            <w:r>
              <w:rPr>
                <w:rFonts w:hint="default" w:ascii="Times New Roman" w:hAnsi="Times New Roman" w:cs="Times New Roman"/>
                <w:color w:val="auto"/>
                <w:kern w:val="0"/>
                <w:sz w:val="24"/>
              </w:rPr>
              <w:t>达标区</w:t>
            </w:r>
            <w:r>
              <w:rPr>
                <w:rFonts w:hint="default" w:ascii="Times New Roman" w:hAnsi="Times New Roman" w:cs="Times New Roman"/>
                <w:color w:val="auto"/>
                <w:kern w:val="0"/>
                <w:sz w:val="24"/>
                <w:lang w:eastAsia="zh-CN"/>
              </w:rPr>
              <w:t>的</w:t>
            </w:r>
            <w:r>
              <w:rPr>
                <w:rFonts w:hint="default" w:ascii="Times New Roman" w:hAnsi="Times New Roman" w:cs="Times New Roman"/>
                <w:color w:val="auto"/>
                <w:kern w:val="0"/>
                <w:sz w:val="24"/>
              </w:rPr>
              <w:t>判断及基本污染物环境空气质量</w:t>
            </w:r>
          </w:p>
          <w:p w14:paraId="0DD724E7">
            <w:pPr>
              <w:widowControl/>
              <w:spacing w:line="360" w:lineRule="auto"/>
              <w:ind w:firstLine="480" w:firstLineChars="200"/>
              <w:jc w:val="left"/>
              <w:rPr>
                <w:rFonts w:hint="default" w:ascii="Times New Roman" w:hAnsi="Times New Roman" w:cs="Times New Roman"/>
                <w:color w:val="auto"/>
              </w:rPr>
            </w:pPr>
            <w:r>
              <w:rPr>
                <w:rFonts w:hint="default" w:ascii="Times New Roman" w:hAnsi="Times New Roman" w:cs="Times New Roman"/>
                <w:bCs/>
                <w:color w:val="auto"/>
                <w:kern w:val="0"/>
                <w:sz w:val="24"/>
              </w:rPr>
              <w:t>根据2024年6月内蒙古自治区生态环境厅发布的《2023年内蒙古自治区生态环境状况公报》，报告指出</w:t>
            </w:r>
            <w:r>
              <w:rPr>
                <w:rFonts w:hint="eastAsia" w:cs="Times New Roman"/>
                <w:bCs/>
                <w:color w:val="auto"/>
                <w:kern w:val="0"/>
                <w:sz w:val="24"/>
                <w:lang w:eastAsia="zh-CN"/>
              </w:rPr>
              <w:t>“</w:t>
            </w:r>
            <w:r>
              <w:rPr>
                <w:rFonts w:hint="default" w:ascii="Times New Roman" w:hAnsi="Times New Roman" w:cs="Times New Roman"/>
                <w:bCs/>
                <w:color w:val="auto"/>
                <w:kern w:val="0"/>
                <w:sz w:val="24"/>
              </w:rPr>
              <w:t>2023年，全区12个盟市中，除乌海市外，其他11个盟市环境空气质量均达标</w:t>
            </w:r>
            <w:r>
              <w:rPr>
                <w:rFonts w:hint="eastAsia" w:cs="Times New Roman"/>
                <w:bCs/>
                <w:color w:val="auto"/>
                <w:kern w:val="0"/>
                <w:sz w:val="24"/>
                <w:lang w:eastAsia="zh-CN"/>
              </w:rPr>
              <w:t>”</w:t>
            </w:r>
            <w:r>
              <w:rPr>
                <w:rFonts w:hint="default" w:ascii="Times New Roman" w:hAnsi="Times New Roman" w:cs="Times New Roman"/>
                <w:bCs/>
                <w:color w:val="auto"/>
                <w:kern w:val="0"/>
                <w:sz w:val="24"/>
              </w:rPr>
              <w:t>。</w:t>
            </w:r>
          </w:p>
          <w:p w14:paraId="11AF5B95">
            <w:pPr>
              <w:adjustRightInd w:val="0"/>
              <w:snapToGrid w:val="0"/>
              <w:spacing w:line="360" w:lineRule="auto"/>
              <w:ind w:firstLine="480" w:firstLineChars="200"/>
              <w:jc w:val="left"/>
              <w:rPr>
                <w:rFonts w:hint="default" w:ascii="Times New Roman" w:hAnsi="Times New Roman" w:cs="Times New Roman"/>
                <w:bCs/>
                <w:color w:val="auto"/>
                <w:sz w:val="24"/>
              </w:rPr>
            </w:pPr>
            <w:r>
              <w:rPr>
                <w:rFonts w:hint="default" w:ascii="Times New Roman" w:hAnsi="Times New Roman" w:cs="Times New Roman"/>
                <w:color w:val="auto"/>
                <w:kern w:val="0"/>
                <w:sz w:val="24"/>
              </w:rPr>
              <w:t>项目所在区域为达标区域</w:t>
            </w:r>
            <w:r>
              <w:rPr>
                <w:rFonts w:hint="default" w:ascii="Times New Roman" w:hAnsi="Times New Roman" w:cs="Times New Roman"/>
                <w:bCs/>
                <w:color w:val="auto"/>
                <w:sz w:val="24"/>
              </w:rPr>
              <w:t>。</w:t>
            </w:r>
          </w:p>
          <w:p w14:paraId="60EA0A9B">
            <w:pPr>
              <w:spacing w:before="120" w:beforeLines="50" w:line="360" w:lineRule="auto"/>
              <w:ind w:firstLine="482" w:firstLineChars="200"/>
              <w:jc w:val="left"/>
              <w:rPr>
                <w:rFonts w:hint="default" w:ascii="Times New Roman" w:hAnsi="Times New Roman" w:cs="Times New Roman"/>
                <w:b/>
                <w:color w:val="auto"/>
                <w:sz w:val="24"/>
              </w:rPr>
            </w:pPr>
            <w:r>
              <w:rPr>
                <w:rFonts w:hint="default" w:ascii="Times New Roman" w:hAnsi="Times New Roman" w:cs="Times New Roman"/>
                <w:b/>
                <w:color w:val="auto"/>
                <w:sz w:val="24"/>
              </w:rPr>
              <w:t>2.声环境质量现状</w:t>
            </w:r>
          </w:p>
          <w:p w14:paraId="291DBD40">
            <w:pPr>
              <w:spacing w:line="360" w:lineRule="auto"/>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为了解项目所在区域声环境质量状况，建设单位委托</w:t>
            </w:r>
            <w:r>
              <w:rPr>
                <w:rFonts w:hint="default" w:ascii="Times New Roman" w:hAnsi="Times New Roman" w:eastAsia="宋体" w:cs="Times New Roman"/>
                <w:color w:val="auto"/>
                <w:kern w:val="0"/>
                <w:sz w:val="24"/>
                <w:lang w:val="en-US" w:eastAsia="zh-CN"/>
              </w:rPr>
              <w:t>内蒙古泽铭技术检测有限公司</w:t>
            </w:r>
            <w:r>
              <w:rPr>
                <w:rFonts w:hint="default" w:ascii="Times New Roman" w:hAnsi="Times New Roman" w:eastAsia="宋体" w:cs="Times New Roman"/>
                <w:color w:val="auto"/>
                <w:kern w:val="0"/>
                <w:sz w:val="24"/>
              </w:rPr>
              <w:t>对项目所在地进行了噪声监测，监测时间</w:t>
            </w:r>
            <w:r>
              <w:rPr>
                <w:rFonts w:hint="eastAsia" w:cs="Times New Roman"/>
                <w:color w:val="auto"/>
                <w:kern w:val="0"/>
                <w:sz w:val="24"/>
                <w:lang w:eastAsia="zh-CN"/>
              </w:rPr>
              <w:t>为</w:t>
            </w:r>
            <w:r>
              <w:rPr>
                <w:rFonts w:hint="default" w:ascii="Times New Roman" w:hAnsi="Times New Roman" w:eastAsia="宋体" w:cs="Times New Roman"/>
                <w:color w:val="auto"/>
                <w:kern w:val="0"/>
                <w:sz w:val="24"/>
                <w:lang w:val="en-US" w:eastAsia="zh-CN"/>
              </w:rPr>
              <w:t>2025年1月6日</w:t>
            </w:r>
            <w:r>
              <w:rPr>
                <w:rFonts w:hint="default" w:ascii="Times New Roman" w:hAnsi="Times New Roman" w:eastAsia="宋体" w:cs="Times New Roman"/>
                <w:color w:val="auto"/>
                <w:kern w:val="0"/>
                <w:sz w:val="24"/>
              </w:rPr>
              <w:t>。</w:t>
            </w:r>
          </w:p>
          <w:p w14:paraId="3A7BA355">
            <w:pPr>
              <w:spacing w:line="360" w:lineRule="auto"/>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环境噪声监测结果见下表3-</w:t>
            </w:r>
            <w:r>
              <w:rPr>
                <w:rFonts w:hint="default" w:ascii="Times New Roman" w:hAnsi="Times New Roman" w:cs="Times New Roman"/>
                <w:color w:val="auto"/>
                <w:kern w:val="0"/>
                <w:sz w:val="24"/>
                <w:lang w:val="en-US" w:eastAsia="zh-CN"/>
              </w:rPr>
              <w:t>1</w:t>
            </w:r>
            <w:r>
              <w:rPr>
                <w:rFonts w:hint="default" w:ascii="Times New Roman" w:hAnsi="Times New Roman" w:eastAsia="宋体" w:cs="Times New Roman"/>
                <w:color w:val="auto"/>
                <w:kern w:val="0"/>
                <w:sz w:val="24"/>
              </w:rPr>
              <w:t>。</w:t>
            </w:r>
          </w:p>
          <w:p w14:paraId="736E3007">
            <w:pPr>
              <w:keepNext/>
              <w:jc w:val="right"/>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表3-</w:t>
            </w:r>
            <w:r>
              <w:rPr>
                <w:rFonts w:hint="default" w:ascii="Times New Roman" w:hAnsi="Times New Roman" w:cs="Times New Roman"/>
                <w:b/>
                <w:bCs/>
                <w:color w:val="auto"/>
                <w:sz w:val="24"/>
                <w:lang w:val="en-US" w:eastAsia="zh-CN"/>
              </w:rPr>
              <w:t>1</w:t>
            </w:r>
            <w:r>
              <w:rPr>
                <w:rFonts w:hint="default" w:ascii="Times New Roman" w:hAnsi="Times New Roman" w:eastAsia="宋体" w:cs="Times New Roman"/>
                <w:b/>
                <w:bCs/>
                <w:color w:val="auto"/>
                <w:sz w:val="24"/>
              </w:rPr>
              <w:t xml:space="preserve"> 环境噪声监测结果            单位：dB（A）</w:t>
            </w:r>
          </w:p>
          <w:tbl>
            <w:tblPr>
              <w:tblStyle w:val="17"/>
              <w:tblW w:w="496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20"/>
              <w:gridCol w:w="1335"/>
              <w:gridCol w:w="1334"/>
              <w:gridCol w:w="1041"/>
              <w:gridCol w:w="975"/>
              <w:gridCol w:w="1844"/>
            </w:tblGrid>
            <w:tr w14:paraId="22F725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pct"/>
                  <w:vMerge w:val="restart"/>
                  <w:tcBorders>
                    <w:tl2br w:val="nil"/>
                    <w:tr2bl w:val="nil"/>
                  </w:tcBorders>
                  <w:noWrap w:val="0"/>
                  <w:vAlign w:val="center"/>
                </w:tcPr>
                <w:p w14:paraId="45B0948D">
                  <w:pPr>
                    <w:widowControl/>
                    <w:snapToGrid w:val="0"/>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监测点位</w:t>
                  </w:r>
                </w:p>
              </w:tc>
              <w:tc>
                <w:tcPr>
                  <w:tcW w:w="1617" w:type="pct"/>
                  <w:gridSpan w:val="2"/>
                  <w:tcBorders>
                    <w:tl2br w:val="nil"/>
                    <w:tr2bl w:val="nil"/>
                  </w:tcBorders>
                  <w:noWrap w:val="0"/>
                  <w:vAlign w:val="center"/>
                </w:tcPr>
                <w:p w14:paraId="14CB886D">
                  <w:pPr>
                    <w:widowControl/>
                    <w:snapToGrid w:val="0"/>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本项目</w:t>
                  </w:r>
                </w:p>
              </w:tc>
              <w:tc>
                <w:tcPr>
                  <w:tcW w:w="1222" w:type="pct"/>
                  <w:gridSpan w:val="2"/>
                  <w:tcBorders>
                    <w:tl2br w:val="nil"/>
                    <w:tr2bl w:val="nil"/>
                  </w:tcBorders>
                  <w:noWrap w:val="0"/>
                  <w:vAlign w:val="top"/>
                </w:tcPr>
                <w:p w14:paraId="3B0A2786">
                  <w:pPr>
                    <w:widowControl/>
                    <w:snapToGrid w:val="0"/>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标准</w:t>
                  </w:r>
                </w:p>
              </w:tc>
              <w:tc>
                <w:tcPr>
                  <w:tcW w:w="1117" w:type="pct"/>
                  <w:vMerge w:val="restart"/>
                  <w:tcBorders>
                    <w:tl2br w:val="nil"/>
                    <w:tr2bl w:val="nil"/>
                  </w:tcBorders>
                  <w:noWrap w:val="0"/>
                  <w:vAlign w:val="center"/>
                </w:tcPr>
                <w:p w14:paraId="3C66F849">
                  <w:pPr>
                    <w:widowControl/>
                    <w:snapToGrid w:val="0"/>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达标情况</w:t>
                  </w:r>
                </w:p>
              </w:tc>
            </w:tr>
            <w:tr w14:paraId="43D10A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pct"/>
                  <w:vMerge w:val="continue"/>
                  <w:tcBorders>
                    <w:tl2br w:val="nil"/>
                    <w:tr2bl w:val="nil"/>
                  </w:tcBorders>
                  <w:noWrap w:val="0"/>
                  <w:vAlign w:val="center"/>
                </w:tcPr>
                <w:p w14:paraId="4CEF658D">
                  <w:pPr>
                    <w:widowControl/>
                    <w:snapToGrid w:val="0"/>
                    <w:jc w:val="center"/>
                    <w:rPr>
                      <w:rFonts w:hint="default" w:ascii="Times New Roman" w:hAnsi="Times New Roman" w:eastAsia="宋体" w:cs="Times New Roman"/>
                      <w:b/>
                      <w:bCs/>
                      <w:color w:val="auto"/>
                      <w:kern w:val="0"/>
                      <w:sz w:val="21"/>
                      <w:szCs w:val="21"/>
                      <w:lang w:val="en-US" w:eastAsia="zh-CN" w:bidi="ar-SA"/>
                    </w:rPr>
                  </w:pPr>
                </w:p>
              </w:tc>
              <w:tc>
                <w:tcPr>
                  <w:tcW w:w="809" w:type="pct"/>
                  <w:tcBorders>
                    <w:tl2br w:val="nil"/>
                    <w:tr2bl w:val="nil"/>
                  </w:tcBorders>
                  <w:noWrap w:val="0"/>
                  <w:vAlign w:val="center"/>
                </w:tcPr>
                <w:p w14:paraId="30AE28B6">
                  <w:pPr>
                    <w:widowControl/>
                    <w:snapToGrid w:val="0"/>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昼间</w:t>
                  </w:r>
                </w:p>
              </w:tc>
              <w:tc>
                <w:tcPr>
                  <w:tcW w:w="808" w:type="pct"/>
                  <w:tcBorders>
                    <w:tl2br w:val="nil"/>
                    <w:tr2bl w:val="nil"/>
                  </w:tcBorders>
                  <w:noWrap w:val="0"/>
                  <w:vAlign w:val="center"/>
                </w:tcPr>
                <w:p w14:paraId="7A657AC7">
                  <w:pPr>
                    <w:widowControl/>
                    <w:snapToGrid w:val="0"/>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夜间</w:t>
                  </w:r>
                </w:p>
              </w:tc>
              <w:tc>
                <w:tcPr>
                  <w:tcW w:w="631" w:type="pct"/>
                  <w:tcBorders>
                    <w:tl2br w:val="nil"/>
                    <w:tr2bl w:val="nil"/>
                  </w:tcBorders>
                  <w:noWrap w:val="0"/>
                  <w:vAlign w:val="top"/>
                </w:tcPr>
                <w:p w14:paraId="6E12DDA9">
                  <w:pPr>
                    <w:widowControl/>
                    <w:snapToGrid w:val="0"/>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昼间</w:t>
                  </w:r>
                </w:p>
              </w:tc>
              <w:tc>
                <w:tcPr>
                  <w:tcW w:w="591" w:type="pct"/>
                  <w:tcBorders>
                    <w:tl2br w:val="nil"/>
                    <w:tr2bl w:val="nil"/>
                  </w:tcBorders>
                  <w:noWrap w:val="0"/>
                  <w:vAlign w:val="top"/>
                </w:tcPr>
                <w:p w14:paraId="256CD27F">
                  <w:pPr>
                    <w:widowControl/>
                    <w:snapToGrid w:val="0"/>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夜间</w:t>
                  </w:r>
                </w:p>
              </w:tc>
              <w:tc>
                <w:tcPr>
                  <w:tcW w:w="1117" w:type="pct"/>
                  <w:vMerge w:val="continue"/>
                  <w:tcBorders>
                    <w:tl2br w:val="nil"/>
                    <w:tr2bl w:val="nil"/>
                  </w:tcBorders>
                  <w:noWrap w:val="0"/>
                  <w:vAlign w:val="center"/>
                </w:tcPr>
                <w:p w14:paraId="204C085D">
                  <w:pPr>
                    <w:widowControl/>
                    <w:snapToGrid w:val="0"/>
                    <w:jc w:val="center"/>
                    <w:rPr>
                      <w:rFonts w:hint="default" w:ascii="Times New Roman" w:hAnsi="Times New Roman" w:eastAsia="宋体" w:cs="Times New Roman"/>
                      <w:color w:val="auto"/>
                      <w:kern w:val="0"/>
                      <w:sz w:val="21"/>
                      <w:szCs w:val="21"/>
                      <w:lang w:val="en-US" w:eastAsia="zh-CN" w:bidi="ar-SA"/>
                    </w:rPr>
                  </w:pPr>
                </w:p>
              </w:tc>
            </w:tr>
            <w:tr w14:paraId="03078B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pct"/>
                  <w:tcBorders>
                    <w:tl2br w:val="nil"/>
                    <w:tr2bl w:val="nil"/>
                  </w:tcBorders>
                  <w:noWrap w:val="0"/>
                  <w:vAlign w:val="center"/>
                </w:tcPr>
                <w:p w14:paraId="1CEF2664">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rPr>
                    <w:t>1#东厂界</w:t>
                  </w:r>
                </w:p>
              </w:tc>
              <w:tc>
                <w:tcPr>
                  <w:tcW w:w="1330" w:type="dxa"/>
                  <w:tcBorders>
                    <w:tl2br w:val="nil"/>
                    <w:tr2bl w:val="nil"/>
                  </w:tcBorders>
                  <w:noWrap w:val="0"/>
                  <w:vAlign w:val="center"/>
                </w:tcPr>
                <w:p w14:paraId="3A37AF3A">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lang w:val="en-US" w:eastAsia="zh-CN"/>
                    </w:rPr>
                    <w:t>48.5</w:t>
                  </w:r>
                </w:p>
              </w:tc>
              <w:tc>
                <w:tcPr>
                  <w:tcW w:w="1329" w:type="dxa"/>
                  <w:tcBorders>
                    <w:tl2br w:val="nil"/>
                    <w:tr2bl w:val="nil"/>
                  </w:tcBorders>
                  <w:noWrap w:val="0"/>
                  <w:vAlign w:val="center"/>
                </w:tcPr>
                <w:p w14:paraId="04D8C284">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lang w:val="en-US" w:eastAsia="zh-CN"/>
                    </w:rPr>
                    <w:t>43.2</w:t>
                  </w:r>
                </w:p>
              </w:tc>
              <w:tc>
                <w:tcPr>
                  <w:tcW w:w="631" w:type="pct"/>
                  <w:tcBorders>
                    <w:tl2br w:val="nil"/>
                    <w:tr2bl w:val="nil"/>
                  </w:tcBorders>
                  <w:noWrap w:val="0"/>
                  <w:vAlign w:val="center"/>
                </w:tcPr>
                <w:p w14:paraId="716B6783">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55</w:t>
                  </w:r>
                </w:p>
              </w:tc>
              <w:tc>
                <w:tcPr>
                  <w:tcW w:w="591" w:type="pct"/>
                  <w:tcBorders>
                    <w:tl2br w:val="nil"/>
                    <w:tr2bl w:val="nil"/>
                  </w:tcBorders>
                  <w:noWrap w:val="0"/>
                  <w:vAlign w:val="center"/>
                </w:tcPr>
                <w:p w14:paraId="1D81CEFB">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45</w:t>
                  </w:r>
                </w:p>
              </w:tc>
              <w:tc>
                <w:tcPr>
                  <w:tcW w:w="1117" w:type="pct"/>
                  <w:tcBorders>
                    <w:tl2br w:val="nil"/>
                    <w:tr2bl w:val="nil"/>
                  </w:tcBorders>
                  <w:noWrap w:val="0"/>
                  <w:vAlign w:val="center"/>
                </w:tcPr>
                <w:p w14:paraId="2D43CF94">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达标</w:t>
                  </w:r>
                </w:p>
              </w:tc>
            </w:tr>
            <w:tr w14:paraId="4FBEA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pct"/>
                  <w:tcBorders>
                    <w:tl2br w:val="nil"/>
                    <w:tr2bl w:val="nil"/>
                  </w:tcBorders>
                  <w:noWrap w:val="0"/>
                  <w:vAlign w:val="center"/>
                </w:tcPr>
                <w:p w14:paraId="7DF2ECC6">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rPr>
                    <w:t>2#南厂界</w:t>
                  </w:r>
                </w:p>
              </w:tc>
              <w:tc>
                <w:tcPr>
                  <w:tcW w:w="1330" w:type="dxa"/>
                  <w:tcBorders>
                    <w:tl2br w:val="nil"/>
                    <w:tr2bl w:val="nil"/>
                  </w:tcBorders>
                  <w:noWrap w:val="0"/>
                  <w:vAlign w:val="center"/>
                </w:tcPr>
                <w:p w14:paraId="46FCD6BF">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47.3</w:t>
                  </w:r>
                </w:p>
              </w:tc>
              <w:tc>
                <w:tcPr>
                  <w:tcW w:w="1329" w:type="dxa"/>
                  <w:tcBorders>
                    <w:tl2br w:val="nil"/>
                    <w:tr2bl w:val="nil"/>
                  </w:tcBorders>
                  <w:noWrap w:val="0"/>
                  <w:vAlign w:val="center"/>
                </w:tcPr>
                <w:p w14:paraId="188441BA">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lang w:val="en-US" w:eastAsia="zh-CN"/>
                    </w:rPr>
                    <w:t>42.5</w:t>
                  </w:r>
                </w:p>
              </w:tc>
              <w:tc>
                <w:tcPr>
                  <w:tcW w:w="631" w:type="pct"/>
                  <w:tcBorders>
                    <w:tl2br w:val="nil"/>
                    <w:tr2bl w:val="nil"/>
                  </w:tcBorders>
                  <w:noWrap w:val="0"/>
                  <w:vAlign w:val="center"/>
                </w:tcPr>
                <w:p w14:paraId="343E0EB3">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55</w:t>
                  </w:r>
                </w:p>
              </w:tc>
              <w:tc>
                <w:tcPr>
                  <w:tcW w:w="591" w:type="pct"/>
                  <w:tcBorders>
                    <w:tl2br w:val="nil"/>
                    <w:tr2bl w:val="nil"/>
                  </w:tcBorders>
                  <w:noWrap w:val="0"/>
                  <w:vAlign w:val="center"/>
                </w:tcPr>
                <w:p w14:paraId="4F4C18E2">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45</w:t>
                  </w:r>
                </w:p>
              </w:tc>
              <w:tc>
                <w:tcPr>
                  <w:tcW w:w="1117" w:type="pct"/>
                  <w:tcBorders>
                    <w:tl2br w:val="nil"/>
                    <w:tr2bl w:val="nil"/>
                  </w:tcBorders>
                  <w:noWrap w:val="0"/>
                  <w:vAlign w:val="center"/>
                </w:tcPr>
                <w:p w14:paraId="7AD72057">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达标</w:t>
                  </w:r>
                </w:p>
              </w:tc>
            </w:tr>
            <w:tr w14:paraId="012EE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pct"/>
                  <w:tcBorders>
                    <w:tl2br w:val="nil"/>
                    <w:tr2bl w:val="nil"/>
                  </w:tcBorders>
                  <w:noWrap w:val="0"/>
                  <w:vAlign w:val="center"/>
                </w:tcPr>
                <w:p w14:paraId="460EAA9A">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rPr>
                    <w:t>3#西厂界</w:t>
                  </w:r>
                </w:p>
              </w:tc>
              <w:tc>
                <w:tcPr>
                  <w:tcW w:w="1330" w:type="dxa"/>
                  <w:tcBorders>
                    <w:tl2br w:val="nil"/>
                    <w:tr2bl w:val="nil"/>
                  </w:tcBorders>
                  <w:noWrap w:val="0"/>
                  <w:vAlign w:val="center"/>
                </w:tcPr>
                <w:p w14:paraId="13AA4D2C">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49.2</w:t>
                  </w:r>
                </w:p>
              </w:tc>
              <w:tc>
                <w:tcPr>
                  <w:tcW w:w="1329" w:type="dxa"/>
                  <w:tcBorders>
                    <w:tl2br w:val="nil"/>
                    <w:tr2bl w:val="nil"/>
                  </w:tcBorders>
                  <w:noWrap w:val="0"/>
                  <w:vAlign w:val="center"/>
                </w:tcPr>
                <w:p w14:paraId="0C33D12E">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43.3</w:t>
                  </w:r>
                </w:p>
              </w:tc>
              <w:tc>
                <w:tcPr>
                  <w:tcW w:w="631" w:type="pct"/>
                  <w:tcBorders>
                    <w:tl2br w:val="nil"/>
                    <w:tr2bl w:val="nil"/>
                  </w:tcBorders>
                  <w:noWrap w:val="0"/>
                  <w:vAlign w:val="center"/>
                </w:tcPr>
                <w:p w14:paraId="51DBD5AB">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55</w:t>
                  </w:r>
                </w:p>
              </w:tc>
              <w:tc>
                <w:tcPr>
                  <w:tcW w:w="591" w:type="pct"/>
                  <w:tcBorders>
                    <w:tl2br w:val="nil"/>
                    <w:tr2bl w:val="nil"/>
                  </w:tcBorders>
                  <w:noWrap w:val="0"/>
                  <w:vAlign w:val="center"/>
                </w:tcPr>
                <w:p w14:paraId="274C2A63">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45</w:t>
                  </w:r>
                </w:p>
              </w:tc>
              <w:tc>
                <w:tcPr>
                  <w:tcW w:w="1117" w:type="pct"/>
                  <w:tcBorders>
                    <w:tl2br w:val="nil"/>
                    <w:tr2bl w:val="nil"/>
                  </w:tcBorders>
                  <w:noWrap w:val="0"/>
                  <w:vAlign w:val="center"/>
                </w:tcPr>
                <w:p w14:paraId="3BA0154A">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达标</w:t>
                  </w:r>
                </w:p>
              </w:tc>
            </w:tr>
            <w:tr w14:paraId="214800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pct"/>
                  <w:tcBorders>
                    <w:tl2br w:val="nil"/>
                    <w:tr2bl w:val="nil"/>
                  </w:tcBorders>
                  <w:noWrap w:val="0"/>
                  <w:vAlign w:val="center"/>
                </w:tcPr>
                <w:p w14:paraId="0B7722AC">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rPr>
                    <w:t>4#北厂界</w:t>
                  </w:r>
                </w:p>
              </w:tc>
              <w:tc>
                <w:tcPr>
                  <w:tcW w:w="1330" w:type="dxa"/>
                  <w:tcBorders>
                    <w:tl2br w:val="nil"/>
                    <w:tr2bl w:val="nil"/>
                  </w:tcBorders>
                  <w:noWrap w:val="0"/>
                  <w:vAlign w:val="center"/>
                </w:tcPr>
                <w:p w14:paraId="4A066C43">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47.6</w:t>
                  </w:r>
                </w:p>
              </w:tc>
              <w:tc>
                <w:tcPr>
                  <w:tcW w:w="1329" w:type="dxa"/>
                  <w:tcBorders>
                    <w:tl2br w:val="nil"/>
                    <w:tr2bl w:val="nil"/>
                  </w:tcBorders>
                  <w:noWrap w:val="0"/>
                  <w:vAlign w:val="center"/>
                </w:tcPr>
                <w:p w14:paraId="7C100A8C">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41.6</w:t>
                  </w:r>
                </w:p>
              </w:tc>
              <w:tc>
                <w:tcPr>
                  <w:tcW w:w="631" w:type="pct"/>
                  <w:tcBorders>
                    <w:tl2br w:val="nil"/>
                    <w:tr2bl w:val="nil"/>
                  </w:tcBorders>
                  <w:noWrap w:val="0"/>
                  <w:vAlign w:val="center"/>
                </w:tcPr>
                <w:p w14:paraId="46FB2327">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55</w:t>
                  </w:r>
                </w:p>
              </w:tc>
              <w:tc>
                <w:tcPr>
                  <w:tcW w:w="591" w:type="pct"/>
                  <w:tcBorders>
                    <w:tl2br w:val="nil"/>
                    <w:tr2bl w:val="nil"/>
                  </w:tcBorders>
                  <w:noWrap w:val="0"/>
                  <w:vAlign w:val="center"/>
                </w:tcPr>
                <w:p w14:paraId="75B89E17">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45</w:t>
                  </w:r>
                </w:p>
              </w:tc>
              <w:tc>
                <w:tcPr>
                  <w:tcW w:w="1117" w:type="pct"/>
                  <w:tcBorders>
                    <w:tl2br w:val="nil"/>
                    <w:tr2bl w:val="nil"/>
                  </w:tcBorders>
                  <w:noWrap w:val="0"/>
                  <w:vAlign w:val="center"/>
                </w:tcPr>
                <w:p w14:paraId="1AB2749F">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达标</w:t>
                  </w:r>
                </w:p>
              </w:tc>
            </w:tr>
            <w:tr w14:paraId="235989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pct"/>
                  <w:tcBorders>
                    <w:tl2br w:val="nil"/>
                    <w:tr2bl w:val="nil"/>
                  </w:tcBorders>
                  <w:noWrap w:val="0"/>
                  <w:vAlign w:val="center"/>
                </w:tcPr>
                <w:p w14:paraId="1DE3CA76">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lang w:val="en-US" w:eastAsia="zh-CN"/>
                    </w:rPr>
                    <w:t>5#住户1</w:t>
                  </w:r>
                </w:p>
              </w:tc>
              <w:tc>
                <w:tcPr>
                  <w:tcW w:w="1330" w:type="dxa"/>
                  <w:tcBorders>
                    <w:tl2br w:val="nil"/>
                    <w:tr2bl w:val="nil"/>
                  </w:tcBorders>
                  <w:noWrap w:val="0"/>
                  <w:vAlign w:val="center"/>
                </w:tcPr>
                <w:p w14:paraId="6E8F4C6B">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46.5</w:t>
                  </w:r>
                </w:p>
              </w:tc>
              <w:tc>
                <w:tcPr>
                  <w:tcW w:w="1329" w:type="dxa"/>
                  <w:tcBorders>
                    <w:tl2br w:val="nil"/>
                    <w:tr2bl w:val="nil"/>
                  </w:tcBorders>
                  <w:noWrap w:val="0"/>
                  <w:vAlign w:val="center"/>
                </w:tcPr>
                <w:p w14:paraId="18B6F317">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40.4</w:t>
                  </w:r>
                </w:p>
              </w:tc>
              <w:tc>
                <w:tcPr>
                  <w:tcW w:w="631" w:type="pct"/>
                  <w:tcBorders>
                    <w:tl2br w:val="nil"/>
                    <w:tr2bl w:val="nil"/>
                  </w:tcBorders>
                  <w:shd w:val="clear" w:color="auto" w:fill="auto"/>
                  <w:noWrap w:val="0"/>
                  <w:vAlign w:val="center"/>
                </w:tcPr>
                <w:p w14:paraId="7907D5B6">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55</w:t>
                  </w:r>
                </w:p>
              </w:tc>
              <w:tc>
                <w:tcPr>
                  <w:tcW w:w="591" w:type="pct"/>
                  <w:tcBorders>
                    <w:tl2br w:val="nil"/>
                    <w:tr2bl w:val="nil"/>
                  </w:tcBorders>
                  <w:shd w:val="clear" w:color="auto" w:fill="auto"/>
                  <w:noWrap w:val="0"/>
                  <w:vAlign w:val="center"/>
                </w:tcPr>
                <w:p w14:paraId="13571FD5">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45</w:t>
                  </w:r>
                </w:p>
              </w:tc>
              <w:tc>
                <w:tcPr>
                  <w:tcW w:w="1117" w:type="pct"/>
                  <w:tcBorders>
                    <w:tl2br w:val="nil"/>
                    <w:tr2bl w:val="nil"/>
                  </w:tcBorders>
                  <w:noWrap w:val="0"/>
                  <w:vAlign w:val="center"/>
                </w:tcPr>
                <w:p w14:paraId="547BDE5A">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达标</w:t>
                  </w:r>
                </w:p>
              </w:tc>
            </w:tr>
            <w:tr w14:paraId="558930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pct"/>
                  <w:tcBorders>
                    <w:tl2br w:val="nil"/>
                    <w:tr2bl w:val="nil"/>
                  </w:tcBorders>
                  <w:noWrap w:val="0"/>
                  <w:vAlign w:val="center"/>
                </w:tcPr>
                <w:p w14:paraId="296F3047">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lang w:val="en-US" w:eastAsia="zh-CN"/>
                    </w:rPr>
                    <w:t>6#住户2</w:t>
                  </w:r>
                </w:p>
              </w:tc>
              <w:tc>
                <w:tcPr>
                  <w:tcW w:w="1330" w:type="dxa"/>
                  <w:tcBorders>
                    <w:tl2br w:val="nil"/>
                    <w:tr2bl w:val="nil"/>
                  </w:tcBorders>
                  <w:noWrap w:val="0"/>
                  <w:vAlign w:val="center"/>
                </w:tcPr>
                <w:p w14:paraId="2D0F84BE">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45.8</w:t>
                  </w:r>
                </w:p>
              </w:tc>
              <w:tc>
                <w:tcPr>
                  <w:tcW w:w="1329" w:type="dxa"/>
                  <w:tcBorders>
                    <w:tl2br w:val="nil"/>
                    <w:tr2bl w:val="nil"/>
                  </w:tcBorders>
                  <w:noWrap w:val="0"/>
                  <w:vAlign w:val="center"/>
                </w:tcPr>
                <w:p w14:paraId="627E4E90">
                  <w:pPr>
                    <w:spacing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Cs w:val="21"/>
                      <w:lang w:val="en-US" w:eastAsia="zh-CN"/>
                    </w:rPr>
                    <w:t>41.2</w:t>
                  </w:r>
                </w:p>
              </w:tc>
              <w:tc>
                <w:tcPr>
                  <w:tcW w:w="631" w:type="pct"/>
                  <w:tcBorders>
                    <w:tl2br w:val="nil"/>
                    <w:tr2bl w:val="nil"/>
                  </w:tcBorders>
                  <w:noWrap w:val="0"/>
                  <w:vAlign w:val="center"/>
                </w:tcPr>
                <w:p w14:paraId="2BE1ECE1">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55</w:t>
                  </w:r>
                </w:p>
              </w:tc>
              <w:tc>
                <w:tcPr>
                  <w:tcW w:w="591" w:type="pct"/>
                  <w:tcBorders>
                    <w:tl2br w:val="nil"/>
                    <w:tr2bl w:val="nil"/>
                  </w:tcBorders>
                  <w:noWrap w:val="0"/>
                  <w:vAlign w:val="center"/>
                </w:tcPr>
                <w:p w14:paraId="2632F9B6">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45</w:t>
                  </w:r>
                </w:p>
              </w:tc>
              <w:tc>
                <w:tcPr>
                  <w:tcW w:w="1117" w:type="pct"/>
                  <w:tcBorders>
                    <w:tl2br w:val="nil"/>
                    <w:tr2bl w:val="nil"/>
                  </w:tcBorders>
                  <w:noWrap w:val="0"/>
                  <w:vAlign w:val="center"/>
                </w:tcPr>
                <w:p w14:paraId="3A953DD7">
                  <w:pPr>
                    <w:widowControl/>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达标</w:t>
                  </w:r>
                </w:p>
              </w:tc>
            </w:tr>
          </w:tbl>
          <w:p w14:paraId="395475CB">
            <w:pPr>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根据监测结果可知，项目各站点所在区域及敏感目标昼间噪声值均能满足《声环境质量标准》（GB3096-2008）中1类标准的要求，表明该区域的声环境质量良好。</w:t>
            </w:r>
          </w:p>
          <w:p w14:paraId="10F25440">
            <w:pPr>
              <w:spacing w:line="360" w:lineRule="auto"/>
              <w:ind w:firstLine="482" w:firstLineChars="200"/>
              <w:jc w:val="left"/>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3.地下水环境、土壤环境</w:t>
            </w:r>
          </w:p>
          <w:p w14:paraId="77480AE4">
            <w:pPr>
              <w:spacing w:line="360" w:lineRule="auto"/>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依照《建设项目环境影响报告表编制技术指南（污染影响类）</w:t>
            </w:r>
            <w:r>
              <w:rPr>
                <w:rFonts w:hint="default" w:ascii="Times New Roman" w:hAnsi="Times New Roman" w:cs="Times New Roman"/>
                <w:color w:val="auto"/>
                <w:sz w:val="24"/>
                <w:szCs w:val="24"/>
                <w:lang w:eastAsia="zh-CN"/>
              </w:rPr>
              <w:t>（试行）》</w:t>
            </w:r>
            <w:r>
              <w:rPr>
                <w:rFonts w:hint="default" w:ascii="Times New Roman" w:hAnsi="Times New Roman" w:cs="Times New Roman"/>
                <w:color w:val="auto"/>
                <w:sz w:val="24"/>
                <w:szCs w:val="24"/>
              </w:rPr>
              <w:t>，地下水、土壤环境原则上不开展环境质量现状调查。</w:t>
            </w:r>
          </w:p>
          <w:p w14:paraId="7F1C39B4">
            <w:pPr>
              <w:spacing w:line="360" w:lineRule="auto"/>
              <w:ind w:firstLine="480" w:firstLineChars="200"/>
              <w:jc w:val="left"/>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val="en-US" w:eastAsia="zh-CN"/>
              </w:rPr>
              <w:t>新鲜</w:t>
            </w:r>
            <w:r>
              <w:rPr>
                <w:rFonts w:hint="eastAsia" w:cs="Times New Roman"/>
                <w:color w:val="auto"/>
                <w:sz w:val="24"/>
                <w:szCs w:val="24"/>
                <w:lang w:val="en-US" w:eastAsia="zh-CN"/>
              </w:rPr>
              <w:t>蔬</w:t>
            </w:r>
            <w:r>
              <w:rPr>
                <w:rFonts w:hint="default" w:ascii="Times New Roman" w:hAnsi="Times New Roman" w:cs="Times New Roman"/>
                <w:color w:val="auto"/>
                <w:sz w:val="24"/>
                <w:szCs w:val="24"/>
                <w:lang w:val="en-US" w:eastAsia="zh-CN"/>
              </w:rPr>
              <w:t>菜漂烫清洗废水仅含少量悬浮物，且仅在6-8月份产生，同时夏季农田需水量较大，项目周边农田数量较多，供不应求。</w:t>
            </w:r>
            <w:r>
              <w:rPr>
                <w:rFonts w:hint="eastAsia" w:cs="Times New Roman"/>
                <w:color w:val="auto"/>
                <w:sz w:val="24"/>
                <w:szCs w:val="24"/>
                <w:lang w:val="en-US" w:eastAsia="zh-CN"/>
              </w:rPr>
              <w:t>新鲜蔬菜</w:t>
            </w:r>
            <w:r>
              <w:rPr>
                <w:rFonts w:hint="default" w:ascii="Times New Roman" w:hAnsi="Times New Roman" w:cs="Times New Roman"/>
                <w:color w:val="auto"/>
                <w:sz w:val="24"/>
                <w:szCs w:val="24"/>
                <w:lang w:val="en-US" w:eastAsia="zh-CN"/>
              </w:rPr>
              <w:t>漂烫清洗废水经1#废水储罐收集冷却后，拉运至周边农田，用于农田灌溉；设备清洗废水、地面清洗废水、清洗酸菜废水污染物为少量盐分，经废水储罐</w:t>
            </w:r>
            <w:r>
              <w:rPr>
                <w:rFonts w:hint="default" w:ascii="Times New Roman" w:hAnsi="Times New Roman" w:cs="Times New Roman"/>
                <w:color w:val="000000" w:themeColor="text1"/>
                <w:sz w:val="24"/>
                <w:szCs w:val="24"/>
                <w:lang w:val="en-US" w:eastAsia="zh-CN"/>
                <w14:textFill>
                  <w14:solidFill>
                    <w14:schemeClr w14:val="tx1"/>
                  </w14:solidFill>
                </w14:textFill>
              </w:rPr>
              <w:t>收集</w:t>
            </w:r>
            <w:r>
              <w:rPr>
                <w:rFonts w:hint="default" w:ascii="Times New Roman" w:hAnsi="Times New Roman" w:cs="Times New Roman"/>
                <w:color w:val="auto"/>
                <w:sz w:val="24"/>
                <w:szCs w:val="24"/>
                <w:lang w:val="en-US" w:eastAsia="zh-CN"/>
              </w:rPr>
              <w:t>后，定期拉运至杭锦旗锡尼镇污水处理厂处理，不外排；酸菜发酵废水盐分含量相对较高，经废水储罐收集后，定期拉运至蒙苏经济开发区零碳产业园工业污水处理厂处理，不</w:t>
            </w:r>
            <w:r>
              <w:rPr>
                <w:rFonts w:hint="default" w:ascii="Times New Roman" w:hAnsi="Times New Roman" w:cs="Times New Roman"/>
                <w:color w:val="auto"/>
                <w:sz w:val="24"/>
                <w:szCs w:val="24"/>
              </w:rPr>
              <w:t>外排。</w:t>
            </w:r>
            <w:r>
              <w:rPr>
                <w:rFonts w:hint="default" w:ascii="Times New Roman" w:hAnsi="Times New Roman" w:cs="Times New Roman"/>
                <w:color w:val="auto"/>
                <w:sz w:val="24"/>
                <w:szCs w:val="24"/>
                <w:lang w:val="en-US" w:eastAsia="zh-CN"/>
              </w:rPr>
              <w:t>同时，项目对酱腌菜发酵池、废水储罐区进行</w:t>
            </w:r>
            <w:r>
              <w:rPr>
                <w:rFonts w:hint="default" w:ascii="Times New Roman" w:hAnsi="Times New Roman" w:cs="Times New Roman"/>
                <w:color w:val="auto"/>
                <w:sz w:val="24"/>
                <w:szCs w:val="24"/>
                <w:lang w:eastAsia="zh-CN"/>
              </w:rPr>
              <w:t>一般防渗</w:t>
            </w:r>
            <w:r>
              <w:rPr>
                <w:rFonts w:hint="eastAsia" w:cs="Times New Roman"/>
                <w:color w:val="auto"/>
                <w:sz w:val="24"/>
                <w:szCs w:val="24"/>
                <w:lang w:eastAsia="zh-CN"/>
              </w:rPr>
              <w:t>处理</w:t>
            </w:r>
            <w:r>
              <w:rPr>
                <w:rFonts w:hint="default" w:ascii="Times New Roman" w:hAnsi="Times New Roman" w:cs="Times New Roman"/>
                <w:color w:val="auto"/>
                <w:sz w:val="24"/>
                <w:szCs w:val="24"/>
                <w:lang w:eastAsia="zh-CN"/>
              </w:rPr>
              <w:t>。</w:t>
            </w:r>
          </w:p>
          <w:p w14:paraId="1E9AB023">
            <w:pPr>
              <w:spacing w:line="360" w:lineRule="auto"/>
              <w:ind w:firstLine="480" w:firstLineChars="200"/>
              <w:jc w:val="left"/>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val="en-US" w:eastAsia="zh-CN"/>
              </w:rPr>
              <w:t>综合考虑，本次评价不开展地下水、土壤环境质量现状监测，仅</w:t>
            </w:r>
            <w:r>
              <w:rPr>
                <w:rFonts w:hint="eastAsia" w:cs="Times New Roman"/>
                <w:color w:val="auto"/>
                <w:sz w:val="24"/>
                <w:szCs w:val="24"/>
                <w:lang w:val="en-US" w:eastAsia="zh-CN"/>
              </w:rPr>
              <w:t>提</w:t>
            </w:r>
            <w:r>
              <w:rPr>
                <w:rFonts w:hint="default" w:ascii="Times New Roman" w:hAnsi="Times New Roman" w:cs="Times New Roman"/>
                <w:color w:val="auto"/>
                <w:sz w:val="24"/>
                <w:szCs w:val="24"/>
                <w:lang w:val="en-US" w:eastAsia="zh-CN"/>
              </w:rPr>
              <w:t>出相关的污染防治措施。</w:t>
            </w:r>
          </w:p>
          <w:p w14:paraId="69EE87CB">
            <w:pPr>
              <w:spacing w:line="360" w:lineRule="auto"/>
              <w:ind w:firstLine="420" w:firstLineChars="200"/>
              <w:jc w:val="left"/>
              <w:rPr>
                <w:rFonts w:hint="default" w:ascii="Times New Roman" w:hAnsi="Times New Roman" w:cs="Times New Roman"/>
                <w:color w:val="auto"/>
                <w:szCs w:val="21"/>
              </w:rPr>
            </w:pPr>
          </w:p>
        </w:tc>
      </w:tr>
      <w:tr w14:paraId="18235E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05" w:hRule="atLeast"/>
          <w:jc w:val="center"/>
        </w:trPr>
        <w:tc>
          <w:tcPr>
            <w:tcW w:w="534" w:type="dxa"/>
            <w:vAlign w:val="center"/>
          </w:tcPr>
          <w:p w14:paraId="0BE6ECEF">
            <w:pPr>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环境保护目标</w:t>
            </w:r>
          </w:p>
        </w:tc>
        <w:tc>
          <w:tcPr>
            <w:tcW w:w="8527" w:type="dxa"/>
            <w:vAlign w:val="center"/>
          </w:tcPr>
          <w:p w14:paraId="351C324A">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项目拟选址在</w:t>
            </w:r>
            <w:r>
              <w:rPr>
                <w:rFonts w:hint="default" w:ascii="Times New Roman" w:hAnsi="Times New Roman" w:cs="Times New Roman"/>
                <w:bCs/>
                <w:color w:val="auto"/>
                <w:sz w:val="24"/>
              </w:rPr>
              <w:t>杭锦旗锡尼镇</w:t>
            </w:r>
            <w:r>
              <w:rPr>
                <w:rFonts w:hint="default" w:ascii="Times New Roman" w:hAnsi="Times New Roman" w:cs="Times New Roman"/>
                <w:bCs/>
                <w:color w:val="auto"/>
                <w:sz w:val="24"/>
                <w:lang w:eastAsia="zh-CN"/>
              </w:rPr>
              <w:t>中图村</w:t>
            </w:r>
            <w:r>
              <w:rPr>
                <w:rFonts w:hint="default" w:ascii="Times New Roman" w:hAnsi="Times New Roman" w:cs="Times New Roman"/>
                <w:color w:val="auto"/>
                <w:sz w:val="24"/>
              </w:rPr>
              <w:t>，由现场调查可知，该区域内没有珍稀动植物资源、饮用水源保护区、自然保护区、重点文物等重点保护目标。</w:t>
            </w:r>
            <w:r>
              <w:rPr>
                <w:rFonts w:hint="default" w:ascii="Times New Roman" w:hAnsi="Times New Roman" w:cs="Times New Roman"/>
                <w:bCs/>
                <w:color w:val="auto"/>
                <w:sz w:val="24"/>
              </w:rPr>
              <w:t>本项目环境保护目标见表3-</w:t>
            </w:r>
            <w:r>
              <w:rPr>
                <w:rFonts w:hint="default" w:ascii="Times New Roman" w:hAnsi="Times New Roman" w:cs="Times New Roman"/>
                <w:bCs/>
                <w:color w:val="auto"/>
                <w:sz w:val="24"/>
                <w:lang w:val="en-US" w:eastAsia="zh-CN"/>
              </w:rPr>
              <w:t>2</w:t>
            </w:r>
            <w:r>
              <w:rPr>
                <w:rFonts w:hint="default" w:ascii="Times New Roman" w:hAnsi="Times New Roman" w:cs="Times New Roman"/>
                <w:bCs/>
                <w:color w:val="auto"/>
                <w:sz w:val="24"/>
              </w:rPr>
              <w:t>。</w:t>
            </w:r>
          </w:p>
          <w:p w14:paraId="15C213D5">
            <w:pPr>
              <w:pStyle w:val="26"/>
              <w:rPr>
                <w:rFonts w:hint="default" w:ascii="Times New Roman" w:hAnsi="Times New Roman" w:cs="Times New Roman"/>
                <w:color w:val="auto"/>
              </w:rPr>
            </w:pPr>
            <w:r>
              <w:rPr>
                <w:rFonts w:hint="default" w:ascii="Times New Roman" w:hAnsi="Times New Roman" w:cs="Times New Roman"/>
                <w:color w:val="auto"/>
              </w:rPr>
              <w:t>表3-</w:t>
            </w:r>
            <w:r>
              <w:rPr>
                <w:rFonts w:hint="default" w:ascii="Times New Roman" w:hAnsi="Times New Roman" w:cs="Times New Roman"/>
                <w:color w:val="auto"/>
                <w:lang w:val="en-US" w:eastAsia="zh-CN"/>
              </w:rPr>
              <w:t>2</w:t>
            </w:r>
            <w:r>
              <w:rPr>
                <w:rFonts w:hint="default" w:ascii="Times New Roman" w:hAnsi="Times New Roman" w:cs="Times New Roman"/>
                <w:color w:val="auto"/>
              </w:rPr>
              <w:t xml:space="preserve"> 环境保护目标一览表</w:t>
            </w:r>
          </w:p>
          <w:tbl>
            <w:tblPr>
              <w:tblStyle w:val="17"/>
              <w:tblW w:w="830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95"/>
              <w:gridCol w:w="1037"/>
              <w:gridCol w:w="1817"/>
              <w:gridCol w:w="621"/>
              <w:gridCol w:w="761"/>
              <w:gridCol w:w="782"/>
              <w:gridCol w:w="2493"/>
            </w:tblGrid>
            <w:tr w14:paraId="1428C5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restart"/>
                  <w:vAlign w:val="center"/>
                </w:tcPr>
                <w:p w14:paraId="517F88C7">
                  <w:pPr>
                    <w:jc w:val="center"/>
                    <w:rPr>
                      <w:rFonts w:hint="default" w:ascii="Times New Roman" w:hAnsi="Times New Roman" w:cs="Times New Roman"/>
                      <w:b/>
                      <w:color w:val="auto"/>
                      <w:szCs w:val="20"/>
                    </w:rPr>
                  </w:pPr>
                  <w:r>
                    <w:rPr>
                      <w:rFonts w:hint="default" w:ascii="Times New Roman" w:hAnsi="Times New Roman" w:cs="Times New Roman"/>
                      <w:b/>
                      <w:color w:val="auto"/>
                      <w:szCs w:val="20"/>
                    </w:rPr>
                    <w:t>环境要素</w:t>
                  </w:r>
                </w:p>
              </w:tc>
              <w:tc>
                <w:tcPr>
                  <w:tcW w:w="1037" w:type="dxa"/>
                  <w:vMerge w:val="restart"/>
                  <w:vAlign w:val="center"/>
                </w:tcPr>
                <w:p w14:paraId="24AF0F30">
                  <w:pPr>
                    <w:jc w:val="center"/>
                    <w:rPr>
                      <w:rFonts w:hint="default" w:ascii="Times New Roman" w:hAnsi="Times New Roman" w:cs="Times New Roman"/>
                      <w:b/>
                      <w:color w:val="auto"/>
                      <w:szCs w:val="20"/>
                    </w:rPr>
                  </w:pPr>
                  <w:r>
                    <w:rPr>
                      <w:rFonts w:hint="default" w:ascii="Times New Roman" w:hAnsi="Times New Roman" w:cs="Times New Roman"/>
                      <w:b/>
                      <w:color w:val="auto"/>
                      <w:szCs w:val="20"/>
                    </w:rPr>
                    <w:t>保护目标</w:t>
                  </w:r>
                </w:p>
              </w:tc>
              <w:tc>
                <w:tcPr>
                  <w:tcW w:w="1817" w:type="dxa"/>
                  <w:vMerge w:val="restart"/>
                  <w:vAlign w:val="center"/>
                </w:tcPr>
                <w:p w14:paraId="42625421">
                  <w:pPr>
                    <w:jc w:val="center"/>
                    <w:rPr>
                      <w:rFonts w:hint="default" w:ascii="Times New Roman" w:hAnsi="Times New Roman" w:eastAsia="宋体" w:cs="Times New Roman"/>
                      <w:b/>
                      <w:color w:val="auto"/>
                      <w:szCs w:val="20"/>
                      <w:lang w:val="en-US" w:eastAsia="zh-CN"/>
                    </w:rPr>
                  </w:pPr>
                  <w:r>
                    <w:rPr>
                      <w:rFonts w:hint="default" w:ascii="Times New Roman" w:hAnsi="Times New Roman" w:cs="Times New Roman"/>
                      <w:b/>
                      <w:color w:val="auto"/>
                      <w:szCs w:val="20"/>
                      <w:lang w:val="en-US" w:eastAsia="zh-CN"/>
                    </w:rPr>
                    <w:t>坐标</w:t>
                  </w:r>
                </w:p>
              </w:tc>
              <w:tc>
                <w:tcPr>
                  <w:tcW w:w="1382" w:type="dxa"/>
                  <w:gridSpan w:val="2"/>
                  <w:vAlign w:val="center"/>
                </w:tcPr>
                <w:p w14:paraId="6AE6768E">
                  <w:pPr>
                    <w:jc w:val="center"/>
                    <w:rPr>
                      <w:rFonts w:hint="default" w:ascii="Times New Roman" w:hAnsi="Times New Roman" w:cs="Times New Roman"/>
                      <w:b/>
                      <w:color w:val="auto"/>
                      <w:szCs w:val="20"/>
                    </w:rPr>
                  </w:pPr>
                  <w:r>
                    <w:rPr>
                      <w:rFonts w:hint="default" w:ascii="Times New Roman" w:hAnsi="Times New Roman" w:cs="Times New Roman"/>
                      <w:b/>
                      <w:color w:val="auto"/>
                      <w:szCs w:val="20"/>
                    </w:rPr>
                    <w:t>相对厂址</w:t>
                  </w:r>
                </w:p>
              </w:tc>
              <w:tc>
                <w:tcPr>
                  <w:tcW w:w="782" w:type="dxa"/>
                  <w:vMerge w:val="restart"/>
                  <w:vAlign w:val="center"/>
                </w:tcPr>
                <w:p w14:paraId="265F28CA">
                  <w:pPr>
                    <w:jc w:val="center"/>
                    <w:rPr>
                      <w:rFonts w:hint="default" w:ascii="Times New Roman" w:hAnsi="Times New Roman" w:cs="Times New Roman"/>
                      <w:b/>
                      <w:color w:val="auto"/>
                      <w:szCs w:val="20"/>
                    </w:rPr>
                  </w:pPr>
                  <w:r>
                    <w:rPr>
                      <w:rFonts w:hint="default" w:ascii="Times New Roman" w:hAnsi="Times New Roman" w:cs="Times New Roman"/>
                      <w:b/>
                      <w:color w:val="auto"/>
                      <w:szCs w:val="20"/>
                    </w:rPr>
                    <w:t>人数</w:t>
                  </w:r>
                </w:p>
              </w:tc>
              <w:tc>
                <w:tcPr>
                  <w:tcW w:w="2493" w:type="dxa"/>
                  <w:vMerge w:val="restart"/>
                  <w:vAlign w:val="center"/>
                </w:tcPr>
                <w:p w14:paraId="2BAC82F5">
                  <w:pPr>
                    <w:jc w:val="center"/>
                    <w:rPr>
                      <w:rFonts w:hint="default" w:ascii="Times New Roman" w:hAnsi="Times New Roman" w:cs="Times New Roman"/>
                      <w:b/>
                      <w:color w:val="auto"/>
                      <w:szCs w:val="20"/>
                    </w:rPr>
                  </w:pPr>
                  <w:r>
                    <w:rPr>
                      <w:rFonts w:hint="default" w:ascii="Times New Roman" w:hAnsi="Times New Roman" w:cs="Times New Roman"/>
                      <w:b/>
                      <w:color w:val="auto"/>
                      <w:szCs w:val="20"/>
                    </w:rPr>
                    <w:t>保护级别</w:t>
                  </w:r>
                </w:p>
              </w:tc>
            </w:tr>
            <w:tr w14:paraId="0CE691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continue"/>
                  <w:vAlign w:val="center"/>
                </w:tcPr>
                <w:p w14:paraId="7B3FBA8B">
                  <w:pPr>
                    <w:jc w:val="center"/>
                    <w:rPr>
                      <w:rFonts w:hint="default" w:ascii="Times New Roman" w:hAnsi="Times New Roman" w:cs="Times New Roman"/>
                      <w:color w:val="auto"/>
                      <w:szCs w:val="20"/>
                    </w:rPr>
                  </w:pPr>
                </w:p>
              </w:tc>
              <w:tc>
                <w:tcPr>
                  <w:tcW w:w="1037" w:type="dxa"/>
                  <w:vMerge w:val="continue"/>
                  <w:vAlign w:val="center"/>
                </w:tcPr>
                <w:p w14:paraId="56E46593">
                  <w:pPr>
                    <w:jc w:val="center"/>
                    <w:rPr>
                      <w:rFonts w:hint="default" w:ascii="Times New Roman" w:hAnsi="Times New Roman" w:cs="Times New Roman"/>
                      <w:color w:val="auto"/>
                      <w:szCs w:val="20"/>
                    </w:rPr>
                  </w:pPr>
                </w:p>
              </w:tc>
              <w:tc>
                <w:tcPr>
                  <w:tcW w:w="1817" w:type="dxa"/>
                  <w:vMerge w:val="continue"/>
                  <w:vAlign w:val="center"/>
                </w:tcPr>
                <w:p w14:paraId="54BB61F4">
                  <w:pPr>
                    <w:jc w:val="center"/>
                    <w:rPr>
                      <w:rFonts w:hint="default" w:ascii="Times New Roman" w:hAnsi="Times New Roman" w:cs="Times New Roman"/>
                      <w:b/>
                      <w:color w:val="auto"/>
                      <w:szCs w:val="20"/>
                    </w:rPr>
                  </w:pPr>
                </w:p>
              </w:tc>
              <w:tc>
                <w:tcPr>
                  <w:tcW w:w="621" w:type="dxa"/>
                  <w:vAlign w:val="center"/>
                </w:tcPr>
                <w:p w14:paraId="131994A4">
                  <w:pPr>
                    <w:jc w:val="center"/>
                    <w:rPr>
                      <w:rFonts w:hint="default" w:ascii="Times New Roman" w:hAnsi="Times New Roman" w:cs="Times New Roman"/>
                      <w:b/>
                      <w:color w:val="auto"/>
                      <w:szCs w:val="20"/>
                    </w:rPr>
                  </w:pPr>
                  <w:r>
                    <w:rPr>
                      <w:rFonts w:hint="default" w:ascii="Times New Roman" w:hAnsi="Times New Roman" w:cs="Times New Roman"/>
                      <w:b/>
                      <w:color w:val="auto"/>
                      <w:szCs w:val="20"/>
                    </w:rPr>
                    <w:t>方位</w:t>
                  </w:r>
                </w:p>
              </w:tc>
              <w:tc>
                <w:tcPr>
                  <w:tcW w:w="761" w:type="dxa"/>
                  <w:vAlign w:val="center"/>
                </w:tcPr>
                <w:p w14:paraId="5768220E">
                  <w:pPr>
                    <w:jc w:val="center"/>
                    <w:rPr>
                      <w:rFonts w:hint="default" w:ascii="Times New Roman" w:hAnsi="Times New Roman" w:cs="Times New Roman"/>
                      <w:b/>
                      <w:color w:val="auto"/>
                      <w:szCs w:val="20"/>
                    </w:rPr>
                  </w:pPr>
                  <w:r>
                    <w:rPr>
                      <w:rFonts w:hint="default" w:ascii="Times New Roman" w:hAnsi="Times New Roman" w:cs="Times New Roman"/>
                      <w:b/>
                      <w:color w:val="auto"/>
                      <w:szCs w:val="20"/>
                    </w:rPr>
                    <w:t>距离（</w:t>
                  </w:r>
                  <w:r>
                    <w:rPr>
                      <w:rFonts w:hint="default" w:ascii="Times New Roman" w:hAnsi="Times New Roman" w:cs="Times New Roman"/>
                      <w:b/>
                      <w:color w:val="auto"/>
                      <w:szCs w:val="20"/>
                      <w:vertAlign w:val="baseline"/>
                      <w:lang w:eastAsia="zh-CN"/>
                    </w:rPr>
                    <w:t>m</w:t>
                  </w:r>
                  <w:r>
                    <w:rPr>
                      <w:rFonts w:hint="default" w:ascii="Times New Roman" w:hAnsi="Times New Roman" w:cs="Times New Roman"/>
                      <w:b/>
                      <w:color w:val="auto"/>
                      <w:szCs w:val="20"/>
                    </w:rPr>
                    <w:t>）</w:t>
                  </w:r>
                </w:p>
              </w:tc>
              <w:tc>
                <w:tcPr>
                  <w:tcW w:w="782" w:type="dxa"/>
                  <w:vMerge w:val="continue"/>
                  <w:vAlign w:val="center"/>
                </w:tcPr>
                <w:p w14:paraId="50EF620E">
                  <w:pPr>
                    <w:jc w:val="center"/>
                    <w:rPr>
                      <w:rFonts w:hint="default" w:ascii="Times New Roman" w:hAnsi="Times New Roman" w:cs="Times New Roman"/>
                      <w:color w:val="auto"/>
                      <w:szCs w:val="20"/>
                    </w:rPr>
                  </w:pPr>
                </w:p>
              </w:tc>
              <w:tc>
                <w:tcPr>
                  <w:tcW w:w="2493" w:type="dxa"/>
                  <w:vMerge w:val="continue"/>
                  <w:vAlign w:val="center"/>
                </w:tcPr>
                <w:p w14:paraId="0A918D4E">
                  <w:pPr>
                    <w:jc w:val="center"/>
                    <w:rPr>
                      <w:rFonts w:hint="default" w:ascii="Times New Roman" w:hAnsi="Times New Roman" w:cs="Times New Roman"/>
                      <w:color w:val="auto"/>
                      <w:szCs w:val="20"/>
                    </w:rPr>
                  </w:pPr>
                </w:p>
              </w:tc>
            </w:tr>
            <w:tr w14:paraId="6C5F4B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restart"/>
                  <w:vAlign w:val="center"/>
                </w:tcPr>
                <w:p w14:paraId="16CBF544">
                  <w:pPr>
                    <w:jc w:val="center"/>
                    <w:rPr>
                      <w:rFonts w:hint="default" w:ascii="Times New Roman" w:hAnsi="Times New Roman" w:cs="Times New Roman"/>
                      <w:color w:val="auto"/>
                      <w:szCs w:val="20"/>
                    </w:rPr>
                  </w:pPr>
                  <w:r>
                    <w:rPr>
                      <w:rFonts w:hint="default" w:ascii="Times New Roman" w:hAnsi="Times New Roman" w:cs="Times New Roman"/>
                      <w:color w:val="auto"/>
                      <w:szCs w:val="20"/>
                    </w:rPr>
                    <w:t>环境空气</w:t>
                  </w:r>
                </w:p>
              </w:tc>
              <w:tc>
                <w:tcPr>
                  <w:tcW w:w="1037" w:type="dxa"/>
                  <w:vAlign w:val="center"/>
                </w:tcPr>
                <w:p w14:paraId="298CE46E">
                  <w:pPr>
                    <w:jc w:val="center"/>
                    <w:rPr>
                      <w:rFonts w:hint="default" w:ascii="Times New Roman" w:hAnsi="Times New Roman" w:eastAsia="宋体" w:cs="Times New Roman"/>
                      <w:color w:val="auto"/>
                      <w:szCs w:val="20"/>
                      <w:lang w:eastAsia="zh-CN"/>
                    </w:rPr>
                  </w:pPr>
                  <w:r>
                    <w:rPr>
                      <w:rFonts w:hint="default" w:ascii="Times New Roman" w:hAnsi="Times New Roman" w:cs="Times New Roman"/>
                      <w:color w:val="auto"/>
                      <w:szCs w:val="20"/>
                      <w:lang w:val="en-US" w:eastAsia="zh-CN"/>
                    </w:rPr>
                    <w:t>住户1</w:t>
                  </w:r>
                </w:p>
              </w:tc>
              <w:tc>
                <w:tcPr>
                  <w:tcW w:w="1817" w:type="dxa"/>
                  <w:vAlign w:val="center"/>
                </w:tcPr>
                <w:p w14:paraId="7FBE20E2">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E109°1'41.922"</w:t>
                  </w:r>
                </w:p>
                <w:p w14:paraId="6A6817EF">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N39°40'55.792"</w:t>
                  </w:r>
                </w:p>
              </w:tc>
              <w:tc>
                <w:tcPr>
                  <w:tcW w:w="621" w:type="dxa"/>
                  <w:vAlign w:val="center"/>
                </w:tcPr>
                <w:p w14:paraId="1D2428AE">
                  <w:pPr>
                    <w:jc w:val="center"/>
                    <w:rPr>
                      <w:rFonts w:hint="default" w:ascii="Times New Roman" w:hAnsi="Times New Roman" w:eastAsia="宋体" w:cs="Times New Roman"/>
                      <w:b/>
                      <w:color w:val="auto"/>
                      <w:szCs w:val="20"/>
                      <w:lang w:eastAsia="zh-CN"/>
                    </w:rPr>
                  </w:pPr>
                  <w:r>
                    <w:rPr>
                      <w:rFonts w:hint="default" w:ascii="Times New Roman" w:hAnsi="Times New Roman" w:cs="Times New Roman"/>
                      <w:color w:val="auto"/>
                      <w:szCs w:val="20"/>
                      <w:lang w:val="en-US" w:eastAsia="zh-CN"/>
                    </w:rPr>
                    <w:t>N</w:t>
                  </w:r>
                </w:p>
              </w:tc>
              <w:tc>
                <w:tcPr>
                  <w:tcW w:w="761" w:type="dxa"/>
                  <w:vAlign w:val="center"/>
                </w:tcPr>
                <w:p w14:paraId="0F395116">
                  <w:pPr>
                    <w:jc w:val="center"/>
                    <w:rPr>
                      <w:rFonts w:hint="default" w:ascii="Times New Roman" w:hAnsi="Times New Roman" w:eastAsia="宋体" w:cs="Times New Roman"/>
                      <w:b/>
                      <w:color w:val="auto"/>
                      <w:szCs w:val="20"/>
                      <w:lang w:val="en-US" w:eastAsia="zh-CN"/>
                    </w:rPr>
                  </w:pPr>
                  <w:r>
                    <w:rPr>
                      <w:rFonts w:hint="default" w:ascii="Times New Roman" w:hAnsi="Times New Roman" w:cs="Times New Roman"/>
                      <w:color w:val="auto"/>
                      <w:szCs w:val="20"/>
                      <w:lang w:val="en-US" w:eastAsia="zh-CN"/>
                    </w:rPr>
                    <w:t>21</w:t>
                  </w:r>
                </w:p>
              </w:tc>
              <w:tc>
                <w:tcPr>
                  <w:tcW w:w="782" w:type="dxa"/>
                  <w:vAlign w:val="center"/>
                </w:tcPr>
                <w:p w14:paraId="24E88379">
                  <w:pPr>
                    <w:jc w:val="center"/>
                    <w:rPr>
                      <w:rFonts w:hint="default" w:ascii="Times New Roman" w:hAnsi="Times New Roman" w:cs="Times New Roman"/>
                      <w:color w:val="auto"/>
                      <w:szCs w:val="20"/>
                    </w:rPr>
                  </w:pPr>
                  <w:r>
                    <w:rPr>
                      <w:rFonts w:hint="default" w:ascii="Times New Roman" w:hAnsi="Times New Roman" w:cs="Times New Roman"/>
                      <w:color w:val="auto"/>
                      <w:szCs w:val="20"/>
                    </w:rPr>
                    <w:t>2</w:t>
                  </w:r>
                </w:p>
              </w:tc>
              <w:tc>
                <w:tcPr>
                  <w:tcW w:w="2493" w:type="dxa"/>
                  <w:vMerge w:val="restart"/>
                  <w:vAlign w:val="center"/>
                </w:tcPr>
                <w:p w14:paraId="02E10FB8">
                  <w:pPr>
                    <w:jc w:val="center"/>
                    <w:rPr>
                      <w:rFonts w:hint="default" w:ascii="Times New Roman" w:hAnsi="Times New Roman" w:cs="Times New Roman"/>
                      <w:color w:val="auto"/>
                      <w:szCs w:val="20"/>
                    </w:rPr>
                  </w:pPr>
                  <w:r>
                    <w:rPr>
                      <w:rFonts w:hint="default" w:ascii="Times New Roman" w:hAnsi="Times New Roman" w:cs="Times New Roman"/>
                      <w:color w:val="auto"/>
                      <w:szCs w:val="20"/>
                    </w:rPr>
                    <w:t>《环境空气质量标准》（GB3095-2012）</w:t>
                  </w:r>
                </w:p>
                <w:p w14:paraId="07088191">
                  <w:pPr>
                    <w:jc w:val="center"/>
                    <w:rPr>
                      <w:rFonts w:hint="default" w:ascii="Times New Roman" w:hAnsi="Times New Roman" w:cs="Times New Roman"/>
                      <w:color w:val="auto"/>
                      <w:szCs w:val="20"/>
                    </w:rPr>
                  </w:pPr>
                  <w:r>
                    <w:rPr>
                      <w:rFonts w:hint="default" w:ascii="Times New Roman" w:hAnsi="Times New Roman" w:cs="Times New Roman"/>
                      <w:color w:val="auto"/>
                      <w:szCs w:val="20"/>
                    </w:rPr>
                    <w:t>二级标准</w:t>
                  </w:r>
                </w:p>
              </w:tc>
            </w:tr>
            <w:tr w14:paraId="2F0CE0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continue"/>
                  <w:vAlign w:val="center"/>
                </w:tcPr>
                <w:p w14:paraId="7EC52302">
                  <w:pPr>
                    <w:jc w:val="center"/>
                    <w:rPr>
                      <w:rFonts w:hint="default" w:ascii="Times New Roman" w:hAnsi="Times New Roman" w:cs="Times New Roman"/>
                      <w:color w:val="auto"/>
                      <w:szCs w:val="20"/>
                    </w:rPr>
                  </w:pPr>
                </w:p>
              </w:tc>
              <w:tc>
                <w:tcPr>
                  <w:tcW w:w="1037" w:type="dxa"/>
                  <w:vAlign w:val="center"/>
                </w:tcPr>
                <w:p w14:paraId="0D86B0C3">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住户2</w:t>
                  </w:r>
                </w:p>
              </w:tc>
              <w:tc>
                <w:tcPr>
                  <w:tcW w:w="1817" w:type="dxa"/>
                  <w:vAlign w:val="center"/>
                </w:tcPr>
                <w:p w14:paraId="2104F2EE">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E109°1'43.903"</w:t>
                  </w:r>
                </w:p>
                <w:p w14:paraId="6E1F4EC2">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N39°40'53.644"</w:t>
                  </w:r>
                </w:p>
              </w:tc>
              <w:tc>
                <w:tcPr>
                  <w:tcW w:w="621" w:type="dxa"/>
                  <w:vAlign w:val="center"/>
                </w:tcPr>
                <w:p w14:paraId="62C9B962">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E</w:t>
                  </w:r>
                </w:p>
              </w:tc>
              <w:tc>
                <w:tcPr>
                  <w:tcW w:w="761" w:type="dxa"/>
                  <w:vAlign w:val="center"/>
                </w:tcPr>
                <w:p w14:paraId="7BEED502">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44</w:t>
                  </w:r>
                </w:p>
              </w:tc>
              <w:tc>
                <w:tcPr>
                  <w:tcW w:w="782" w:type="dxa"/>
                  <w:vAlign w:val="center"/>
                </w:tcPr>
                <w:p w14:paraId="04FDA56B">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2</w:t>
                  </w:r>
                </w:p>
              </w:tc>
              <w:tc>
                <w:tcPr>
                  <w:tcW w:w="2493" w:type="dxa"/>
                  <w:vMerge w:val="continue"/>
                  <w:vAlign w:val="center"/>
                </w:tcPr>
                <w:p w14:paraId="28FA55C1">
                  <w:pPr>
                    <w:jc w:val="center"/>
                    <w:rPr>
                      <w:rFonts w:hint="default" w:ascii="Times New Roman" w:hAnsi="Times New Roman" w:cs="Times New Roman"/>
                      <w:color w:val="auto"/>
                      <w:szCs w:val="20"/>
                    </w:rPr>
                  </w:pPr>
                </w:p>
              </w:tc>
            </w:tr>
            <w:tr w14:paraId="1B37C9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continue"/>
                  <w:vAlign w:val="center"/>
                </w:tcPr>
                <w:p w14:paraId="42025038">
                  <w:pPr>
                    <w:jc w:val="center"/>
                    <w:rPr>
                      <w:rFonts w:hint="default" w:ascii="Times New Roman" w:hAnsi="Times New Roman" w:cs="Times New Roman"/>
                      <w:color w:val="auto"/>
                      <w:szCs w:val="20"/>
                    </w:rPr>
                  </w:pPr>
                </w:p>
              </w:tc>
              <w:tc>
                <w:tcPr>
                  <w:tcW w:w="1037" w:type="dxa"/>
                  <w:vAlign w:val="center"/>
                </w:tcPr>
                <w:p w14:paraId="6206C976">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住户3</w:t>
                  </w:r>
                </w:p>
              </w:tc>
              <w:tc>
                <w:tcPr>
                  <w:tcW w:w="1817" w:type="dxa"/>
                  <w:vAlign w:val="center"/>
                </w:tcPr>
                <w:p w14:paraId="2778AAD5">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E109°1'52.149"</w:t>
                  </w:r>
                </w:p>
                <w:p w14:paraId="59D81E7F">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N39°40'51.541"</w:t>
                  </w:r>
                </w:p>
              </w:tc>
              <w:tc>
                <w:tcPr>
                  <w:tcW w:w="621" w:type="dxa"/>
                  <w:vAlign w:val="center"/>
                </w:tcPr>
                <w:p w14:paraId="5DFC9843">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E</w:t>
                  </w:r>
                </w:p>
              </w:tc>
              <w:tc>
                <w:tcPr>
                  <w:tcW w:w="761" w:type="dxa"/>
                  <w:vAlign w:val="center"/>
                </w:tcPr>
                <w:p w14:paraId="415163A0">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251</w:t>
                  </w:r>
                </w:p>
              </w:tc>
              <w:tc>
                <w:tcPr>
                  <w:tcW w:w="782" w:type="dxa"/>
                  <w:vAlign w:val="center"/>
                </w:tcPr>
                <w:p w14:paraId="1A70170A">
                  <w:pPr>
                    <w:jc w:val="center"/>
                    <w:rPr>
                      <w:rFonts w:hint="default" w:ascii="Times New Roman" w:hAnsi="Times New Roman" w:cs="Times New Roman"/>
                      <w:color w:val="auto"/>
                      <w:szCs w:val="20"/>
                    </w:rPr>
                  </w:pPr>
                  <w:r>
                    <w:rPr>
                      <w:rFonts w:hint="default" w:ascii="Times New Roman" w:hAnsi="Times New Roman" w:cs="Times New Roman"/>
                      <w:color w:val="auto"/>
                      <w:szCs w:val="20"/>
                      <w:lang w:val="en-US" w:eastAsia="zh-CN"/>
                    </w:rPr>
                    <w:t>2</w:t>
                  </w:r>
                </w:p>
              </w:tc>
              <w:tc>
                <w:tcPr>
                  <w:tcW w:w="2493" w:type="dxa"/>
                  <w:vMerge w:val="continue"/>
                  <w:vAlign w:val="center"/>
                </w:tcPr>
                <w:p w14:paraId="6F7BBAB7">
                  <w:pPr>
                    <w:jc w:val="center"/>
                    <w:rPr>
                      <w:rFonts w:hint="default" w:ascii="Times New Roman" w:hAnsi="Times New Roman" w:cs="Times New Roman"/>
                      <w:color w:val="auto"/>
                      <w:szCs w:val="20"/>
                    </w:rPr>
                  </w:pPr>
                </w:p>
              </w:tc>
            </w:tr>
            <w:tr w14:paraId="1FBFB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continue"/>
                  <w:vAlign w:val="center"/>
                </w:tcPr>
                <w:p w14:paraId="351F4A77">
                  <w:pPr>
                    <w:jc w:val="center"/>
                    <w:rPr>
                      <w:rFonts w:hint="default" w:ascii="Times New Roman" w:hAnsi="Times New Roman" w:cs="Times New Roman"/>
                      <w:color w:val="auto"/>
                      <w:szCs w:val="20"/>
                    </w:rPr>
                  </w:pPr>
                </w:p>
              </w:tc>
              <w:tc>
                <w:tcPr>
                  <w:tcW w:w="1037" w:type="dxa"/>
                  <w:vAlign w:val="center"/>
                </w:tcPr>
                <w:p w14:paraId="552DD7D4">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住户4</w:t>
                  </w:r>
                </w:p>
              </w:tc>
              <w:tc>
                <w:tcPr>
                  <w:tcW w:w="1817" w:type="dxa"/>
                  <w:vAlign w:val="center"/>
                </w:tcPr>
                <w:p w14:paraId="3767BDE0">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E109°1'34.141"</w:t>
                  </w:r>
                </w:p>
                <w:p w14:paraId="179ED9C7">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N39°40'53.065"</w:t>
                  </w:r>
                </w:p>
              </w:tc>
              <w:tc>
                <w:tcPr>
                  <w:tcW w:w="621" w:type="dxa"/>
                  <w:vAlign w:val="center"/>
                </w:tcPr>
                <w:p w14:paraId="4E694991">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W</w:t>
                  </w:r>
                </w:p>
              </w:tc>
              <w:tc>
                <w:tcPr>
                  <w:tcW w:w="761" w:type="dxa"/>
                  <w:vAlign w:val="center"/>
                </w:tcPr>
                <w:p w14:paraId="1C24D1A6">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97</w:t>
                  </w:r>
                </w:p>
              </w:tc>
              <w:tc>
                <w:tcPr>
                  <w:tcW w:w="782" w:type="dxa"/>
                  <w:vAlign w:val="center"/>
                </w:tcPr>
                <w:p w14:paraId="3D2FBCC1">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3</w:t>
                  </w:r>
                </w:p>
              </w:tc>
              <w:tc>
                <w:tcPr>
                  <w:tcW w:w="2493" w:type="dxa"/>
                  <w:vMerge w:val="continue"/>
                  <w:vAlign w:val="center"/>
                </w:tcPr>
                <w:p w14:paraId="67AA777B">
                  <w:pPr>
                    <w:jc w:val="center"/>
                    <w:rPr>
                      <w:rFonts w:hint="default" w:ascii="Times New Roman" w:hAnsi="Times New Roman" w:cs="Times New Roman"/>
                      <w:color w:val="auto"/>
                      <w:szCs w:val="20"/>
                    </w:rPr>
                  </w:pPr>
                </w:p>
              </w:tc>
            </w:tr>
            <w:tr w14:paraId="4623E0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continue"/>
                  <w:vAlign w:val="center"/>
                </w:tcPr>
                <w:p w14:paraId="4298DB9B">
                  <w:pPr>
                    <w:jc w:val="center"/>
                    <w:rPr>
                      <w:rFonts w:hint="default" w:ascii="Times New Roman" w:hAnsi="Times New Roman" w:cs="Times New Roman"/>
                      <w:color w:val="auto"/>
                      <w:szCs w:val="20"/>
                    </w:rPr>
                  </w:pPr>
                </w:p>
              </w:tc>
              <w:tc>
                <w:tcPr>
                  <w:tcW w:w="1037" w:type="dxa"/>
                  <w:vAlign w:val="center"/>
                </w:tcPr>
                <w:p w14:paraId="0DD22A9B">
                  <w:pPr>
                    <w:jc w:val="center"/>
                    <w:rPr>
                      <w:rFonts w:hint="default" w:ascii="Times New Roman" w:hAnsi="Times New Roman" w:cs="Times New Roman"/>
                      <w:color w:val="auto"/>
                      <w:szCs w:val="20"/>
                      <w:lang w:val="en-US"/>
                    </w:rPr>
                  </w:pPr>
                  <w:r>
                    <w:rPr>
                      <w:rFonts w:hint="default" w:ascii="Times New Roman" w:hAnsi="Times New Roman" w:cs="Times New Roman"/>
                      <w:color w:val="auto"/>
                      <w:szCs w:val="20"/>
                      <w:lang w:val="en-US" w:eastAsia="zh-CN"/>
                    </w:rPr>
                    <w:t>住户5</w:t>
                  </w:r>
                </w:p>
              </w:tc>
              <w:tc>
                <w:tcPr>
                  <w:tcW w:w="1817" w:type="dxa"/>
                  <w:vAlign w:val="center"/>
                </w:tcPr>
                <w:p w14:paraId="4E21F8B1">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E109°1'35.773"</w:t>
                  </w:r>
                </w:p>
                <w:p w14:paraId="4F92D3CB">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N39°40'55.316"</w:t>
                  </w:r>
                </w:p>
              </w:tc>
              <w:tc>
                <w:tcPr>
                  <w:tcW w:w="621" w:type="dxa"/>
                  <w:vAlign w:val="center"/>
                </w:tcPr>
                <w:p w14:paraId="245570B0">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W</w:t>
                  </w:r>
                </w:p>
              </w:tc>
              <w:tc>
                <w:tcPr>
                  <w:tcW w:w="761" w:type="dxa"/>
                  <w:vAlign w:val="center"/>
                </w:tcPr>
                <w:p w14:paraId="7F7F3A4D">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76</w:t>
                  </w:r>
                </w:p>
              </w:tc>
              <w:tc>
                <w:tcPr>
                  <w:tcW w:w="782" w:type="dxa"/>
                  <w:vAlign w:val="center"/>
                </w:tcPr>
                <w:p w14:paraId="3DC7B6AB">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2</w:t>
                  </w:r>
                </w:p>
              </w:tc>
              <w:tc>
                <w:tcPr>
                  <w:tcW w:w="2493" w:type="dxa"/>
                  <w:vMerge w:val="continue"/>
                  <w:vAlign w:val="center"/>
                </w:tcPr>
                <w:p w14:paraId="0A235E48">
                  <w:pPr>
                    <w:jc w:val="center"/>
                    <w:rPr>
                      <w:rFonts w:hint="default" w:ascii="Times New Roman" w:hAnsi="Times New Roman" w:cs="Times New Roman"/>
                      <w:color w:val="auto"/>
                      <w:szCs w:val="20"/>
                    </w:rPr>
                  </w:pPr>
                </w:p>
              </w:tc>
            </w:tr>
            <w:tr w14:paraId="05A968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continue"/>
                  <w:vAlign w:val="center"/>
                </w:tcPr>
                <w:p w14:paraId="24FBE44A">
                  <w:pPr>
                    <w:jc w:val="center"/>
                    <w:rPr>
                      <w:rFonts w:hint="default" w:ascii="Times New Roman" w:hAnsi="Times New Roman" w:cs="Times New Roman"/>
                      <w:color w:val="auto"/>
                      <w:szCs w:val="20"/>
                    </w:rPr>
                  </w:pPr>
                </w:p>
              </w:tc>
              <w:tc>
                <w:tcPr>
                  <w:tcW w:w="1037" w:type="dxa"/>
                  <w:vAlign w:val="center"/>
                </w:tcPr>
                <w:p w14:paraId="3E48199E">
                  <w:pPr>
                    <w:jc w:val="center"/>
                    <w:rPr>
                      <w:rFonts w:hint="default" w:ascii="Times New Roman" w:hAnsi="Times New Roman" w:cs="Times New Roman"/>
                      <w:color w:val="auto"/>
                      <w:szCs w:val="20"/>
                      <w:lang w:val="en-US"/>
                    </w:rPr>
                  </w:pPr>
                  <w:r>
                    <w:rPr>
                      <w:rFonts w:hint="default" w:ascii="Times New Roman" w:hAnsi="Times New Roman" w:cs="Times New Roman"/>
                      <w:color w:val="auto"/>
                      <w:szCs w:val="20"/>
                      <w:lang w:val="en-US" w:eastAsia="zh-CN"/>
                    </w:rPr>
                    <w:t>住户6</w:t>
                  </w:r>
                </w:p>
              </w:tc>
              <w:tc>
                <w:tcPr>
                  <w:tcW w:w="1817" w:type="dxa"/>
                  <w:vAlign w:val="center"/>
                </w:tcPr>
                <w:p w14:paraId="5310AB8E">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E109°1'23.143"</w:t>
                  </w:r>
                </w:p>
                <w:p w14:paraId="5EE7BC00">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N39°40'53.577"</w:t>
                  </w:r>
                </w:p>
              </w:tc>
              <w:tc>
                <w:tcPr>
                  <w:tcW w:w="621" w:type="dxa"/>
                  <w:vAlign w:val="center"/>
                </w:tcPr>
                <w:p w14:paraId="3D864C3C">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W</w:t>
                  </w:r>
                </w:p>
              </w:tc>
              <w:tc>
                <w:tcPr>
                  <w:tcW w:w="761" w:type="dxa"/>
                  <w:vAlign w:val="center"/>
                </w:tcPr>
                <w:p w14:paraId="4B74DFA4">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353</w:t>
                  </w:r>
                </w:p>
              </w:tc>
              <w:tc>
                <w:tcPr>
                  <w:tcW w:w="782" w:type="dxa"/>
                  <w:vAlign w:val="center"/>
                </w:tcPr>
                <w:p w14:paraId="676AC147">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1</w:t>
                  </w:r>
                </w:p>
              </w:tc>
              <w:tc>
                <w:tcPr>
                  <w:tcW w:w="2493" w:type="dxa"/>
                  <w:vMerge w:val="continue"/>
                  <w:vAlign w:val="center"/>
                </w:tcPr>
                <w:p w14:paraId="6F38E254">
                  <w:pPr>
                    <w:jc w:val="center"/>
                    <w:rPr>
                      <w:rFonts w:hint="default" w:ascii="Times New Roman" w:hAnsi="Times New Roman" w:cs="Times New Roman"/>
                      <w:color w:val="auto"/>
                      <w:szCs w:val="20"/>
                    </w:rPr>
                  </w:pPr>
                </w:p>
              </w:tc>
            </w:tr>
            <w:tr w14:paraId="190EA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continue"/>
                  <w:vAlign w:val="center"/>
                </w:tcPr>
                <w:p w14:paraId="5F4E4CB3">
                  <w:pPr>
                    <w:jc w:val="center"/>
                    <w:rPr>
                      <w:rFonts w:hint="default" w:ascii="Times New Roman" w:hAnsi="Times New Roman" w:cs="Times New Roman"/>
                      <w:color w:val="auto"/>
                      <w:szCs w:val="20"/>
                    </w:rPr>
                  </w:pPr>
                </w:p>
              </w:tc>
              <w:tc>
                <w:tcPr>
                  <w:tcW w:w="1037" w:type="dxa"/>
                  <w:vAlign w:val="center"/>
                </w:tcPr>
                <w:p w14:paraId="7F1DC04B">
                  <w:pPr>
                    <w:jc w:val="center"/>
                    <w:rPr>
                      <w:rFonts w:hint="default" w:ascii="Times New Roman" w:hAnsi="Times New Roman" w:cs="Times New Roman"/>
                      <w:color w:val="auto"/>
                      <w:szCs w:val="20"/>
                      <w:lang w:val="en-US"/>
                    </w:rPr>
                  </w:pPr>
                  <w:r>
                    <w:rPr>
                      <w:rFonts w:hint="default" w:ascii="Times New Roman" w:hAnsi="Times New Roman" w:cs="Times New Roman"/>
                      <w:color w:val="auto"/>
                      <w:szCs w:val="20"/>
                      <w:lang w:val="en-US" w:eastAsia="zh-CN"/>
                    </w:rPr>
                    <w:t>住户7</w:t>
                  </w:r>
                </w:p>
              </w:tc>
              <w:tc>
                <w:tcPr>
                  <w:tcW w:w="1817" w:type="dxa"/>
                  <w:vAlign w:val="center"/>
                </w:tcPr>
                <w:p w14:paraId="324285AE">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E109°1'21.424"</w:t>
                  </w:r>
                </w:p>
                <w:p w14:paraId="4C88E147">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N39°40'55.851"</w:t>
                  </w:r>
                </w:p>
              </w:tc>
              <w:tc>
                <w:tcPr>
                  <w:tcW w:w="621" w:type="dxa"/>
                  <w:vAlign w:val="center"/>
                </w:tcPr>
                <w:p w14:paraId="425A0BB5">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W</w:t>
                  </w:r>
                </w:p>
              </w:tc>
              <w:tc>
                <w:tcPr>
                  <w:tcW w:w="761" w:type="dxa"/>
                  <w:vAlign w:val="center"/>
                </w:tcPr>
                <w:p w14:paraId="52BC85F0">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397</w:t>
                  </w:r>
                </w:p>
              </w:tc>
              <w:tc>
                <w:tcPr>
                  <w:tcW w:w="782" w:type="dxa"/>
                  <w:vAlign w:val="center"/>
                </w:tcPr>
                <w:p w14:paraId="787FF730">
                  <w:pPr>
                    <w:jc w:val="center"/>
                    <w:rPr>
                      <w:rFonts w:hint="default" w:ascii="Times New Roman" w:hAnsi="Times New Roman" w:eastAsia="宋体" w:cs="Times New Roman"/>
                      <w:color w:val="auto"/>
                      <w:szCs w:val="20"/>
                      <w:lang w:val="en-US" w:eastAsia="zh-CN"/>
                    </w:rPr>
                  </w:pPr>
                  <w:r>
                    <w:rPr>
                      <w:rFonts w:hint="default" w:ascii="Times New Roman" w:hAnsi="Times New Roman" w:cs="Times New Roman"/>
                      <w:color w:val="auto"/>
                      <w:szCs w:val="20"/>
                      <w:lang w:val="en-US" w:eastAsia="zh-CN"/>
                    </w:rPr>
                    <w:t>2</w:t>
                  </w:r>
                </w:p>
              </w:tc>
              <w:tc>
                <w:tcPr>
                  <w:tcW w:w="2493" w:type="dxa"/>
                  <w:vMerge w:val="continue"/>
                  <w:vAlign w:val="center"/>
                </w:tcPr>
                <w:p w14:paraId="0C121E8E">
                  <w:pPr>
                    <w:jc w:val="center"/>
                    <w:rPr>
                      <w:rFonts w:hint="default" w:ascii="Times New Roman" w:hAnsi="Times New Roman" w:cs="Times New Roman"/>
                      <w:color w:val="auto"/>
                      <w:szCs w:val="20"/>
                    </w:rPr>
                  </w:pPr>
                </w:p>
              </w:tc>
            </w:tr>
            <w:tr w14:paraId="016713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restart"/>
                  <w:vAlign w:val="center"/>
                </w:tcPr>
                <w:p w14:paraId="239E33EB">
                  <w:pPr>
                    <w:jc w:val="center"/>
                    <w:rPr>
                      <w:rFonts w:hint="default" w:ascii="Times New Roman" w:hAnsi="Times New Roman" w:cs="Times New Roman"/>
                      <w:color w:val="auto"/>
                      <w:szCs w:val="20"/>
                    </w:rPr>
                  </w:pPr>
                  <w:r>
                    <w:rPr>
                      <w:rFonts w:hint="default" w:ascii="Times New Roman" w:hAnsi="Times New Roman" w:cs="Times New Roman"/>
                      <w:color w:val="auto"/>
                      <w:szCs w:val="20"/>
                    </w:rPr>
                    <w:t>声环境</w:t>
                  </w:r>
                </w:p>
              </w:tc>
              <w:tc>
                <w:tcPr>
                  <w:tcW w:w="1037" w:type="dxa"/>
                  <w:shd w:val="clear" w:color="auto" w:fill="auto"/>
                  <w:vAlign w:val="center"/>
                </w:tcPr>
                <w:p w14:paraId="75CE9936">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0"/>
                      <w:lang w:val="en-US" w:eastAsia="zh-CN"/>
                    </w:rPr>
                    <w:t>住户1</w:t>
                  </w:r>
                </w:p>
              </w:tc>
              <w:tc>
                <w:tcPr>
                  <w:tcW w:w="1817" w:type="dxa"/>
                  <w:shd w:val="clear" w:color="auto" w:fill="auto"/>
                  <w:vAlign w:val="center"/>
                </w:tcPr>
                <w:p w14:paraId="3F429555">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E109°1'41.922"</w:t>
                  </w:r>
                </w:p>
                <w:p w14:paraId="216CA207">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N39°40'55.792"</w:t>
                  </w:r>
                </w:p>
              </w:tc>
              <w:tc>
                <w:tcPr>
                  <w:tcW w:w="621" w:type="dxa"/>
                  <w:shd w:val="clear" w:color="auto" w:fill="auto"/>
                  <w:vAlign w:val="center"/>
                </w:tcPr>
                <w:p w14:paraId="14611169">
                  <w:pPr>
                    <w:jc w:val="center"/>
                    <w:rPr>
                      <w:rFonts w:hint="default" w:ascii="Times New Roman" w:hAnsi="Times New Roman" w:eastAsia="宋体" w:cs="Times New Roman"/>
                      <w:b/>
                      <w:color w:val="auto"/>
                      <w:kern w:val="2"/>
                      <w:sz w:val="21"/>
                      <w:szCs w:val="20"/>
                      <w:lang w:val="en-US" w:eastAsia="zh-CN" w:bidi="ar-SA"/>
                    </w:rPr>
                  </w:pPr>
                  <w:r>
                    <w:rPr>
                      <w:rFonts w:hint="default" w:ascii="Times New Roman" w:hAnsi="Times New Roman" w:cs="Times New Roman"/>
                      <w:color w:val="auto"/>
                      <w:szCs w:val="20"/>
                      <w:lang w:val="en-US" w:eastAsia="zh-CN"/>
                    </w:rPr>
                    <w:t>N</w:t>
                  </w:r>
                </w:p>
              </w:tc>
              <w:tc>
                <w:tcPr>
                  <w:tcW w:w="761" w:type="dxa"/>
                  <w:shd w:val="clear" w:color="auto" w:fill="auto"/>
                  <w:vAlign w:val="center"/>
                </w:tcPr>
                <w:p w14:paraId="56D5762E">
                  <w:pPr>
                    <w:jc w:val="center"/>
                    <w:rPr>
                      <w:rFonts w:hint="default" w:ascii="Times New Roman" w:hAnsi="Times New Roman" w:eastAsia="宋体" w:cs="Times New Roman"/>
                      <w:b/>
                      <w:color w:val="auto"/>
                      <w:kern w:val="2"/>
                      <w:sz w:val="21"/>
                      <w:szCs w:val="20"/>
                      <w:lang w:val="en-US" w:eastAsia="zh-CN" w:bidi="ar-SA"/>
                    </w:rPr>
                  </w:pPr>
                  <w:r>
                    <w:rPr>
                      <w:rFonts w:hint="default" w:ascii="Times New Roman" w:hAnsi="Times New Roman" w:cs="Times New Roman"/>
                      <w:color w:val="auto"/>
                      <w:szCs w:val="20"/>
                      <w:lang w:val="en-US" w:eastAsia="zh-CN"/>
                    </w:rPr>
                    <w:t>21</w:t>
                  </w:r>
                </w:p>
              </w:tc>
              <w:tc>
                <w:tcPr>
                  <w:tcW w:w="782" w:type="dxa"/>
                  <w:shd w:val="clear" w:color="auto" w:fill="auto"/>
                  <w:vAlign w:val="center"/>
                </w:tcPr>
                <w:p w14:paraId="685EA94F">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0"/>
                    </w:rPr>
                    <w:t>2</w:t>
                  </w:r>
                </w:p>
              </w:tc>
              <w:tc>
                <w:tcPr>
                  <w:tcW w:w="2493" w:type="dxa"/>
                  <w:vMerge w:val="restart"/>
                  <w:vAlign w:val="center"/>
                </w:tcPr>
                <w:p w14:paraId="710C5779">
                  <w:pPr>
                    <w:jc w:val="center"/>
                    <w:rPr>
                      <w:rFonts w:hint="default" w:ascii="Times New Roman" w:hAnsi="Times New Roman" w:cs="Times New Roman"/>
                      <w:color w:val="auto"/>
                      <w:szCs w:val="20"/>
                    </w:rPr>
                  </w:pPr>
                  <w:r>
                    <w:rPr>
                      <w:rFonts w:hint="default" w:ascii="Times New Roman" w:hAnsi="Times New Roman" w:cs="Times New Roman"/>
                      <w:color w:val="auto"/>
                      <w:szCs w:val="20"/>
                    </w:rPr>
                    <w:t>《声环境质量标准》（GB3096-2008）1类标准</w:t>
                  </w:r>
                </w:p>
              </w:tc>
            </w:tr>
            <w:tr w14:paraId="167CB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795" w:type="dxa"/>
                  <w:vMerge w:val="continue"/>
                  <w:vAlign w:val="center"/>
                </w:tcPr>
                <w:p w14:paraId="372C937E">
                  <w:pPr>
                    <w:jc w:val="center"/>
                    <w:rPr>
                      <w:rFonts w:hint="default" w:ascii="Times New Roman" w:hAnsi="Times New Roman" w:cs="Times New Roman"/>
                      <w:color w:val="auto"/>
                      <w:szCs w:val="20"/>
                    </w:rPr>
                  </w:pPr>
                </w:p>
              </w:tc>
              <w:tc>
                <w:tcPr>
                  <w:tcW w:w="1037" w:type="dxa"/>
                  <w:shd w:val="clear" w:color="auto" w:fill="auto"/>
                  <w:vAlign w:val="center"/>
                </w:tcPr>
                <w:p w14:paraId="3BA6293A">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0"/>
                      <w:lang w:val="en-US" w:eastAsia="zh-CN"/>
                    </w:rPr>
                    <w:t>住户2</w:t>
                  </w:r>
                </w:p>
              </w:tc>
              <w:tc>
                <w:tcPr>
                  <w:tcW w:w="1817" w:type="dxa"/>
                  <w:shd w:val="clear" w:color="auto" w:fill="auto"/>
                  <w:vAlign w:val="center"/>
                </w:tcPr>
                <w:p w14:paraId="779D90AD">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E109°1'43.903"</w:t>
                  </w:r>
                </w:p>
                <w:p w14:paraId="25F2C8B4">
                  <w:pPr>
                    <w:jc w:val="center"/>
                    <w:rPr>
                      <w:rFonts w:hint="default" w:ascii="Times New Roman" w:hAnsi="Times New Roman" w:cs="Times New Roman"/>
                      <w:color w:val="auto"/>
                      <w:szCs w:val="20"/>
                      <w:lang w:val="en-US" w:eastAsia="zh-CN"/>
                    </w:rPr>
                  </w:pPr>
                  <w:r>
                    <w:rPr>
                      <w:rFonts w:hint="default" w:ascii="Times New Roman" w:hAnsi="Times New Roman" w:cs="Times New Roman"/>
                      <w:color w:val="auto"/>
                      <w:szCs w:val="20"/>
                      <w:lang w:val="en-US" w:eastAsia="zh-CN"/>
                    </w:rPr>
                    <w:t>N39°40'53.644"</w:t>
                  </w:r>
                </w:p>
              </w:tc>
              <w:tc>
                <w:tcPr>
                  <w:tcW w:w="621" w:type="dxa"/>
                  <w:shd w:val="clear" w:color="auto" w:fill="auto"/>
                  <w:vAlign w:val="center"/>
                </w:tcPr>
                <w:p w14:paraId="6142F2E1">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0"/>
                      <w:lang w:val="en-US" w:eastAsia="zh-CN"/>
                    </w:rPr>
                    <w:t>E</w:t>
                  </w:r>
                </w:p>
              </w:tc>
              <w:tc>
                <w:tcPr>
                  <w:tcW w:w="761" w:type="dxa"/>
                  <w:shd w:val="clear" w:color="auto" w:fill="auto"/>
                  <w:vAlign w:val="center"/>
                </w:tcPr>
                <w:p w14:paraId="039805D3">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0"/>
                      <w:lang w:val="en-US" w:eastAsia="zh-CN"/>
                    </w:rPr>
                    <w:t>44</w:t>
                  </w:r>
                </w:p>
              </w:tc>
              <w:tc>
                <w:tcPr>
                  <w:tcW w:w="782" w:type="dxa"/>
                  <w:shd w:val="clear" w:color="auto" w:fill="auto"/>
                  <w:vAlign w:val="center"/>
                </w:tcPr>
                <w:p w14:paraId="2DE1BCBA">
                  <w:pPr>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cs="Times New Roman"/>
                      <w:color w:val="auto"/>
                      <w:szCs w:val="20"/>
                      <w:lang w:val="en-US" w:eastAsia="zh-CN"/>
                    </w:rPr>
                    <w:t>2</w:t>
                  </w:r>
                </w:p>
              </w:tc>
              <w:tc>
                <w:tcPr>
                  <w:tcW w:w="2493" w:type="dxa"/>
                  <w:vMerge w:val="continue"/>
                  <w:vAlign w:val="center"/>
                </w:tcPr>
                <w:p w14:paraId="7D22358D">
                  <w:pPr>
                    <w:jc w:val="center"/>
                    <w:rPr>
                      <w:rFonts w:hint="default" w:ascii="Times New Roman" w:hAnsi="Times New Roman" w:cs="Times New Roman"/>
                      <w:color w:val="auto"/>
                      <w:szCs w:val="20"/>
                    </w:rPr>
                  </w:pPr>
                </w:p>
              </w:tc>
            </w:tr>
          </w:tbl>
          <w:p w14:paraId="0C09DDA2">
            <w:pPr>
              <w:spacing w:line="360" w:lineRule="auto"/>
              <w:rPr>
                <w:rFonts w:hint="default" w:ascii="Times New Roman" w:hAnsi="Times New Roman" w:cs="Times New Roman"/>
                <w:color w:val="auto"/>
                <w:kern w:val="0"/>
                <w:szCs w:val="21"/>
              </w:rPr>
            </w:pPr>
          </w:p>
        </w:tc>
      </w:tr>
      <w:tr w14:paraId="5314AD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534" w:type="dxa"/>
            <w:tcMar>
              <w:left w:w="28" w:type="dxa"/>
              <w:right w:w="28" w:type="dxa"/>
            </w:tcMar>
            <w:vAlign w:val="center"/>
          </w:tcPr>
          <w:p w14:paraId="32BEB403">
            <w:pPr>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污染物排放控制标准</w:t>
            </w:r>
          </w:p>
        </w:tc>
        <w:tc>
          <w:tcPr>
            <w:tcW w:w="8527" w:type="dxa"/>
            <w:vAlign w:val="center"/>
          </w:tcPr>
          <w:p w14:paraId="590CB74C">
            <w:pPr>
              <w:spacing w:line="360" w:lineRule="auto"/>
              <w:rPr>
                <w:rFonts w:hint="default" w:ascii="Times New Roman" w:hAnsi="Times New Roman" w:cs="Times New Roman"/>
                <w:b/>
                <w:color w:val="auto"/>
                <w:kern w:val="0"/>
                <w:sz w:val="24"/>
              </w:rPr>
            </w:pPr>
            <w:r>
              <w:rPr>
                <w:rFonts w:hint="default" w:ascii="Times New Roman" w:hAnsi="Times New Roman" w:cs="Times New Roman"/>
                <w:b/>
                <w:color w:val="auto"/>
                <w:kern w:val="0"/>
                <w:sz w:val="24"/>
              </w:rPr>
              <w:t>1.大气污染物排放标准</w:t>
            </w:r>
          </w:p>
          <w:p w14:paraId="57E0C124">
            <w:pPr>
              <w:spacing w:line="360" w:lineRule="auto"/>
              <w:ind w:firstLine="480" w:firstLineChars="200"/>
              <w:rPr>
                <w:rFonts w:hint="default" w:ascii="Times New Roman" w:hAnsi="Times New Roman" w:cs="Times New Roman"/>
                <w:color w:val="auto"/>
                <w:sz w:val="24"/>
                <w:szCs w:val="22"/>
              </w:rPr>
            </w:pPr>
            <w:r>
              <w:rPr>
                <w:rFonts w:hint="default" w:ascii="Times New Roman" w:hAnsi="Times New Roman" w:cs="Times New Roman"/>
                <w:color w:val="auto"/>
                <w:sz w:val="24"/>
                <w:szCs w:val="22"/>
              </w:rPr>
              <w:t>本项目施工期产</w:t>
            </w:r>
            <w:r>
              <w:rPr>
                <w:rFonts w:hint="default" w:ascii="Times New Roman" w:hAnsi="Times New Roman" w:cs="Times New Roman"/>
                <w:color w:val="auto"/>
                <w:sz w:val="24"/>
                <w:szCs w:val="22"/>
                <w:lang w:eastAsia="zh-CN"/>
              </w:rPr>
              <w:t>生的</w:t>
            </w:r>
            <w:r>
              <w:rPr>
                <w:rFonts w:hint="default" w:ascii="Times New Roman" w:hAnsi="Times New Roman" w:cs="Times New Roman"/>
                <w:color w:val="auto"/>
                <w:sz w:val="24"/>
                <w:szCs w:val="22"/>
              </w:rPr>
              <w:t>粉尘执行《大气污染物综合排放标准》（GB16297-1996）中的表2新污染源大气排放限值中无组织排放监控浓度限值。</w:t>
            </w:r>
          </w:p>
          <w:p w14:paraId="0C148885">
            <w:pPr>
              <w:spacing w:line="312" w:lineRule="auto"/>
              <w:ind w:firstLine="422"/>
              <w:jc w:val="center"/>
              <w:rPr>
                <w:rFonts w:hint="default" w:ascii="Times New Roman" w:hAnsi="Times New Roman" w:cs="Times New Roman"/>
                <w:b/>
                <w:bCs/>
                <w:color w:val="auto"/>
                <w:sz w:val="24"/>
              </w:rPr>
            </w:pPr>
          </w:p>
          <w:p w14:paraId="645E5672">
            <w:pPr>
              <w:spacing w:line="312" w:lineRule="auto"/>
              <w:ind w:firstLine="422"/>
              <w:jc w:val="center"/>
              <w:rPr>
                <w:rFonts w:hint="default" w:ascii="Times New Roman" w:hAnsi="Times New Roman" w:cs="Times New Roman"/>
                <w:b/>
                <w:bCs/>
                <w:color w:val="auto"/>
                <w:sz w:val="24"/>
              </w:rPr>
            </w:pPr>
            <w:r>
              <w:rPr>
                <w:rFonts w:hint="default" w:ascii="Times New Roman" w:hAnsi="Times New Roman" w:cs="Times New Roman"/>
                <w:b/>
                <w:bCs/>
                <w:color w:val="auto"/>
                <w:sz w:val="24"/>
              </w:rPr>
              <w:t>表3-</w:t>
            </w:r>
            <w:r>
              <w:rPr>
                <w:rFonts w:hint="default" w:ascii="Times New Roman" w:hAnsi="Times New Roman" w:cs="Times New Roman"/>
                <w:b/>
                <w:bCs/>
                <w:color w:val="auto"/>
                <w:sz w:val="24"/>
                <w:lang w:val="en-US" w:eastAsia="zh-CN"/>
              </w:rPr>
              <w:t>3</w:t>
            </w:r>
            <w:r>
              <w:rPr>
                <w:rFonts w:hint="default" w:ascii="Times New Roman" w:hAnsi="Times New Roman" w:cs="Times New Roman"/>
                <w:b/>
                <w:bCs/>
                <w:color w:val="auto"/>
                <w:sz w:val="24"/>
              </w:rPr>
              <w:t xml:space="preserve"> 施工期大气污染物排放标准一览表</w:t>
            </w:r>
          </w:p>
          <w:tbl>
            <w:tblPr>
              <w:tblStyle w:val="17"/>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258"/>
              <w:gridCol w:w="816"/>
              <w:gridCol w:w="1850"/>
              <w:gridCol w:w="4296"/>
            </w:tblGrid>
            <w:tr w14:paraId="0FE526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81" w:hRule="atLeast"/>
                <w:jc w:val="center"/>
              </w:trPr>
              <w:tc>
                <w:tcPr>
                  <w:tcW w:w="765" w:type="pct"/>
                  <w:vMerge w:val="restart"/>
                  <w:tcMar>
                    <w:left w:w="0" w:type="dxa"/>
                    <w:right w:w="0" w:type="dxa"/>
                  </w:tcMar>
                  <w:vAlign w:val="center"/>
                </w:tcPr>
                <w:p w14:paraId="1227417D">
                  <w:pPr>
                    <w:adjustRightInd w:val="0"/>
                    <w:snapToGrid w:val="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时期</w:t>
                  </w:r>
                </w:p>
              </w:tc>
              <w:tc>
                <w:tcPr>
                  <w:tcW w:w="496" w:type="pct"/>
                  <w:vMerge w:val="restart"/>
                  <w:vAlign w:val="center"/>
                </w:tcPr>
                <w:p w14:paraId="0708055F">
                  <w:pPr>
                    <w:adjustRightInd w:val="0"/>
                    <w:snapToGrid w:val="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污染物</w:t>
                  </w:r>
                </w:p>
              </w:tc>
              <w:tc>
                <w:tcPr>
                  <w:tcW w:w="1125" w:type="pct"/>
                  <w:vMerge w:val="restart"/>
                  <w:tcMar>
                    <w:left w:w="0" w:type="dxa"/>
                    <w:right w:w="0" w:type="dxa"/>
                  </w:tcMar>
                  <w:vAlign w:val="center"/>
                </w:tcPr>
                <w:p w14:paraId="1F5B7C9E">
                  <w:pPr>
                    <w:adjustRightInd w:val="0"/>
                    <w:snapToGrid w:val="0"/>
                    <w:jc w:val="center"/>
                    <w:rPr>
                      <w:rFonts w:hint="default" w:ascii="Times New Roman" w:hAnsi="Times New Roman" w:cs="Times New Roman"/>
                      <w:b/>
                      <w:color w:val="auto"/>
                      <w:szCs w:val="21"/>
                    </w:rPr>
                  </w:pPr>
                  <w:r>
                    <w:rPr>
                      <w:rFonts w:hint="default" w:ascii="Times New Roman" w:hAnsi="Times New Roman" w:cs="Times New Roman"/>
                      <w:b/>
                      <w:bCs/>
                      <w:color w:val="auto"/>
                      <w:kern w:val="0"/>
                      <w:szCs w:val="21"/>
                    </w:rPr>
                    <w:t>无组织排放监控浓度限值</w:t>
                  </w:r>
                </w:p>
              </w:tc>
              <w:tc>
                <w:tcPr>
                  <w:tcW w:w="2612" w:type="pct"/>
                  <w:vMerge w:val="restart"/>
                  <w:tcMar>
                    <w:left w:w="0" w:type="dxa"/>
                    <w:right w:w="0" w:type="dxa"/>
                  </w:tcMar>
                  <w:vAlign w:val="center"/>
                </w:tcPr>
                <w:p w14:paraId="13C88D65">
                  <w:pPr>
                    <w:adjustRightInd w:val="0"/>
                    <w:snapToGrid w:val="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标准来源</w:t>
                  </w:r>
                </w:p>
              </w:tc>
            </w:tr>
            <w:tr w14:paraId="4254B1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81" w:hRule="atLeast"/>
                <w:jc w:val="center"/>
              </w:trPr>
              <w:tc>
                <w:tcPr>
                  <w:tcW w:w="765" w:type="pct"/>
                  <w:vMerge w:val="continue"/>
                  <w:tcMar>
                    <w:left w:w="0" w:type="dxa"/>
                    <w:right w:w="0" w:type="dxa"/>
                  </w:tcMar>
                  <w:vAlign w:val="center"/>
                </w:tcPr>
                <w:p w14:paraId="6512ED4B">
                  <w:pPr>
                    <w:adjustRightInd w:val="0"/>
                    <w:snapToGrid w:val="0"/>
                    <w:jc w:val="center"/>
                    <w:rPr>
                      <w:rFonts w:hint="default" w:ascii="Times New Roman" w:hAnsi="Times New Roman" w:cs="Times New Roman"/>
                      <w:b/>
                      <w:color w:val="auto"/>
                      <w:szCs w:val="21"/>
                    </w:rPr>
                  </w:pPr>
                </w:p>
              </w:tc>
              <w:tc>
                <w:tcPr>
                  <w:tcW w:w="496" w:type="pct"/>
                  <w:vMerge w:val="continue"/>
                  <w:vAlign w:val="center"/>
                </w:tcPr>
                <w:p w14:paraId="222653FA">
                  <w:pPr>
                    <w:adjustRightInd w:val="0"/>
                    <w:snapToGrid w:val="0"/>
                    <w:jc w:val="center"/>
                    <w:rPr>
                      <w:rFonts w:hint="default" w:ascii="Times New Roman" w:hAnsi="Times New Roman" w:cs="Times New Roman"/>
                      <w:b/>
                      <w:color w:val="auto"/>
                      <w:szCs w:val="21"/>
                    </w:rPr>
                  </w:pPr>
                </w:p>
              </w:tc>
              <w:tc>
                <w:tcPr>
                  <w:tcW w:w="1125" w:type="pct"/>
                  <w:vMerge w:val="continue"/>
                  <w:tcMar>
                    <w:left w:w="0" w:type="dxa"/>
                    <w:right w:w="0" w:type="dxa"/>
                  </w:tcMar>
                  <w:vAlign w:val="center"/>
                </w:tcPr>
                <w:p w14:paraId="2C696D28">
                  <w:pPr>
                    <w:adjustRightInd w:val="0"/>
                    <w:snapToGrid w:val="0"/>
                    <w:jc w:val="center"/>
                    <w:rPr>
                      <w:rFonts w:hint="default" w:ascii="Times New Roman" w:hAnsi="Times New Roman" w:cs="Times New Roman"/>
                      <w:b/>
                      <w:bCs/>
                      <w:color w:val="auto"/>
                      <w:kern w:val="0"/>
                      <w:szCs w:val="21"/>
                    </w:rPr>
                  </w:pPr>
                </w:p>
              </w:tc>
              <w:tc>
                <w:tcPr>
                  <w:tcW w:w="2612" w:type="pct"/>
                  <w:vMerge w:val="continue"/>
                  <w:tcMar>
                    <w:left w:w="0" w:type="dxa"/>
                    <w:right w:w="0" w:type="dxa"/>
                  </w:tcMar>
                  <w:vAlign w:val="center"/>
                </w:tcPr>
                <w:p w14:paraId="638D647B">
                  <w:pPr>
                    <w:adjustRightInd w:val="0"/>
                    <w:snapToGrid w:val="0"/>
                    <w:jc w:val="center"/>
                    <w:rPr>
                      <w:rFonts w:hint="default" w:ascii="Times New Roman" w:hAnsi="Times New Roman" w:cs="Times New Roman"/>
                      <w:b/>
                      <w:color w:val="auto"/>
                      <w:szCs w:val="21"/>
                    </w:rPr>
                  </w:pPr>
                </w:p>
              </w:tc>
            </w:tr>
            <w:tr w14:paraId="7195E3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765" w:type="pct"/>
                  <w:tcMar>
                    <w:left w:w="0" w:type="dxa"/>
                    <w:right w:w="0" w:type="dxa"/>
                  </w:tcMar>
                  <w:vAlign w:val="center"/>
                </w:tcPr>
                <w:p w14:paraId="46278E45">
                  <w:pPr>
                    <w:adjustRightInd w:val="0"/>
                    <w:snapToGrid w:val="0"/>
                    <w:jc w:val="center"/>
                    <w:rPr>
                      <w:rFonts w:hint="default" w:ascii="Times New Roman" w:hAnsi="Times New Roman" w:cs="Times New Roman"/>
                      <w:b/>
                      <w:color w:val="auto"/>
                      <w:szCs w:val="21"/>
                    </w:rPr>
                  </w:pPr>
                  <w:r>
                    <w:rPr>
                      <w:rFonts w:hint="default" w:ascii="Times New Roman" w:hAnsi="Times New Roman" w:cs="Times New Roman"/>
                      <w:bCs/>
                      <w:color w:val="auto"/>
                      <w:szCs w:val="21"/>
                    </w:rPr>
                    <w:t>施工期</w:t>
                  </w:r>
                </w:p>
              </w:tc>
              <w:tc>
                <w:tcPr>
                  <w:tcW w:w="496" w:type="pct"/>
                  <w:vAlign w:val="center"/>
                </w:tcPr>
                <w:p w14:paraId="7689C794">
                  <w:pPr>
                    <w:adjustRightInd w:val="0"/>
                    <w:snapToGrid w:val="0"/>
                    <w:jc w:val="center"/>
                    <w:rPr>
                      <w:rFonts w:hint="default" w:ascii="Times New Roman" w:hAnsi="Times New Roman" w:cs="Times New Roman"/>
                      <w:b/>
                      <w:color w:val="auto"/>
                      <w:szCs w:val="21"/>
                    </w:rPr>
                  </w:pPr>
                  <w:r>
                    <w:rPr>
                      <w:rFonts w:hint="default" w:ascii="Times New Roman" w:hAnsi="Times New Roman" w:cs="Times New Roman"/>
                      <w:bCs/>
                      <w:color w:val="auto"/>
                      <w:szCs w:val="21"/>
                    </w:rPr>
                    <w:t>颗粒物</w:t>
                  </w:r>
                </w:p>
              </w:tc>
              <w:tc>
                <w:tcPr>
                  <w:tcW w:w="1125" w:type="pct"/>
                  <w:tcMar>
                    <w:left w:w="0" w:type="dxa"/>
                    <w:right w:w="0" w:type="dxa"/>
                  </w:tcMar>
                  <w:vAlign w:val="center"/>
                </w:tcPr>
                <w:p w14:paraId="392D0FD4">
                  <w:pPr>
                    <w:adjustRightInd w:val="0"/>
                    <w:snapToGrid w:val="0"/>
                    <w:jc w:val="center"/>
                    <w:rPr>
                      <w:rFonts w:hint="default" w:ascii="Times New Roman" w:hAnsi="Times New Roman" w:eastAsia="宋体" w:cs="Times New Roman"/>
                      <w:b/>
                      <w:color w:val="auto"/>
                      <w:kern w:val="0"/>
                      <w:szCs w:val="21"/>
                      <w:lang w:eastAsia="zh-CN"/>
                    </w:rPr>
                  </w:pPr>
                  <w:r>
                    <w:rPr>
                      <w:rFonts w:hint="default" w:ascii="Times New Roman" w:hAnsi="Times New Roman" w:cs="Times New Roman"/>
                      <w:color w:val="auto"/>
                      <w:szCs w:val="21"/>
                    </w:rPr>
                    <w:t>1.0</w:t>
                  </w:r>
                  <w:r>
                    <w:rPr>
                      <w:rFonts w:hint="default" w:ascii="Times New Roman" w:hAnsi="Times New Roman" w:cs="Times New Roman"/>
                      <w:bCs/>
                      <w:color w:val="auto"/>
                      <w:szCs w:val="21"/>
                      <w:vertAlign w:val="baseline"/>
                      <w:lang w:eastAsia="zh-CN"/>
                    </w:rPr>
                    <w:t>m</w:t>
                  </w:r>
                  <w:r>
                    <w:rPr>
                      <w:rFonts w:hint="default" w:ascii="Times New Roman" w:hAnsi="Times New Roman" w:cs="Times New Roman"/>
                      <w:bCs/>
                      <w:color w:val="auto"/>
                      <w:szCs w:val="21"/>
                    </w:rPr>
                    <w:t>g/</w:t>
                  </w:r>
                  <w:r>
                    <w:rPr>
                      <w:rFonts w:hint="default" w:ascii="Times New Roman" w:hAnsi="Times New Roman" w:cs="Times New Roman"/>
                      <w:bCs/>
                      <w:color w:val="auto"/>
                      <w:szCs w:val="21"/>
                      <w:vertAlign w:val="baseline"/>
                      <w:lang w:eastAsia="zh-CN"/>
                    </w:rPr>
                    <w:t>m</w:t>
                  </w:r>
                  <w:r>
                    <w:rPr>
                      <w:rFonts w:hint="default" w:ascii="Times New Roman" w:hAnsi="Times New Roman" w:cs="Times New Roman"/>
                      <w:bCs/>
                      <w:color w:val="auto"/>
                      <w:szCs w:val="21"/>
                      <w:vertAlign w:val="superscript"/>
                      <w:lang w:eastAsia="zh-CN"/>
                    </w:rPr>
                    <w:t>3</w:t>
                  </w:r>
                </w:p>
              </w:tc>
              <w:tc>
                <w:tcPr>
                  <w:tcW w:w="2612" w:type="pct"/>
                  <w:tcMar>
                    <w:left w:w="0" w:type="dxa"/>
                    <w:right w:w="0" w:type="dxa"/>
                  </w:tcMar>
                  <w:vAlign w:val="center"/>
                </w:tcPr>
                <w:p w14:paraId="10C50678">
                  <w:pPr>
                    <w:adjustRightInd w:val="0"/>
                    <w:snapToGrid w:val="0"/>
                    <w:jc w:val="center"/>
                    <w:rPr>
                      <w:rFonts w:hint="eastAsia" w:ascii="Times New Roman" w:hAnsi="Times New Roman" w:eastAsia="宋体" w:cs="Times New Roman"/>
                      <w:b/>
                      <w:color w:val="auto"/>
                      <w:szCs w:val="21"/>
                      <w:lang w:eastAsia="zh-CN"/>
                    </w:rPr>
                  </w:pPr>
                  <w:r>
                    <w:rPr>
                      <w:rFonts w:hint="default" w:ascii="Times New Roman" w:hAnsi="Times New Roman" w:cs="Times New Roman"/>
                      <w:bCs/>
                      <w:color w:val="auto"/>
                      <w:szCs w:val="21"/>
                    </w:rPr>
                    <w:t>《大气污染物综合排放标准》（GB 16297-1996）中无组织排放标准限值</w:t>
                  </w:r>
                  <w:r>
                    <w:rPr>
                      <w:rFonts w:hint="eastAsia" w:cs="Times New Roman"/>
                      <w:bCs/>
                      <w:color w:val="auto"/>
                      <w:szCs w:val="21"/>
                      <w:lang w:eastAsia="zh-CN"/>
                    </w:rPr>
                    <w:t>。</w:t>
                  </w:r>
                </w:p>
              </w:tc>
            </w:tr>
          </w:tbl>
          <w:p w14:paraId="5481D10A">
            <w:pPr>
              <w:adjustRightInd w:val="0"/>
              <w:snapToGrid w:val="0"/>
              <w:spacing w:before="240" w:line="360" w:lineRule="auto"/>
              <w:ind w:firstLine="482"/>
              <w:textAlignment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运营期臭气浓度执行《恶臭污染物排放标准》（GB14554-93）表1二级标准及表2标准。</w:t>
            </w:r>
          </w:p>
          <w:p w14:paraId="6ADE5C65">
            <w:pPr>
              <w:tabs>
                <w:tab w:val="left" w:pos="0"/>
              </w:tabs>
              <w:adjustRightInd w:val="0"/>
              <w:spacing w:after="120" w:line="312" w:lineRule="atLeast"/>
              <w:jc w:val="center"/>
              <w:textAlignment w:val="baseline"/>
              <w:rPr>
                <w:rFonts w:hint="default" w:ascii="Times New Roman" w:hAnsi="Times New Roman" w:eastAsia="宋体" w:cs="Times New Roman"/>
                <w:b/>
                <w:bCs/>
                <w:color w:val="auto"/>
                <w:kern w:val="0"/>
                <w:sz w:val="24"/>
              </w:rPr>
            </w:pPr>
            <w:r>
              <w:rPr>
                <w:rFonts w:hint="default" w:ascii="Times New Roman" w:hAnsi="Times New Roman" w:eastAsia="宋体" w:cs="Times New Roman"/>
                <w:b/>
                <w:bCs/>
                <w:color w:val="auto"/>
                <w:kern w:val="0"/>
                <w:sz w:val="24"/>
              </w:rPr>
              <w:t>表3-</w:t>
            </w:r>
            <w:r>
              <w:rPr>
                <w:rFonts w:hint="default" w:ascii="Times New Roman" w:hAnsi="Times New Roman" w:eastAsia="宋体" w:cs="Times New Roman"/>
                <w:b/>
                <w:bCs/>
                <w:color w:val="auto"/>
                <w:kern w:val="0"/>
                <w:sz w:val="24"/>
                <w:lang w:val="en-US" w:eastAsia="zh-CN"/>
              </w:rPr>
              <w:t>4</w:t>
            </w:r>
            <w:r>
              <w:rPr>
                <w:rFonts w:hint="default" w:ascii="Times New Roman" w:hAnsi="Times New Roman" w:eastAsia="宋体" w:cs="Times New Roman"/>
                <w:b/>
                <w:bCs/>
                <w:color w:val="auto"/>
                <w:kern w:val="0"/>
                <w:sz w:val="24"/>
              </w:rPr>
              <w:t xml:space="preserve">  恶臭污染物厂界标准值</w:t>
            </w:r>
          </w:p>
          <w:tbl>
            <w:tblPr>
              <w:tblStyle w:val="17"/>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15"/>
              <w:gridCol w:w="1128"/>
              <w:gridCol w:w="2693"/>
              <w:gridCol w:w="3692"/>
            </w:tblGrid>
            <w:tr w14:paraId="4DDB45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35" w:type="pct"/>
                  <w:noWrap w:val="0"/>
                  <w:tcMar>
                    <w:left w:w="0" w:type="dxa"/>
                    <w:right w:w="0" w:type="dxa"/>
                  </w:tcMar>
                  <w:vAlign w:val="center"/>
                </w:tcPr>
                <w:p w14:paraId="1A01F483">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时期</w:t>
                  </w:r>
                </w:p>
              </w:tc>
              <w:tc>
                <w:tcPr>
                  <w:tcW w:w="685" w:type="pct"/>
                  <w:noWrap w:val="0"/>
                  <w:vAlign w:val="center"/>
                </w:tcPr>
                <w:p w14:paraId="20338029">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污染物</w:t>
                  </w:r>
                </w:p>
              </w:tc>
              <w:tc>
                <w:tcPr>
                  <w:tcW w:w="1636" w:type="pct"/>
                  <w:noWrap w:val="0"/>
                  <w:tcMar>
                    <w:left w:w="0" w:type="dxa"/>
                    <w:right w:w="0" w:type="dxa"/>
                  </w:tcMar>
                  <w:vAlign w:val="center"/>
                </w:tcPr>
                <w:p w14:paraId="24DF2315">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kern w:val="0"/>
                      <w:szCs w:val="21"/>
                    </w:rPr>
                    <w:t>厂界标准值</w:t>
                  </w:r>
                </w:p>
              </w:tc>
              <w:tc>
                <w:tcPr>
                  <w:tcW w:w="2243" w:type="pct"/>
                  <w:noWrap w:val="0"/>
                  <w:tcMar>
                    <w:left w:w="0" w:type="dxa"/>
                    <w:right w:w="0" w:type="dxa"/>
                  </w:tcMar>
                  <w:vAlign w:val="center"/>
                </w:tcPr>
                <w:p w14:paraId="4FD79EA1">
                  <w:pPr>
                    <w:adjustRightInd w:val="0"/>
                    <w:snapToGrid w:val="0"/>
                    <w:jc w:val="center"/>
                    <w:rPr>
                      <w:rFonts w:hint="default" w:ascii="Times New Roman" w:hAnsi="Times New Roman" w:eastAsia="宋体" w:cs="Times New Roman"/>
                      <w:b/>
                      <w:color w:val="auto"/>
                      <w:szCs w:val="21"/>
                    </w:rPr>
                  </w:pPr>
                  <w:r>
                    <w:rPr>
                      <w:rFonts w:hint="default" w:ascii="Times New Roman" w:hAnsi="Times New Roman" w:eastAsia="宋体" w:cs="Times New Roman"/>
                      <w:b/>
                      <w:color w:val="auto"/>
                      <w:szCs w:val="21"/>
                    </w:rPr>
                    <w:t>标准来源</w:t>
                  </w:r>
                </w:p>
              </w:tc>
            </w:tr>
            <w:tr w14:paraId="55A629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35" w:type="pct"/>
                  <w:noWrap w:val="0"/>
                  <w:tcMar>
                    <w:left w:w="0" w:type="dxa"/>
                    <w:right w:w="0" w:type="dxa"/>
                  </w:tcMar>
                  <w:vAlign w:val="center"/>
                </w:tcPr>
                <w:p w14:paraId="601CFDA0">
                  <w:pPr>
                    <w:adjustRightInd w:val="0"/>
                    <w:snapToGrid w:val="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运营期</w:t>
                  </w:r>
                </w:p>
              </w:tc>
              <w:tc>
                <w:tcPr>
                  <w:tcW w:w="685" w:type="pct"/>
                  <w:shd w:val="clear" w:color="auto" w:fill="auto"/>
                  <w:noWrap w:val="0"/>
                  <w:vAlign w:val="center"/>
                </w:tcPr>
                <w:p w14:paraId="344D58B9">
                  <w:pPr>
                    <w:adjustRightInd w:val="0"/>
                    <w:snapToGrid w:val="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臭气浓度</w:t>
                  </w:r>
                </w:p>
              </w:tc>
              <w:tc>
                <w:tcPr>
                  <w:tcW w:w="1636" w:type="pct"/>
                  <w:shd w:val="clear" w:color="auto" w:fill="auto"/>
                  <w:noWrap w:val="0"/>
                  <w:tcMar>
                    <w:left w:w="0" w:type="dxa"/>
                    <w:right w:w="0" w:type="dxa"/>
                  </w:tcMar>
                  <w:vAlign w:val="center"/>
                </w:tcPr>
                <w:p w14:paraId="7550423C">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20（无量纲）</w:t>
                  </w:r>
                </w:p>
              </w:tc>
              <w:tc>
                <w:tcPr>
                  <w:tcW w:w="2243" w:type="pct"/>
                  <w:noWrap w:val="0"/>
                  <w:tcMar>
                    <w:left w:w="0" w:type="dxa"/>
                    <w:right w:w="0" w:type="dxa"/>
                  </w:tcMar>
                  <w:vAlign w:val="center"/>
                </w:tcPr>
                <w:p w14:paraId="7BC1759A">
                  <w:pPr>
                    <w:adjustRightInd w:val="0"/>
                    <w:snapToGrid w:val="0"/>
                    <w:jc w:val="center"/>
                    <w:rPr>
                      <w:rFonts w:hint="eastAsia" w:ascii="Times New Roman" w:hAnsi="Times New Roman" w:eastAsia="宋体" w:cs="Times New Roman"/>
                      <w:bCs/>
                      <w:color w:val="auto"/>
                      <w:szCs w:val="21"/>
                      <w:lang w:eastAsia="zh-CN"/>
                    </w:rPr>
                  </w:pPr>
                  <w:r>
                    <w:rPr>
                      <w:rFonts w:hint="default" w:ascii="Times New Roman" w:hAnsi="Times New Roman" w:eastAsia="宋体" w:cs="Times New Roman"/>
                      <w:bCs/>
                      <w:color w:val="auto"/>
                      <w:szCs w:val="21"/>
                    </w:rPr>
                    <w:t>《恶臭污染物排放标准》（GB14554-93）表1标准</w:t>
                  </w:r>
                  <w:r>
                    <w:rPr>
                      <w:rFonts w:hint="eastAsia" w:cs="Times New Roman"/>
                      <w:bCs/>
                      <w:color w:val="auto"/>
                      <w:szCs w:val="21"/>
                      <w:lang w:eastAsia="zh-CN"/>
                    </w:rPr>
                    <w:t>。</w:t>
                  </w:r>
                </w:p>
              </w:tc>
            </w:tr>
          </w:tbl>
          <w:p w14:paraId="57BB90AF">
            <w:pPr>
              <w:spacing w:before="240" w:line="360" w:lineRule="auto"/>
              <w:rPr>
                <w:rFonts w:hint="default" w:ascii="Times New Roman" w:hAnsi="Times New Roman" w:eastAsia="宋体" w:cs="Times New Roman"/>
                <w:b/>
                <w:color w:val="auto"/>
                <w:sz w:val="24"/>
                <w:lang w:val="en-US" w:eastAsia="zh-CN"/>
              </w:rPr>
            </w:pPr>
            <w:r>
              <w:rPr>
                <w:rFonts w:hint="default" w:ascii="Times New Roman" w:hAnsi="Times New Roman" w:cs="Times New Roman"/>
                <w:b/>
                <w:color w:val="auto"/>
                <w:sz w:val="24"/>
              </w:rPr>
              <w:t>2.</w:t>
            </w:r>
            <w:r>
              <w:rPr>
                <w:rFonts w:hint="default" w:ascii="Times New Roman" w:hAnsi="Times New Roman" w:cs="Times New Roman"/>
                <w:b/>
                <w:color w:val="auto"/>
                <w:sz w:val="24"/>
                <w:lang w:val="en-US" w:eastAsia="zh-CN"/>
              </w:rPr>
              <w:t>废水排放标准</w:t>
            </w:r>
          </w:p>
          <w:p w14:paraId="5C467EC3">
            <w:pPr>
              <w:spacing w:line="312" w:lineRule="auto"/>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项目生活污水</w:t>
            </w:r>
            <w:r>
              <w:rPr>
                <w:rFonts w:hint="default" w:ascii="Times New Roman" w:hAnsi="Times New Roman" w:eastAsia="宋体" w:cs="Times New Roman"/>
                <w:color w:val="auto"/>
                <w:kern w:val="0"/>
                <w:sz w:val="24"/>
                <w:lang w:val="en-US" w:eastAsia="zh-CN"/>
              </w:rPr>
              <w:t>及清洗废水</w:t>
            </w:r>
            <w:r>
              <w:rPr>
                <w:rFonts w:hint="default" w:ascii="Times New Roman" w:hAnsi="Times New Roman" w:eastAsia="宋体" w:cs="Times New Roman"/>
                <w:color w:val="auto"/>
                <w:kern w:val="0"/>
                <w:sz w:val="24"/>
              </w:rPr>
              <w:t>排放执行《污水综合排放标准》（GB8978-1996）中三级标准，具体标准限值见表</w:t>
            </w:r>
            <w:r>
              <w:rPr>
                <w:rFonts w:hint="default" w:ascii="Times New Roman" w:hAnsi="Times New Roman" w:eastAsia="宋体" w:cs="Times New Roman"/>
                <w:color w:val="auto"/>
                <w:kern w:val="0"/>
                <w:sz w:val="24"/>
                <w:lang w:val="en-US" w:eastAsia="zh-CN"/>
              </w:rPr>
              <w:t>3-5</w:t>
            </w:r>
            <w:r>
              <w:rPr>
                <w:rFonts w:hint="default" w:ascii="Times New Roman" w:hAnsi="Times New Roman" w:eastAsia="宋体" w:cs="Times New Roman"/>
                <w:color w:val="auto"/>
                <w:kern w:val="0"/>
                <w:sz w:val="24"/>
              </w:rPr>
              <w:t>。</w:t>
            </w:r>
          </w:p>
          <w:p w14:paraId="327D1699">
            <w:pPr>
              <w:adjustRightInd w:val="0"/>
              <w:snapToGrid w:val="0"/>
              <w:spacing w:line="360" w:lineRule="auto"/>
              <w:jc w:val="center"/>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rPr>
              <w:t>表3-</w:t>
            </w:r>
            <w:r>
              <w:rPr>
                <w:rFonts w:hint="default" w:ascii="Times New Roman" w:hAnsi="Times New Roman" w:eastAsia="宋体" w:cs="Times New Roman"/>
                <w:b/>
                <w:bCs/>
                <w:color w:val="auto"/>
                <w:sz w:val="24"/>
                <w:lang w:val="en-US" w:eastAsia="zh-CN"/>
              </w:rPr>
              <w:t>5</w:t>
            </w:r>
            <w:r>
              <w:rPr>
                <w:rFonts w:hint="default" w:ascii="Times New Roman" w:hAnsi="Times New Roman" w:eastAsia="宋体" w:cs="Times New Roman"/>
                <w:b/>
                <w:bCs/>
                <w:color w:val="auto"/>
                <w:sz w:val="24"/>
              </w:rPr>
              <w:t xml:space="preserve"> 项目生活污水</w:t>
            </w:r>
            <w:r>
              <w:rPr>
                <w:rFonts w:hint="default" w:ascii="Times New Roman" w:hAnsi="Times New Roman" w:eastAsia="宋体" w:cs="Times New Roman"/>
                <w:b/>
                <w:bCs/>
                <w:color w:val="auto"/>
                <w:sz w:val="24"/>
                <w:lang w:val="en-US" w:eastAsia="zh-CN"/>
              </w:rPr>
              <w:t>及清洗废水</w:t>
            </w:r>
            <w:r>
              <w:rPr>
                <w:rFonts w:hint="default" w:ascii="Times New Roman" w:hAnsi="Times New Roman" w:eastAsia="宋体" w:cs="Times New Roman"/>
                <w:b/>
                <w:bCs/>
                <w:color w:val="auto"/>
                <w:sz w:val="24"/>
              </w:rPr>
              <w:t>排放</w:t>
            </w:r>
            <w:r>
              <w:rPr>
                <w:rFonts w:hint="default" w:ascii="Times New Roman" w:hAnsi="Times New Roman" w:eastAsia="宋体" w:cs="Times New Roman"/>
                <w:b/>
                <w:bCs/>
                <w:color w:val="auto"/>
                <w:sz w:val="24"/>
                <w:lang w:val="en-US" w:eastAsia="zh-CN"/>
              </w:rPr>
              <w:t>标准</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17"/>
              <w:gridCol w:w="1926"/>
              <w:gridCol w:w="1309"/>
              <w:gridCol w:w="1618"/>
              <w:gridCol w:w="1838"/>
            </w:tblGrid>
            <w:tr w14:paraId="34DCE9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tcBorders>
                    <w:tl2br w:val="nil"/>
                    <w:tr2bl w:val="nil"/>
                  </w:tcBorders>
                  <w:noWrap w:val="0"/>
                  <w:vAlign w:val="center"/>
                </w:tcPr>
                <w:p w14:paraId="74EEB1BC">
                  <w:pPr>
                    <w:widowControl/>
                    <w:adjustRightInd w:val="0"/>
                    <w:snapToGrid w:val="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污染物</w:t>
                  </w:r>
                </w:p>
              </w:tc>
              <w:tc>
                <w:tcPr>
                  <w:tcW w:w="1185" w:type="pct"/>
                  <w:tcBorders>
                    <w:tl2br w:val="nil"/>
                    <w:tr2bl w:val="nil"/>
                  </w:tcBorders>
                  <w:noWrap w:val="0"/>
                  <w:vAlign w:val="center"/>
                </w:tcPr>
                <w:p w14:paraId="25CF764D">
                  <w:pPr>
                    <w:adjustRightInd w:val="0"/>
                    <w:snapToGrid w:val="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三级标准mg/L</w:t>
                  </w:r>
                </w:p>
              </w:tc>
              <w:tc>
                <w:tcPr>
                  <w:tcW w:w="814" w:type="pct"/>
                  <w:tcBorders>
                    <w:tl2br w:val="nil"/>
                    <w:tr2bl w:val="nil"/>
                  </w:tcBorders>
                  <w:noWrap w:val="0"/>
                  <w:vAlign w:val="center"/>
                </w:tcPr>
                <w:p w14:paraId="3388566D">
                  <w:pPr>
                    <w:adjustRightInd w:val="0"/>
                    <w:snapToGrid w:val="0"/>
                    <w:jc w:val="center"/>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标准限值</w:t>
                  </w:r>
                </w:p>
              </w:tc>
              <w:tc>
                <w:tcPr>
                  <w:tcW w:w="1000" w:type="pct"/>
                  <w:tcBorders>
                    <w:tl2br w:val="nil"/>
                    <w:tr2bl w:val="nil"/>
                  </w:tcBorders>
                  <w:noWrap w:val="0"/>
                  <w:vAlign w:val="center"/>
                </w:tcPr>
                <w:p w14:paraId="146F14D7">
                  <w:pPr>
                    <w:adjustRightInd w:val="0"/>
                    <w:snapToGrid w:val="0"/>
                    <w:jc w:val="center"/>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单位</w:t>
                  </w:r>
                </w:p>
              </w:tc>
              <w:tc>
                <w:tcPr>
                  <w:tcW w:w="1000" w:type="pct"/>
                  <w:tcBorders>
                    <w:tl2br w:val="nil"/>
                    <w:tr2bl w:val="nil"/>
                  </w:tcBorders>
                  <w:noWrap w:val="0"/>
                  <w:vAlign w:val="center"/>
                </w:tcPr>
                <w:p w14:paraId="2569C290">
                  <w:pPr>
                    <w:adjustRightInd w:val="0"/>
                    <w:snapToGrid w:val="0"/>
                    <w:jc w:val="center"/>
                    <w:rPr>
                      <w:rFonts w:hint="default" w:ascii="Times New Roman" w:hAnsi="Times New Roman" w:eastAsia="宋体" w:cs="Times New Roman"/>
                      <w:b/>
                      <w:bCs/>
                      <w:color w:val="auto"/>
                      <w:kern w:val="0"/>
                      <w:szCs w:val="21"/>
                      <w:lang w:eastAsia="zh-CN"/>
                    </w:rPr>
                  </w:pPr>
                  <w:r>
                    <w:rPr>
                      <w:rFonts w:hint="default" w:ascii="Times New Roman" w:hAnsi="Times New Roman" w:eastAsia="宋体" w:cs="Times New Roman"/>
                      <w:b/>
                      <w:bCs/>
                      <w:color w:val="auto"/>
                      <w:kern w:val="0"/>
                      <w:szCs w:val="21"/>
                      <w:lang w:eastAsia="zh-CN"/>
                    </w:rPr>
                    <w:t>标准来源</w:t>
                  </w:r>
                </w:p>
              </w:tc>
            </w:tr>
            <w:tr w14:paraId="4E3E0E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vMerge w:val="restart"/>
                  <w:tcBorders>
                    <w:tl2br w:val="nil"/>
                    <w:tr2bl w:val="nil"/>
                  </w:tcBorders>
                  <w:noWrap w:val="0"/>
                  <w:vAlign w:val="center"/>
                </w:tcPr>
                <w:p w14:paraId="1E5FC580">
                  <w:pPr>
                    <w:adjustRightInd w:val="0"/>
                    <w:snapToGrid w:val="0"/>
                    <w:jc w:val="center"/>
                    <w:rPr>
                      <w:rFonts w:hint="default" w:ascii="Times New Roman" w:hAnsi="Times New Roman" w:eastAsia="宋体" w:cs="Times New Roman"/>
                      <w:color w:val="auto"/>
                      <w:kern w:val="0"/>
                      <w:szCs w:val="21"/>
                      <w:lang w:val="en-US" w:eastAsia="zh-CN"/>
                    </w:rPr>
                  </w:pPr>
                  <w:r>
                    <w:rPr>
                      <w:rFonts w:hint="default" w:ascii="Times New Roman" w:hAnsi="Times New Roman" w:cs="Times New Roman"/>
                      <w:color w:val="auto"/>
                      <w:kern w:val="0"/>
                      <w:szCs w:val="21"/>
                      <w:lang w:val="en-US" w:eastAsia="zh-CN"/>
                    </w:rPr>
                    <w:t>运营期</w:t>
                  </w:r>
                </w:p>
              </w:tc>
              <w:tc>
                <w:tcPr>
                  <w:tcW w:w="1185" w:type="pct"/>
                  <w:tcBorders>
                    <w:tl2br w:val="nil"/>
                    <w:tr2bl w:val="nil"/>
                  </w:tcBorders>
                  <w:shd w:val="clear" w:color="auto" w:fill="auto"/>
                  <w:noWrap w:val="0"/>
                  <w:vAlign w:val="center"/>
                </w:tcPr>
                <w:p w14:paraId="29484C75">
                  <w:pPr>
                    <w:widowControl/>
                    <w:adjustRightInd w:val="0"/>
                    <w:snapToGrid w:val="0"/>
                    <w:spacing w:before="0" w:beforeAutospacing="0" w:after="0" w:afterAutospacing="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lang w:val="en-US" w:eastAsia="zh-CN" w:bidi="ar-SA"/>
                    </w:rPr>
                    <w:t>pH</w:t>
                  </w:r>
                </w:p>
              </w:tc>
              <w:tc>
                <w:tcPr>
                  <w:tcW w:w="814" w:type="pct"/>
                  <w:tcBorders>
                    <w:tl2br w:val="nil"/>
                    <w:tr2bl w:val="nil"/>
                  </w:tcBorders>
                  <w:shd w:val="clear" w:color="auto" w:fill="auto"/>
                  <w:noWrap w:val="0"/>
                  <w:vAlign w:val="center"/>
                </w:tcPr>
                <w:p w14:paraId="6ABFF740">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snapToGrid w:val="0"/>
                      <w:color w:val="auto"/>
                      <w:kern w:val="0"/>
                      <w:sz w:val="21"/>
                      <w:szCs w:val="21"/>
                      <w:highlight w:val="none"/>
                      <w:lang w:val="en-US" w:eastAsia="zh-CN" w:bidi="ar-SA"/>
                    </w:rPr>
                    <w:t>6-9</w:t>
                  </w:r>
                </w:p>
              </w:tc>
              <w:tc>
                <w:tcPr>
                  <w:tcW w:w="1000" w:type="pct"/>
                  <w:tcBorders>
                    <w:tl2br w:val="nil"/>
                    <w:tr2bl w:val="nil"/>
                  </w:tcBorders>
                  <w:shd w:val="clear" w:color="auto" w:fill="auto"/>
                  <w:noWrap w:val="0"/>
                  <w:vAlign w:val="center"/>
                </w:tcPr>
                <w:p w14:paraId="2F4E753F">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无量纲</w:t>
                  </w:r>
                </w:p>
              </w:tc>
              <w:tc>
                <w:tcPr>
                  <w:tcW w:w="1000" w:type="pct"/>
                  <w:vMerge w:val="restart"/>
                  <w:tcBorders>
                    <w:tl2br w:val="nil"/>
                    <w:tr2bl w:val="nil"/>
                  </w:tcBorders>
                  <w:noWrap w:val="0"/>
                  <w:vAlign w:val="center"/>
                </w:tcPr>
                <w:p w14:paraId="5FA1F865">
                  <w:pPr>
                    <w:adjustRightInd w:val="0"/>
                    <w:snapToGrid w:val="0"/>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《污水综合排放标准》（GB8978-1996）三级标准</w:t>
                  </w:r>
                </w:p>
              </w:tc>
            </w:tr>
            <w:tr w14:paraId="358EC0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vMerge w:val="continue"/>
                  <w:tcBorders>
                    <w:tl2br w:val="nil"/>
                    <w:tr2bl w:val="nil"/>
                  </w:tcBorders>
                  <w:noWrap w:val="0"/>
                  <w:vAlign w:val="center"/>
                </w:tcPr>
                <w:p w14:paraId="0179CF6D">
                  <w:pPr>
                    <w:widowControl/>
                    <w:adjustRightInd w:val="0"/>
                    <w:snapToGrid w:val="0"/>
                    <w:jc w:val="center"/>
                    <w:rPr>
                      <w:rFonts w:hint="default" w:ascii="Times New Roman" w:hAnsi="Times New Roman" w:eastAsia="宋体" w:cs="Times New Roman"/>
                      <w:color w:val="auto"/>
                      <w:kern w:val="0"/>
                      <w:szCs w:val="21"/>
                    </w:rPr>
                  </w:pPr>
                </w:p>
              </w:tc>
              <w:tc>
                <w:tcPr>
                  <w:tcW w:w="1185" w:type="pct"/>
                  <w:tcBorders>
                    <w:tl2br w:val="nil"/>
                    <w:tr2bl w:val="nil"/>
                  </w:tcBorders>
                  <w:shd w:val="clear" w:color="auto" w:fill="auto"/>
                  <w:noWrap w:val="0"/>
                  <w:vAlign w:val="center"/>
                </w:tcPr>
                <w:p w14:paraId="11D51C2A">
                  <w:pPr>
                    <w:widowControl/>
                    <w:adjustRightInd w:val="0"/>
                    <w:snapToGrid w:val="0"/>
                    <w:spacing w:before="100" w:beforeAutospacing="1" w:after="100" w:afterAutospacing="1" w:line="240" w:lineRule="auto"/>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色度</w:t>
                  </w:r>
                </w:p>
              </w:tc>
              <w:tc>
                <w:tcPr>
                  <w:tcW w:w="814" w:type="pct"/>
                  <w:tcBorders>
                    <w:tl2br w:val="nil"/>
                    <w:tr2bl w:val="nil"/>
                  </w:tcBorders>
                  <w:shd w:val="clear" w:color="auto" w:fill="auto"/>
                  <w:noWrap w:val="0"/>
                  <w:vAlign w:val="center"/>
                </w:tcPr>
                <w:p w14:paraId="492F2DFC">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snapToGrid w:val="0"/>
                      <w:color w:val="auto"/>
                      <w:kern w:val="0"/>
                      <w:sz w:val="21"/>
                      <w:szCs w:val="21"/>
                      <w:highlight w:val="none"/>
                      <w:lang w:val="en-US" w:eastAsia="zh-CN" w:bidi="ar-SA"/>
                    </w:rPr>
                    <w:t>-</w:t>
                  </w:r>
                </w:p>
              </w:tc>
              <w:tc>
                <w:tcPr>
                  <w:tcW w:w="1000" w:type="pct"/>
                  <w:tcBorders>
                    <w:tl2br w:val="nil"/>
                    <w:tr2bl w:val="nil"/>
                  </w:tcBorders>
                  <w:shd w:val="clear" w:color="auto" w:fill="auto"/>
                  <w:noWrap w:val="0"/>
                  <w:vAlign w:val="center"/>
                </w:tcPr>
                <w:p w14:paraId="4E62F2E7">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倍</w:t>
                  </w:r>
                </w:p>
              </w:tc>
              <w:tc>
                <w:tcPr>
                  <w:tcW w:w="1000" w:type="pct"/>
                  <w:vMerge w:val="continue"/>
                  <w:tcBorders>
                    <w:tl2br w:val="nil"/>
                    <w:tr2bl w:val="nil"/>
                  </w:tcBorders>
                  <w:noWrap w:val="0"/>
                  <w:vAlign w:val="center"/>
                </w:tcPr>
                <w:p w14:paraId="786971B4">
                  <w:pPr>
                    <w:adjustRightInd w:val="0"/>
                    <w:snapToGrid w:val="0"/>
                    <w:jc w:val="center"/>
                    <w:rPr>
                      <w:rFonts w:hint="default" w:ascii="Times New Roman" w:hAnsi="Times New Roman" w:eastAsia="宋体" w:cs="Times New Roman"/>
                      <w:color w:val="auto"/>
                      <w:kern w:val="0"/>
                      <w:szCs w:val="21"/>
                    </w:rPr>
                  </w:pPr>
                </w:p>
              </w:tc>
            </w:tr>
            <w:tr w14:paraId="493D92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vMerge w:val="continue"/>
                  <w:tcBorders>
                    <w:tl2br w:val="nil"/>
                    <w:tr2bl w:val="nil"/>
                  </w:tcBorders>
                  <w:noWrap w:val="0"/>
                  <w:vAlign w:val="center"/>
                </w:tcPr>
                <w:p w14:paraId="14593010">
                  <w:pPr>
                    <w:adjustRightInd w:val="0"/>
                    <w:snapToGrid w:val="0"/>
                    <w:jc w:val="center"/>
                    <w:rPr>
                      <w:rFonts w:hint="default" w:ascii="Times New Roman" w:hAnsi="Times New Roman" w:eastAsia="宋体" w:cs="Times New Roman"/>
                      <w:color w:val="auto"/>
                      <w:kern w:val="0"/>
                      <w:szCs w:val="21"/>
                    </w:rPr>
                  </w:pPr>
                </w:p>
              </w:tc>
              <w:tc>
                <w:tcPr>
                  <w:tcW w:w="1185" w:type="pct"/>
                  <w:tcBorders>
                    <w:tl2br w:val="nil"/>
                    <w:tr2bl w:val="nil"/>
                  </w:tcBorders>
                  <w:shd w:val="clear" w:color="auto" w:fill="auto"/>
                  <w:noWrap w:val="0"/>
                  <w:vAlign w:val="center"/>
                </w:tcPr>
                <w:p w14:paraId="45D0B416">
                  <w:pPr>
                    <w:adjustRightInd w:val="0"/>
                    <w:snapToGrid w:val="0"/>
                    <w:spacing w:line="28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napToGrid w:val="0"/>
                      <w:color w:val="auto"/>
                      <w:sz w:val="21"/>
                    </w:rPr>
                    <w:t>悬浮物</w:t>
                  </w:r>
                </w:p>
              </w:tc>
              <w:tc>
                <w:tcPr>
                  <w:tcW w:w="814" w:type="pct"/>
                  <w:tcBorders>
                    <w:tl2br w:val="nil"/>
                    <w:tr2bl w:val="nil"/>
                  </w:tcBorders>
                  <w:shd w:val="clear" w:color="auto" w:fill="auto"/>
                  <w:noWrap w:val="0"/>
                  <w:vAlign w:val="center"/>
                </w:tcPr>
                <w:p w14:paraId="3D104D3C">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400</w:t>
                  </w:r>
                </w:p>
              </w:tc>
              <w:tc>
                <w:tcPr>
                  <w:tcW w:w="1000" w:type="pct"/>
                  <w:tcBorders>
                    <w:tl2br w:val="nil"/>
                    <w:tr2bl w:val="nil"/>
                  </w:tcBorders>
                  <w:shd w:val="clear" w:color="auto" w:fill="auto"/>
                  <w:noWrap w:val="0"/>
                  <w:vAlign w:val="center"/>
                </w:tcPr>
                <w:p w14:paraId="5CDF7406">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c>
                <w:tcPr>
                  <w:tcW w:w="1000" w:type="pct"/>
                  <w:vMerge w:val="continue"/>
                  <w:tcBorders>
                    <w:tl2br w:val="nil"/>
                    <w:tr2bl w:val="nil"/>
                  </w:tcBorders>
                  <w:noWrap w:val="0"/>
                  <w:vAlign w:val="center"/>
                </w:tcPr>
                <w:p w14:paraId="3AAE14DD">
                  <w:pPr>
                    <w:adjustRightInd w:val="0"/>
                    <w:snapToGrid w:val="0"/>
                    <w:jc w:val="center"/>
                    <w:rPr>
                      <w:rFonts w:hint="default" w:ascii="Times New Roman" w:hAnsi="Times New Roman" w:eastAsia="宋体" w:cs="Times New Roman"/>
                      <w:color w:val="auto"/>
                      <w:kern w:val="0"/>
                      <w:szCs w:val="21"/>
                    </w:rPr>
                  </w:pPr>
                </w:p>
              </w:tc>
            </w:tr>
            <w:tr w14:paraId="2F0857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vMerge w:val="continue"/>
                </w:tcPr>
                <w:p w14:paraId="3BB84BC1">
                  <w:pPr>
                    <w:adjustRightInd w:val="0"/>
                    <w:snapToGrid w:val="0"/>
                    <w:jc w:val="center"/>
                    <w:rPr>
                      <w:rFonts w:hint="default" w:ascii="Times New Roman" w:hAnsi="Times New Roman" w:eastAsia="宋体" w:cs="Times New Roman"/>
                      <w:color w:val="auto"/>
                      <w:kern w:val="0"/>
                      <w:szCs w:val="21"/>
                    </w:rPr>
                  </w:pPr>
                </w:p>
              </w:tc>
              <w:tc>
                <w:tcPr>
                  <w:tcW w:w="1185" w:type="pct"/>
                  <w:shd w:val="clear" w:color="auto" w:fill="auto"/>
                  <w:vAlign w:val="center"/>
                </w:tcPr>
                <w:p w14:paraId="3F051FD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snapToGrid w:val="0"/>
                      <w:color w:val="auto"/>
                      <w:kern w:val="0"/>
                      <w:szCs w:val="21"/>
                      <w:lang w:val="en-US" w:eastAsia="zh-CN"/>
                    </w:rPr>
                    <w:t>五日</w:t>
                  </w:r>
                  <w:r>
                    <w:rPr>
                      <w:rFonts w:hint="default" w:ascii="Times New Roman" w:hAnsi="Times New Roman" w:eastAsia="宋体" w:cs="Times New Roman"/>
                      <w:snapToGrid w:val="0"/>
                      <w:color w:val="auto"/>
                      <w:kern w:val="0"/>
                      <w:szCs w:val="21"/>
                    </w:rPr>
                    <w:t>生化需氧量</w:t>
                  </w:r>
                </w:p>
              </w:tc>
              <w:tc>
                <w:tcPr>
                  <w:tcW w:w="814" w:type="pct"/>
                  <w:shd w:val="clear" w:color="auto" w:fill="auto"/>
                  <w:vAlign w:val="center"/>
                </w:tcPr>
                <w:p w14:paraId="28E223CB">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350</w:t>
                  </w:r>
                </w:p>
              </w:tc>
              <w:tc>
                <w:tcPr>
                  <w:tcW w:w="1000" w:type="pct"/>
                  <w:shd w:val="clear" w:color="auto" w:fill="auto"/>
                  <w:vAlign w:val="center"/>
                </w:tcPr>
                <w:p w14:paraId="425519C2">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c>
                <w:tcPr>
                  <w:tcW w:w="1000" w:type="pct"/>
                  <w:vMerge w:val="continue"/>
                </w:tcPr>
                <w:p w14:paraId="134FDA82">
                  <w:pPr>
                    <w:adjustRightInd w:val="0"/>
                    <w:snapToGrid w:val="0"/>
                    <w:jc w:val="center"/>
                    <w:rPr>
                      <w:rFonts w:hint="default" w:ascii="Times New Roman" w:hAnsi="Times New Roman" w:eastAsia="宋体" w:cs="Times New Roman"/>
                      <w:color w:val="auto"/>
                      <w:kern w:val="0"/>
                      <w:szCs w:val="21"/>
                    </w:rPr>
                  </w:pPr>
                </w:p>
              </w:tc>
            </w:tr>
            <w:tr w14:paraId="6C4947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vMerge w:val="continue"/>
                </w:tcPr>
                <w:p w14:paraId="1C936A05">
                  <w:pPr>
                    <w:adjustRightInd w:val="0"/>
                    <w:snapToGrid w:val="0"/>
                    <w:jc w:val="center"/>
                    <w:rPr>
                      <w:rFonts w:hint="default" w:ascii="Times New Roman" w:hAnsi="Times New Roman" w:eastAsia="宋体" w:cs="Times New Roman"/>
                      <w:color w:val="auto"/>
                      <w:kern w:val="0"/>
                      <w:szCs w:val="21"/>
                    </w:rPr>
                  </w:pPr>
                </w:p>
              </w:tc>
              <w:tc>
                <w:tcPr>
                  <w:tcW w:w="1185" w:type="pct"/>
                  <w:shd w:val="clear" w:color="auto" w:fill="auto"/>
                  <w:vAlign w:val="center"/>
                </w:tcPr>
                <w:p w14:paraId="20035799">
                  <w:pPr>
                    <w:widowControl/>
                    <w:adjustRightInd w:val="0"/>
                    <w:snapToGrid w:val="0"/>
                    <w:spacing w:before="0" w:beforeAutospacing="0" w:after="0" w:afterAutospacing="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化学需氧量</w:t>
                  </w:r>
                </w:p>
              </w:tc>
              <w:tc>
                <w:tcPr>
                  <w:tcW w:w="814" w:type="pct"/>
                  <w:shd w:val="clear" w:color="auto" w:fill="auto"/>
                  <w:vAlign w:val="center"/>
                </w:tcPr>
                <w:p w14:paraId="0E9DA5E5">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500</w:t>
                  </w:r>
                </w:p>
              </w:tc>
              <w:tc>
                <w:tcPr>
                  <w:tcW w:w="1000" w:type="pct"/>
                  <w:shd w:val="clear" w:color="auto" w:fill="auto"/>
                  <w:vAlign w:val="center"/>
                </w:tcPr>
                <w:p w14:paraId="3A509DB5">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c>
                <w:tcPr>
                  <w:tcW w:w="1000" w:type="pct"/>
                  <w:vMerge w:val="continue"/>
                </w:tcPr>
                <w:p w14:paraId="5F5A7D58">
                  <w:pPr>
                    <w:adjustRightInd w:val="0"/>
                    <w:snapToGrid w:val="0"/>
                    <w:jc w:val="center"/>
                    <w:rPr>
                      <w:rFonts w:hint="default" w:ascii="Times New Roman" w:hAnsi="Times New Roman" w:eastAsia="宋体" w:cs="Times New Roman"/>
                      <w:color w:val="auto"/>
                      <w:kern w:val="0"/>
                      <w:szCs w:val="21"/>
                    </w:rPr>
                  </w:pPr>
                </w:p>
              </w:tc>
            </w:tr>
            <w:tr w14:paraId="6361F1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vMerge w:val="continue"/>
                </w:tcPr>
                <w:p w14:paraId="4F894A78">
                  <w:pPr>
                    <w:adjustRightInd w:val="0"/>
                    <w:snapToGrid w:val="0"/>
                    <w:jc w:val="center"/>
                    <w:rPr>
                      <w:rFonts w:hint="default" w:ascii="Times New Roman" w:hAnsi="Times New Roman" w:eastAsia="宋体" w:cs="Times New Roman"/>
                      <w:color w:val="auto"/>
                      <w:kern w:val="0"/>
                      <w:szCs w:val="21"/>
                    </w:rPr>
                  </w:pPr>
                </w:p>
              </w:tc>
              <w:tc>
                <w:tcPr>
                  <w:tcW w:w="1185" w:type="pct"/>
                  <w:shd w:val="clear" w:color="auto" w:fill="auto"/>
                  <w:vAlign w:val="center"/>
                </w:tcPr>
                <w:p w14:paraId="6AA586A0">
                  <w:pPr>
                    <w:widowControl/>
                    <w:adjustRightInd w:val="0"/>
                    <w:snapToGrid w:val="0"/>
                    <w:spacing w:before="0" w:beforeAutospacing="0" w:after="0" w:afterAutospacing="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氨氮</w:t>
                  </w:r>
                </w:p>
              </w:tc>
              <w:tc>
                <w:tcPr>
                  <w:tcW w:w="814" w:type="pct"/>
                  <w:shd w:val="clear" w:color="auto" w:fill="auto"/>
                  <w:vAlign w:val="center"/>
                </w:tcPr>
                <w:p w14:paraId="585B7641">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45</w:t>
                  </w:r>
                </w:p>
              </w:tc>
              <w:tc>
                <w:tcPr>
                  <w:tcW w:w="1000" w:type="pct"/>
                  <w:shd w:val="clear" w:color="auto" w:fill="auto"/>
                  <w:vAlign w:val="center"/>
                </w:tcPr>
                <w:p w14:paraId="1C32EADC">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c>
                <w:tcPr>
                  <w:tcW w:w="1000" w:type="pct"/>
                  <w:vMerge w:val="continue"/>
                </w:tcPr>
                <w:p w14:paraId="255EAE2E">
                  <w:pPr>
                    <w:adjustRightInd w:val="0"/>
                    <w:snapToGrid w:val="0"/>
                    <w:jc w:val="center"/>
                    <w:rPr>
                      <w:rFonts w:hint="default" w:ascii="Times New Roman" w:hAnsi="Times New Roman" w:eastAsia="宋体" w:cs="Times New Roman"/>
                      <w:color w:val="auto"/>
                      <w:kern w:val="0"/>
                      <w:szCs w:val="21"/>
                    </w:rPr>
                  </w:pPr>
                </w:p>
              </w:tc>
            </w:tr>
            <w:tr w14:paraId="5964BA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vMerge w:val="continue"/>
                </w:tcPr>
                <w:p w14:paraId="04146BC8">
                  <w:pPr>
                    <w:adjustRightInd w:val="0"/>
                    <w:snapToGrid w:val="0"/>
                    <w:jc w:val="center"/>
                    <w:rPr>
                      <w:rFonts w:hint="default" w:ascii="Times New Roman" w:hAnsi="Times New Roman" w:eastAsia="宋体" w:cs="Times New Roman"/>
                      <w:color w:val="auto"/>
                      <w:kern w:val="0"/>
                      <w:szCs w:val="21"/>
                    </w:rPr>
                  </w:pPr>
                </w:p>
              </w:tc>
              <w:tc>
                <w:tcPr>
                  <w:tcW w:w="1185" w:type="pct"/>
                  <w:shd w:val="clear" w:color="auto" w:fill="auto"/>
                  <w:vAlign w:val="center"/>
                </w:tcPr>
                <w:p w14:paraId="00B6205B">
                  <w:pPr>
                    <w:widowControl/>
                    <w:adjustRightInd w:val="0"/>
                    <w:snapToGrid w:val="0"/>
                    <w:spacing w:before="0" w:beforeAutospacing="0" w:after="0" w:afterAutospacing="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磷酸盐</w:t>
                  </w:r>
                </w:p>
              </w:tc>
              <w:tc>
                <w:tcPr>
                  <w:tcW w:w="814" w:type="pct"/>
                  <w:shd w:val="clear" w:color="auto" w:fill="auto"/>
                  <w:vAlign w:val="center"/>
                </w:tcPr>
                <w:p w14:paraId="594AA209">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w:t>
                  </w:r>
                </w:p>
              </w:tc>
              <w:tc>
                <w:tcPr>
                  <w:tcW w:w="1000" w:type="pct"/>
                  <w:shd w:val="clear" w:color="auto" w:fill="auto"/>
                  <w:vAlign w:val="center"/>
                </w:tcPr>
                <w:p w14:paraId="46A81C2C">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c>
                <w:tcPr>
                  <w:tcW w:w="1000" w:type="pct"/>
                  <w:vMerge w:val="continue"/>
                </w:tcPr>
                <w:p w14:paraId="4CF897ED">
                  <w:pPr>
                    <w:adjustRightInd w:val="0"/>
                    <w:snapToGrid w:val="0"/>
                    <w:jc w:val="center"/>
                    <w:rPr>
                      <w:rFonts w:hint="default" w:ascii="Times New Roman" w:hAnsi="Times New Roman" w:eastAsia="宋体" w:cs="Times New Roman"/>
                      <w:color w:val="auto"/>
                      <w:kern w:val="0"/>
                      <w:szCs w:val="21"/>
                    </w:rPr>
                  </w:pPr>
                </w:p>
              </w:tc>
            </w:tr>
          </w:tbl>
          <w:p w14:paraId="0908B16C">
            <w:pPr>
              <w:spacing w:before="240" w:line="360" w:lineRule="auto"/>
              <w:rPr>
                <w:rFonts w:hint="default" w:ascii="Times New Roman" w:hAnsi="Times New Roman" w:cs="Times New Roman"/>
                <w:b/>
                <w:color w:val="auto"/>
                <w:sz w:val="24"/>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噪声排放标准</w:t>
            </w:r>
          </w:p>
          <w:p w14:paraId="2D8B33E8">
            <w:pPr>
              <w:spacing w:line="312"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施工噪声执行《建筑施工场界环境噪声排放标准》（GB12523-2011）的标准限值；运营期厂界噪声执行《工业企业厂界环境噪声排放标准》（GB12348-2008）中1类标准限值，具体指标见表3-</w:t>
            </w:r>
            <w:r>
              <w:rPr>
                <w:rFonts w:hint="eastAsia" w:ascii="Times New Roman" w:hAnsi="Times New Roman" w:cs="Times New Roman"/>
                <w:color w:val="auto"/>
                <w:kern w:val="0"/>
                <w:sz w:val="24"/>
                <w:lang w:val="en-US" w:eastAsia="zh-CN"/>
              </w:rPr>
              <w:t>6</w:t>
            </w:r>
            <w:r>
              <w:rPr>
                <w:rFonts w:hint="default" w:ascii="Times New Roman" w:hAnsi="Times New Roman" w:cs="Times New Roman"/>
                <w:color w:val="auto"/>
                <w:kern w:val="0"/>
                <w:sz w:val="24"/>
              </w:rPr>
              <w:t>。</w:t>
            </w:r>
          </w:p>
          <w:p w14:paraId="5053238C">
            <w:pPr>
              <w:pStyle w:val="26"/>
              <w:rPr>
                <w:rFonts w:hint="default" w:ascii="Times New Roman" w:hAnsi="Times New Roman" w:cs="Times New Roman"/>
                <w:color w:val="auto"/>
              </w:rPr>
            </w:pPr>
            <w:r>
              <w:rPr>
                <w:rFonts w:hint="default" w:ascii="Times New Roman" w:hAnsi="Times New Roman" w:cs="Times New Roman"/>
                <w:color w:val="auto"/>
              </w:rPr>
              <w:t>表3-</w:t>
            </w:r>
            <w:r>
              <w:rPr>
                <w:rFonts w:hint="eastAsia" w:ascii="Times New Roman" w:hAnsi="Times New Roman" w:cs="Times New Roman"/>
                <w:color w:val="auto"/>
                <w:lang w:val="en-US" w:eastAsia="zh-CN"/>
              </w:rPr>
              <w:t xml:space="preserve">6 </w:t>
            </w:r>
            <w:r>
              <w:rPr>
                <w:rFonts w:hint="default" w:ascii="Times New Roman" w:hAnsi="Times New Roman" w:cs="Times New Roman"/>
                <w:color w:val="auto"/>
              </w:rPr>
              <w:t>噪声排放标准一览表</w:t>
            </w:r>
          </w:p>
          <w:tbl>
            <w:tblPr>
              <w:tblStyle w:val="17"/>
              <w:tblW w:w="8222"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89"/>
              <w:gridCol w:w="1526"/>
              <w:gridCol w:w="1506"/>
              <w:gridCol w:w="4001"/>
            </w:tblGrid>
            <w:tr w14:paraId="38536B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3" w:type="pct"/>
                  <w:vMerge w:val="restart"/>
                  <w:vAlign w:val="center"/>
                </w:tcPr>
                <w:p w14:paraId="20878AA7">
                  <w:pPr>
                    <w:widowControl/>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时期</w:t>
                  </w:r>
                </w:p>
              </w:tc>
              <w:tc>
                <w:tcPr>
                  <w:tcW w:w="1844" w:type="pct"/>
                  <w:gridSpan w:val="2"/>
                  <w:tcBorders>
                    <w:right w:val="single" w:color="000000" w:sz="8" w:space="0"/>
                  </w:tcBorders>
                  <w:vAlign w:val="center"/>
                </w:tcPr>
                <w:p w14:paraId="0ADEE583">
                  <w:pPr>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噪声限值Leq 〔dB（A）〕</w:t>
                  </w:r>
                </w:p>
              </w:tc>
              <w:tc>
                <w:tcPr>
                  <w:tcW w:w="2433" w:type="pct"/>
                  <w:vMerge w:val="restart"/>
                  <w:tcBorders>
                    <w:left w:val="single" w:color="000000" w:sz="8" w:space="0"/>
                  </w:tcBorders>
                  <w:vAlign w:val="center"/>
                </w:tcPr>
                <w:p w14:paraId="241798F3">
                  <w:pPr>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排放标准</w:t>
                  </w:r>
                </w:p>
              </w:tc>
            </w:tr>
            <w:tr w14:paraId="2A51F6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3" w:type="pct"/>
                  <w:vMerge w:val="continue"/>
                  <w:vAlign w:val="center"/>
                </w:tcPr>
                <w:p w14:paraId="734699AA">
                  <w:pPr>
                    <w:widowControl/>
                    <w:adjustRightInd w:val="0"/>
                    <w:snapToGrid w:val="0"/>
                    <w:jc w:val="center"/>
                    <w:rPr>
                      <w:rFonts w:hint="default" w:ascii="Times New Roman" w:hAnsi="Times New Roman" w:cs="Times New Roman"/>
                      <w:b/>
                      <w:bCs/>
                      <w:color w:val="auto"/>
                      <w:kern w:val="0"/>
                      <w:szCs w:val="21"/>
                    </w:rPr>
                  </w:pPr>
                </w:p>
              </w:tc>
              <w:tc>
                <w:tcPr>
                  <w:tcW w:w="928" w:type="pct"/>
                  <w:vAlign w:val="center"/>
                </w:tcPr>
                <w:p w14:paraId="76821507">
                  <w:pPr>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昼间</w:t>
                  </w:r>
                </w:p>
              </w:tc>
              <w:tc>
                <w:tcPr>
                  <w:tcW w:w="916" w:type="pct"/>
                  <w:tcBorders>
                    <w:right w:val="single" w:color="000000" w:sz="8" w:space="0"/>
                  </w:tcBorders>
                  <w:vAlign w:val="center"/>
                </w:tcPr>
                <w:p w14:paraId="776D9A90">
                  <w:pPr>
                    <w:widowControl/>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夜间</w:t>
                  </w:r>
                </w:p>
              </w:tc>
              <w:tc>
                <w:tcPr>
                  <w:tcW w:w="2433" w:type="pct"/>
                  <w:vMerge w:val="continue"/>
                  <w:tcBorders>
                    <w:left w:val="single" w:color="000000" w:sz="8" w:space="0"/>
                  </w:tcBorders>
                  <w:vAlign w:val="center"/>
                </w:tcPr>
                <w:p w14:paraId="42CF6B3E">
                  <w:pPr>
                    <w:adjustRightInd w:val="0"/>
                    <w:snapToGrid w:val="0"/>
                    <w:jc w:val="center"/>
                    <w:rPr>
                      <w:rFonts w:hint="default" w:ascii="Times New Roman" w:hAnsi="Times New Roman" w:cs="Times New Roman"/>
                      <w:b/>
                      <w:bCs/>
                      <w:color w:val="auto"/>
                      <w:kern w:val="0"/>
                      <w:szCs w:val="21"/>
                    </w:rPr>
                  </w:pPr>
                </w:p>
              </w:tc>
            </w:tr>
            <w:tr w14:paraId="28DB75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3" w:type="pct"/>
                  <w:vAlign w:val="center"/>
                </w:tcPr>
                <w:p w14:paraId="2574EE30">
                  <w:pPr>
                    <w:widowControl/>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施工期</w:t>
                  </w:r>
                </w:p>
              </w:tc>
              <w:tc>
                <w:tcPr>
                  <w:tcW w:w="928" w:type="pct"/>
                  <w:vAlign w:val="center"/>
                </w:tcPr>
                <w:p w14:paraId="11E25C44">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70</w:t>
                  </w:r>
                </w:p>
              </w:tc>
              <w:tc>
                <w:tcPr>
                  <w:tcW w:w="916" w:type="pct"/>
                  <w:tcBorders>
                    <w:right w:val="single" w:color="000000" w:sz="8" w:space="0"/>
                  </w:tcBorders>
                  <w:vAlign w:val="center"/>
                </w:tcPr>
                <w:p w14:paraId="33FA525A">
                  <w:pPr>
                    <w:widowControl/>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55</w:t>
                  </w:r>
                </w:p>
              </w:tc>
              <w:tc>
                <w:tcPr>
                  <w:tcW w:w="2433" w:type="pct"/>
                  <w:tcBorders>
                    <w:left w:val="single" w:color="000000" w:sz="8" w:space="0"/>
                  </w:tcBorders>
                  <w:vAlign w:val="center"/>
                </w:tcPr>
                <w:p w14:paraId="253622A2">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《建筑施工场界环境噪声排放标准》（GB12523-2011）</w:t>
                  </w:r>
                </w:p>
              </w:tc>
            </w:tr>
            <w:tr w14:paraId="520069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3" w:type="pct"/>
                  <w:vAlign w:val="center"/>
                </w:tcPr>
                <w:p w14:paraId="0643D262">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运营期</w:t>
                  </w:r>
                </w:p>
              </w:tc>
              <w:tc>
                <w:tcPr>
                  <w:tcW w:w="928" w:type="pct"/>
                  <w:vAlign w:val="center"/>
                </w:tcPr>
                <w:p w14:paraId="72EAABF3">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55</w:t>
                  </w:r>
                </w:p>
              </w:tc>
              <w:tc>
                <w:tcPr>
                  <w:tcW w:w="916" w:type="pct"/>
                  <w:tcBorders>
                    <w:right w:val="single" w:color="000000" w:sz="8" w:space="0"/>
                  </w:tcBorders>
                  <w:vAlign w:val="center"/>
                </w:tcPr>
                <w:p w14:paraId="2FD38BE1">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45</w:t>
                  </w:r>
                </w:p>
              </w:tc>
              <w:tc>
                <w:tcPr>
                  <w:tcW w:w="2433" w:type="pct"/>
                  <w:tcBorders>
                    <w:left w:val="single" w:color="000000" w:sz="8" w:space="0"/>
                  </w:tcBorders>
                  <w:vAlign w:val="center"/>
                </w:tcPr>
                <w:p w14:paraId="61AA014A">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《工业企业厂界环境噪声排放标准》（GB12348-2008）中1类标准限值</w:t>
                  </w:r>
                </w:p>
              </w:tc>
            </w:tr>
          </w:tbl>
          <w:p w14:paraId="74E87361">
            <w:pPr>
              <w:spacing w:before="240" w:line="360" w:lineRule="auto"/>
              <w:rPr>
                <w:rFonts w:hint="default" w:ascii="Times New Roman" w:hAnsi="Times New Roman" w:cs="Times New Roman"/>
                <w:b/>
                <w:color w:val="auto"/>
                <w:sz w:val="24"/>
              </w:rPr>
            </w:pPr>
            <w:r>
              <w:rPr>
                <w:rFonts w:hint="default" w:ascii="Times New Roman" w:hAnsi="Times New Roman" w:cs="Times New Roman"/>
                <w:b/>
                <w:color w:val="auto"/>
                <w:sz w:val="24"/>
                <w:lang w:val="en-US" w:eastAsia="zh-CN"/>
              </w:rPr>
              <w:t>4</w:t>
            </w:r>
            <w:r>
              <w:rPr>
                <w:rFonts w:hint="default" w:ascii="Times New Roman" w:hAnsi="Times New Roman" w:cs="Times New Roman"/>
                <w:b/>
                <w:color w:val="auto"/>
                <w:sz w:val="24"/>
              </w:rPr>
              <w:t>.固体废物标准</w:t>
            </w:r>
          </w:p>
          <w:p w14:paraId="149F4521">
            <w:pPr>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一般固废执行《一般工业固体废物贮存和填埋污染控制标准》（GB18599-2020）标准</w:t>
            </w:r>
            <w:r>
              <w:rPr>
                <w:rFonts w:hint="default" w:ascii="Times New Roman" w:hAnsi="Times New Roman" w:cs="Times New Roman"/>
                <w:bCs/>
                <w:color w:val="auto"/>
                <w:sz w:val="24"/>
              </w:rPr>
              <w:t>。</w:t>
            </w:r>
          </w:p>
          <w:p w14:paraId="3D2BC440">
            <w:pPr>
              <w:spacing w:line="360" w:lineRule="auto"/>
              <w:rPr>
                <w:rFonts w:hint="default" w:ascii="Times New Roman" w:hAnsi="Times New Roman" w:cs="Times New Roman"/>
                <w:b/>
                <w:color w:val="auto"/>
                <w:szCs w:val="21"/>
              </w:rPr>
            </w:pPr>
          </w:p>
        </w:tc>
      </w:tr>
      <w:tr w14:paraId="4015A6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51" w:hRule="atLeast"/>
          <w:jc w:val="center"/>
        </w:trPr>
        <w:tc>
          <w:tcPr>
            <w:tcW w:w="534" w:type="dxa"/>
            <w:vAlign w:val="center"/>
          </w:tcPr>
          <w:p w14:paraId="1D68F2BF">
            <w:pPr>
              <w:adjustRightInd w:val="0"/>
              <w:snapToGrid w:val="0"/>
              <w:jc w:val="center"/>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总量控制指标</w:t>
            </w:r>
          </w:p>
        </w:tc>
        <w:tc>
          <w:tcPr>
            <w:tcW w:w="8527" w:type="dxa"/>
            <w:vAlign w:val="center"/>
          </w:tcPr>
          <w:p w14:paraId="5E355BF5">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bl>
    <w:p w14:paraId="19992805">
      <w:pPr>
        <w:pStyle w:val="14"/>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6"/>
          <w:szCs w:val="36"/>
        </w:rPr>
        <w:br w:type="page"/>
      </w:r>
      <w:r>
        <w:rPr>
          <w:rFonts w:ascii="Times New Roman" w:hAnsi="Times New Roman" w:eastAsia="黑体"/>
          <w:snapToGrid w:val="0"/>
          <w:color w:val="auto"/>
          <w:sz w:val="30"/>
          <w:szCs w:val="30"/>
        </w:rPr>
        <w:t>四、主要环境影响和保护措施</w:t>
      </w:r>
    </w:p>
    <w:tbl>
      <w:tblPr>
        <w:tblStyle w:val="17"/>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84"/>
        <w:gridCol w:w="8424"/>
      </w:tblGrid>
      <w:tr w14:paraId="43B324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39" w:hRule="atLeast"/>
          <w:jc w:val="center"/>
        </w:trPr>
        <w:tc>
          <w:tcPr>
            <w:tcW w:w="484" w:type="dxa"/>
            <w:tcMar>
              <w:left w:w="28" w:type="dxa"/>
              <w:right w:w="28" w:type="dxa"/>
            </w:tcMar>
            <w:vAlign w:val="center"/>
          </w:tcPr>
          <w:p w14:paraId="0402917F">
            <w:pPr>
              <w:pStyle w:val="14"/>
              <w:adjustRightInd w:val="0"/>
              <w:snapToGrid w:val="0"/>
              <w:spacing w:before="0" w:beforeAutospacing="0" w:after="0" w:afterAutospacing="0"/>
              <w:jc w:val="center"/>
              <w:rPr>
                <w:rFonts w:ascii="Times New Roman" w:hAnsi="Times New Roman"/>
                <w:bCs/>
                <w:color w:val="auto"/>
                <w:kern w:val="2"/>
                <w:sz w:val="21"/>
                <w:szCs w:val="21"/>
              </w:rPr>
            </w:pPr>
            <w:r>
              <w:rPr>
                <w:rFonts w:ascii="Times New Roman" w:hAnsi="Times New Roman"/>
                <w:color w:val="auto"/>
                <w:kern w:val="2"/>
                <w:sz w:val="21"/>
                <w:szCs w:val="21"/>
              </w:rPr>
              <w:t>施工期环境保护措施</w:t>
            </w:r>
          </w:p>
        </w:tc>
        <w:tc>
          <w:tcPr>
            <w:tcW w:w="8424" w:type="dxa"/>
            <w:vAlign w:val="center"/>
          </w:tcPr>
          <w:p w14:paraId="71947366">
            <w:pPr>
              <w:adjustRightInd w:val="0"/>
              <w:snapToGrid w:val="0"/>
              <w:spacing w:line="360" w:lineRule="auto"/>
              <w:ind w:firstLine="482"/>
              <w:rPr>
                <w:color w:val="auto"/>
                <w:sz w:val="24"/>
              </w:rPr>
            </w:pPr>
            <w:r>
              <w:rPr>
                <w:rFonts w:hint="eastAsia"/>
                <w:color w:val="auto"/>
                <w:sz w:val="24"/>
                <w:lang w:val="en-US" w:eastAsia="zh-CN"/>
              </w:rPr>
              <w:t>本项目酱腌菜加工厂已于2012年建成并运行</w:t>
            </w:r>
            <w:r>
              <w:rPr>
                <w:rFonts w:hint="eastAsia"/>
                <w:color w:val="auto"/>
                <w:sz w:val="24"/>
              </w:rPr>
              <w:t>，</w:t>
            </w:r>
            <w:r>
              <w:rPr>
                <w:rFonts w:hint="eastAsia"/>
                <w:color w:val="auto"/>
                <w:sz w:val="24"/>
                <w:lang w:val="en-US" w:eastAsia="zh-CN"/>
              </w:rPr>
              <w:t>本次主要埋设废水储罐设施1套</w:t>
            </w:r>
            <w:r>
              <w:rPr>
                <w:rFonts w:hint="eastAsia"/>
                <w:color w:val="auto"/>
                <w:sz w:val="24"/>
              </w:rPr>
              <w:t>。</w:t>
            </w:r>
            <w:r>
              <w:rPr>
                <w:color w:val="auto"/>
                <w:sz w:val="24"/>
              </w:rPr>
              <w:t>项目建设对环境的影响主要表现为：施工扬尘、施工废水、施工噪声、土建固废等。项目</w:t>
            </w:r>
            <w:r>
              <w:rPr>
                <w:rFonts w:hint="eastAsia"/>
                <w:color w:val="auto"/>
                <w:sz w:val="24"/>
                <w:lang w:val="en-US" w:eastAsia="zh-CN"/>
              </w:rPr>
              <w:t>主体</w:t>
            </w:r>
            <w:r>
              <w:rPr>
                <w:color w:val="auto"/>
                <w:sz w:val="24"/>
              </w:rPr>
              <w:t>施工期较短，且产生的影响随着施工的结束而消失</w:t>
            </w:r>
            <w:r>
              <w:rPr>
                <w:rFonts w:hint="eastAsia"/>
                <w:color w:val="auto"/>
                <w:sz w:val="24"/>
              </w:rPr>
              <w:t>。项目建设期未发生环保纠纷等问题，对建设期主要环境影响和保护措施</w:t>
            </w:r>
            <w:r>
              <w:rPr>
                <w:rFonts w:hint="eastAsia"/>
                <w:color w:val="auto"/>
                <w:sz w:val="24"/>
                <w:lang w:eastAsia="zh-CN"/>
              </w:rPr>
              <w:t>进行</w:t>
            </w:r>
            <w:r>
              <w:rPr>
                <w:rFonts w:hint="eastAsia"/>
                <w:color w:val="auto"/>
                <w:sz w:val="24"/>
              </w:rPr>
              <w:t>回顾性分析如下：</w:t>
            </w:r>
          </w:p>
          <w:p w14:paraId="671C0E15">
            <w:pPr>
              <w:adjustRightInd w:val="0"/>
              <w:snapToGrid w:val="0"/>
              <w:spacing w:line="360" w:lineRule="auto"/>
              <w:ind w:firstLine="482"/>
              <w:rPr>
                <w:b/>
                <w:bCs/>
                <w:color w:val="auto"/>
                <w:sz w:val="24"/>
              </w:rPr>
            </w:pPr>
            <w:r>
              <w:rPr>
                <w:b/>
                <w:bCs/>
                <w:color w:val="auto"/>
                <w:sz w:val="24"/>
              </w:rPr>
              <w:t>1</w:t>
            </w:r>
            <w:r>
              <w:rPr>
                <w:rFonts w:hint="eastAsia"/>
                <w:b/>
                <w:bCs/>
                <w:color w:val="auto"/>
                <w:sz w:val="24"/>
              </w:rPr>
              <w:t>.</w:t>
            </w:r>
            <w:r>
              <w:rPr>
                <w:b/>
                <w:bCs/>
                <w:color w:val="auto"/>
                <w:sz w:val="24"/>
              </w:rPr>
              <w:t>废气</w:t>
            </w:r>
          </w:p>
          <w:p w14:paraId="3A55298D">
            <w:pPr>
              <w:widowControl/>
              <w:adjustRightInd w:val="0"/>
              <w:snapToGrid w:val="0"/>
              <w:spacing w:line="360" w:lineRule="auto"/>
              <w:ind w:firstLine="480" w:firstLineChars="200"/>
              <w:textAlignment w:val="baseline"/>
              <w:rPr>
                <w:bCs/>
                <w:color w:val="auto"/>
                <w:kern w:val="0"/>
                <w:sz w:val="24"/>
              </w:rPr>
            </w:pPr>
            <w:r>
              <w:rPr>
                <w:bCs/>
                <w:color w:val="auto"/>
                <w:kern w:val="0"/>
                <w:sz w:val="24"/>
              </w:rPr>
              <w:t>施工过程中产生的主要大气污染源是扬尘以及施工机械、运输车辆废气。</w:t>
            </w:r>
          </w:p>
          <w:p w14:paraId="7027CB9B">
            <w:pPr>
              <w:widowControl/>
              <w:adjustRightInd w:val="0"/>
              <w:snapToGrid w:val="0"/>
              <w:spacing w:line="360" w:lineRule="auto"/>
              <w:ind w:firstLine="480" w:firstLineChars="200"/>
              <w:textAlignment w:val="baseline"/>
              <w:rPr>
                <w:color w:val="auto"/>
                <w:kern w:val="0"/>
                <w:sz w:val="24"/>
              </w:rPr>
            </w:pPr>
            <w:r>
              <w:rPr>
                <w:rFonts w:hint="eastAsia"/>
                <w:color w:val="auto"/>
                <w:kern w:val="0"/>
                <w:sz w:val="24"/>
              </w:rPr>
              <w:t>（1）</w:t>
            </w:r>
            <w:r>
              <w:rPr>
                <w:color w:val="auto"/>
                <w:kern w:val="0"/>
                <w:sz w:val="24"/>
              </w:rPr>
              <w:t>施工扬尘</w:t>
            </w:r>
          </w:p>
          <w:p w14:paraId="41BADACA">
            <w:pPr>
              <w:widowControl/>
              <w:adjustRightInd w:val="0"/>
              <w:snapToGrid w:val="0"/>
              <w:spacing w:line="360" w:lineRule="auto"/>
              <w:ind w:firstLine="480" w:firstLineChars="200"/>
              <w:textAlignment w:val="baseline"/>
              <w:rPr>
                <w:color w:val="auto"/>
                <w:kern w:val="0"/>
                <w:sz w:val="24"/>
              </w:rPr>
            </w:pPr>
            <w:r>
              <w:rPr>
                <w:color w:val="auto"/>
                <w:kern w:val="0"/>
                <w:sz w:val="24"/>
              </w:rPr>
              <w:t>施工扬尘主要产生在以下环节：</w:t>
            </w:r>
            <w:r>
              <w:rPr>
                <w:rFonts w:ascii="Cambria Math" w:hAnsi="Cambria Math" w:cs="Cambria Math"/>
                <w:color w:val="auto"/>
                <w:kern w:val="0"/>
                <w:sz w:val="24"/>
              </w:rPr>
              <w:t>①</w:t>
            </w:r>
            <w:r>
              <w:rPr>
                <w:color w:val="auto"/>
                <w:kern w:val="0"/>
                <w:sz w:val="24"/>
              </w:rPr>
              <w:t>土石方开挖、回填以及现场堆放扬尘；</w:t>
            </w:r>
            <w:r>
              <w:rPr>
                <w:rFonts w:ascii="Cambria Math" w:hAnsi="Cambria Math" w:cs="Cambria Math"/>
                <w:color w:val="auto"/>
                <w:kern w:val="0"/>
                <w:sz w:val="24"/>
              </w:rPr>
              <w:t>②</w:t>
            </w:r>
            <w:r>
              <w:rPr>
                <w:color w:val="auto"/>
                <w:kern w:val="0"/>
                <w:sz w:val="24"/>
              </w:rPr>
              <w:t>建筑材料</w:t>
            </w:r>
            <w:r>
              <w:rPr>
                <w:rFonts w:hint="eastAsia"/>
                <w:color w:val="auto"/>
                <w:kern w:val="0"/>
                <w:sz w:val="24"/>
              </w:rPr>
              <w:t>（</w:t>
            </w:r>
            <w:r>
              <w:rPr>
                <w:color w:val="auto"/>
                <w:kern w:val="0"/>
                <w:sz w:val="24"/>
              </w:rPr>
              <w:t>水泥、沙子、碎石等</w:t>
            </w:r>
            <w:r>
              <w:rPr>
                <w:rFonts w:hint="eastAsia"/>
                <w:color w:val="auto"/>
                <w:kern w:val="0"/>
                <w:sz w:val="24"/>
              </w:rPr>
              <w:t>）</w:t>
            </w:r>
            <w:r>
              <w:rPr>
                <w:color w:val="auto"/>
                <w:kern w:val="0"/>
                <w:sz w:val="24"/>
              </w:rPr>
              <w:t>的搬运以及堆放扬尘；</w:t>
            </w:r>
            <w:r>
              <w:rPr>
                <w:rFonts w:ascii="Cambria Math" w:hAnsi="Cambria Math" w:cs="Cambria Math"/>
                <w:color w:val="auto"/>
                <w:kern w:val="0"/>
                <w:sz w:val="24"/>
              </w:rPr>
              <w:t>③</w:t>
            </w:r>
            <w:r>
              <w:rPr>
                <w:color w:val="auto"/>
                <w:kern w:val="0"/>
                <w:sz w:val="24"/>
              </w:rPr>
              <w:t>物料运输车辆造成的道路扬尘</w:t>
            </w:r>
            <w:r>
              <w:rPr>
                <w:rFonts w:hint="eastAsia"/>
                <w:color w:val="auto"/>
                <w:kern w:val="0"/>
                <w:sz w:val="24"/>
              </w:rPr>
              <w:t>（</w:t>
            </w:r>
            <w:r>
              <w:rPr>
                <w:color w:val="auto"/>
                <w:kern w:val="0"/>
                <w:sz w:val="24"/>
              </w:rPr>
              <w:t>包括运输车辆在施工区内道路行驶产生的扬尘和含泥土的运输车辆带到施工区外道路产生的扬尘</w:t>
            </w:r>
            <w:r>
              <w:rPr>
                <w:rFonts w:hint="eastAsia"/>
                <w:color w:val="auto"/>
                <w:kern w:val="0"/>
                <w:sz w:val="24"/>
              </w:rPr>
              <w:t>）</w:t>
            </w:r>
            <w:r>
              <w:rPr>
                <w:color w:val="auto"/>
                <w:kern w:val="0"/>
                <w:sz w:val="24"/>
              </w:rPr>
              <w:t>。</w:t>
            </w:r>
          </w:p>
          <w:p w14:paraId="38685D5C">
            <w:pPr>
              <w:widowControl/>
              <w:adjustRightInd w:val="0"/>
              <w:snapToGrid w:val="0"/>
              <w:spacing w:line="360" w:lineRule="auto"/>
              <w:ind w:firstLine="480" w:firstLineChars="200"/>
              <w:textAlignment w:val="baseline"/>
              <w:rPr>
                <w:bCs/>
                <w:color w:val="auto"/>
                <w:kern w:val="0"/>
                <w:sz w:val="24"/>
              </w:rPr>
            </w:pPr>
            <w:r>
              <w:rPr>
                <w:bCs/>
                <w:color w:val="auto"/>
                <w:kern w:val="0"/>
                <w:sz w:val="24"/>
              </w:rPr>
              <w:t>扬尘的主要成分是TSP，由于本项目工程量较小，施工期较短，施工期扬尘对区域大气环境的影响有限，施工期间避开了大风天气，采取了施工场地定时洒水车洒水</w:t>
            </w:r>
            <w:r>
              <w:rPr>
                <w:rFonts w:hint="eastAsia"/>
                <w:bCs/>
                <w:color w:val="auto"/>
                <w:kern w:val="0"/>
                <w:sz w:val="24"/>
              </w:rPr>
              <w:t>、</w:t>
            </w:r>
            <w:r>
              <w:rPr>
                <w:bCs/>
                <w:color w:val="auto"/>
                <w:kern w:val="0"/>
                <w:sz w:val="24"/>
              </w:rPr>
              <w:t>露天堆放物料苫盖</w:t>
            </w:r>
            <w:r>
              <w:rPr>
                <w:rFonts w:hint="eastAsia"/>
                <w:bCs/>
                <w:color w:val="auto"/>
                <w:kern w:val="0"/>
                <w:sz w:val="24"/>
              </w:rPr>
              <w:t>、</w:t>
            </w:r>
            <w:r>
              <w:rPr>
                <w:bCs/>
                <w:color w:val="auto"/>
                <w:kern w:val="0"/>
                <w:sz w:val="24"/>
              </w:rPr>
              <w:t>施工现场四周围挡</w:t>
            </w:r>
            <w:r>
              <w:rPr>
                <w:rFonts w:hint="eastAsia"/>
                <w:bCs/>
                <w:color w:val="auto"/>
                <w:kern w:val="0"/>
                <w:sz w:val="24"/>
              </w:rPr>
              <w:t>（高2.5</w:t>
            </w:r>
            <w:r>
              <w:rPr>
                <w:rFonts w:hint="eastAsia"/>
                <w:bCs/>
                <w:color w:val="auto"/>
                <w:kern w:val="0"/>
                <w:sz w:val="24"/>
                <w:vertAlign w:val="baseline"/>
                <w:lang w:eastAsia="zh-CN"/>
              </w:rPr>
              <w:t>米</w:t>
            </w:r>
            <w:r>
              <w:rPr>
                <w:rFonts w:hint="eastAsia"/>
                <w:bCs/>
                <w:color w:val="auto"/>
                <w:kern w:val="0"/>
                <w:sz w:val="24"/>
              </w:rPr>
              <w:t>）</w:t>
            </w:r>
            <w:r>
              <w:rPr>
                <w:bCs/>
                <w:color w:val="auto"/>
                <w:kern w:val="0"/>
                <w:sz w:val="24"/>
              </w:rPr>
              <w:t>等措施，因此，施工阶段产生</w:t>
            </w:r>
            <w:r>
              <w:rPr>
                <w:rFonts w:hint="eastAsia"/>
                <w:bCs/>
                <w:color w:val="auto"/>
                <w:kern w:val="0"/>
                <w:sz w:val="24"/>
              </w:rPr>
              <w:t>的</w:t>
            </w:r>
            <w:r>
              <w:rPr>
                <w:bCs/>
                <w:color w:val="auto"/>
                <w:kern w:val="0"/>
                <w:sz w:val="24"/>
              </w:rPr>
              <w:t>扬尘对周围大气环境的影响较小。</w:t>
            </w:r>
          </w:p>
          <w:p w14:paraId="5BEFF3CA">
            <w:pPr>
              <w:widowControl/>
              <w:adjustRightInd w:val="0"/>
              <w:snapToGrid w:val="0"/>
              <w:spacing w:line="360" w:lineRule="auto"/>
              <w:ind w:firstLine="480" w:firstLineChars="200"/>
              <w:textAlignment w:val="baseline"/>
              <w:rPr>
                <w:rFonts w:hint="default"/>
                <w:color w:val="auto"/>
                <w:kern w:val="0"/>
                <w:sz w:val="24"/>
                <w:lang w:val="en-US"/>
              </w:rPr>
            </w:pPr>
            <w:r>
              <w:rPr>
                <w:rFonts w:hint="eastAsia"/>
                <w:color w:val="auto"/>
                <w:kern w:val="0"/>
                <w:sz w:val="24"/>
                <w:lang w:val="en-US" w:eastAsia="zh-CN"/>
              </w:rPr>
              <w:t>本次废水储罐设备埋设于地下，共计埋设3个30</w:t>
            </w:r>
            <w:r>
              <w:rPr>
                <w:rFonts w:hint="eastAsia"/>
                <w:color w:val="auto"/>
                <w:kern w:val="0"/>
                <w:sz w:val="24"/>
                <w:vertAlign w:val="baseline"/>
                <w:lang w:val="en-US" w:eastAsia="zh-CN"/>
              </w:rPr>
              <w:t>m</w:t>
            </w:r>
            <w:r>
              <w:rPr>
                <w:rFonts w:hint="eastAsia"/>
                <w:color w:val="auto"/>
                <w:kern w:val="0"/>
                <w:sz w:val="24"/>
                <w:vertAlign w:val="superscript"/>
                <w:lang w:val="en-US" w:eastAsia="zh-CN"/>
              </w:rPr>
              <w:t>3</w:t>
            </w:r>
            <w:r>
              <w:rPr>
                <w:rFonts w:hint="eastAsia"/>
                <w:color w:val="auto"/>
                <w:kern w:val="0"/>
                <w:sz w:val="24"/>
                <w:lang w:val="en-US" w:eastAsia="zh-CN"/>
              </w:rPr>
              <w:t>废水储罐，主要污染源为施工扬尘及开挖的土方。新增工程量较小，施工扬尘量极小，对周围大气环境的影响较小。开挖的土方回填于厂区四周空地，进行综合利用。</w:t>
            </w:r>
          </w:p>
          <w:p w14:paraId="16D2746E">
            <w:pPr>
              <w:widowControl/>
              <w:adjustRightInd w:val="0"/>
              <w:snapToGrid w:val="0"/>
              <w:spacing w:line="360" w:lineRule="auto"/>
              <w:ind w:firstLine="480" w:firstLineChars="200"/>
              <w:textAlignment w:val="baseline"/>
              <w:rPr>
                <w:color w:val="auto"/>
                <w:kern w:val="0"/>
                <w:sz w:val="24"/>
              </w:rPr>
            </w:pPr>
            <w:r>
              <w:rPr>
                <w:rFonts w:hint="eastAsia"/>
                <w:color w:val="auto"/>
                <w:kern w:val="0"/>
                <w:sz w:val="24"/>
              </w:rPr>
              <w:t>（2）</w:t>
            </w:r>
            <w:r>
              <w:rPr>
                <w:color w:val="auto"/>
                <w:kern w:val="0"/>
                <w:sz w:val="24"/>
              </w:rPr>
              <w:t>施工机械废气</w:t>
            </w:r>
          </w:p>
          <w:p w14:paraId="22C969EB">
            <w:pPr>
              <w:widowControl/>
              <w:adjustRightInd w:val="0"/>
              <w:snapToGrid w:val="0"/>
              <w:spacing w:line="360" w:lineRule="auto"/>
              <w:ind w:firstLine="480" w:firstLineChars="200"/>
              <w:textAlignment w:val="baseline"/>
              <w:rPr>
                <w:color w:val="auto"/>
                <w:kern w:val="0"/>
                <w:sz w:val="24"/>
              </w:rPr>
            </w:pPr>
            <w:r>
              <w:rPr>
                <w:color w:val="auto"/>
                <w:kern w:val="0"/>
                <w:sz w:val="24"/>
              </w:rPr>
              <w:t>本项目施工过程中主要有运输车辆、挖掘机等机械，以柴油为燃料，产生了一定量的废气，</w:t>
            </w:r>
            <w:r>
              <w:rPr>
                <w:bCs/>
                <w:color w:val="auto"/>
                <w:kern w:val="0"/>
                <w:sz w:val="24"/>
              </w:rPr>
              <w:t>主要成分是HC、CO、NOx等。施工期间加强车辆和机械设备的管理，维持施工机械良好运转，并选择符合标准的燃油。由于本项目工程量较小，施工期较短，施工机械、运输车辆废气产生量较小，对周围大气环境的影响较小</w:t>
            </w:r>
            <w:r>
              <w:rPr>
                <w:color w:val="auto"/>
                <w:kern w:val="0"/>
                <w:sz w:val="24"/>
              </w:rPr>
              <w:t>。</w:t>
            </w:r>
          </w:p>
          <w:p w14:paraId="23F11A90">
            <w:pPr>
              <w:widowControl/>
              <w:adjustRightInd w:val="0"/>
              <w:snapToGrid w:val="0"/>
              <w:spacing w:line="360" w:lineRule="auto"/>
              <w:ind w:firstLine="482" w:firstLineChars="200"/>
              <w:textAlignment w:val="baseline"/>
              <w:rPr>
                <w:b/>
                <w:bCs/>
                <w:color w:val="auto"/>
                <w:kern w:val="0"/>
                <w:sz w:val="24"/>
              </w:rPr>
            </w:pPr>
            <w:r>
              <w:rPr>
                <w:b/>
                <w:bCs/>
                <w:color w:val="auto"/>
                <w:kern w:val="0"/>
                <w:sz w:val="24"/>
              </w:rPr>
              <w:t>2</w:t>
            </w:r>
            <w:r>
              <w:rPr>
                <w:rFonts w:hint="eastAsia"/>
                <w:b/>
                <w:bCs/>
                <w:color w:val="auto"/>
                <w:kern w:val="0"/>
                <w:sz w:val="24"/>
              </w:rPr>
              <w:t>.</w:t>
            </w:r>
            <w:r>
              <w:rPr>
                <w:b/>
                <w:bCs/>
                <w:color w:val="auto"/>
                <w:kern w:val="0"/>
                <w:sz w:val="24"/>
              </w:rPr>
              <w:t>废水</w:t>
            </w:r>
          </w:p>
          <w:p w14:paraId="7394D702">
            <w:pPr>
              <w:widowControl/>
              <w:adjustRightInd w:val="0"/>
              <w:snapToGrid w:val="0"/>
              <w:spacing w:line="360" w:lineRule="auto"/>
              <w:ind w:firstLine="480" w:firstLineChars="200"/>
              <w:textAlignment w:val="baseline"/>
              <w:rPr>
                <w:color w:val="auto"/>
                <w:kern w:val="0"/>
                <w:sz w:val="24"/>
              </w:rPr>
            </w:pPr>
            <w:r>
              <w:rPr>
                <w:color w:val="auto"/>
                <w:kern w:val="0"/>
                <w:sz w:val="24"/>
              </w:rPr>
              <w:t>建筑施工期间的废水包括施工废水和施工人员的生活污水。</w:t>
            </w:r>
          </w:p>
          <w:p w14:paraId="3009599E">
            <w:pPr>
              <w:widowControl/>
              <w:adjustRightInd w:val="0"/>
              <w:snapToGrid w:val="0"/>
              <w:spacing w:line="360" w:lineRule="auto"/>
              <w:ind w:firstLine="480" w:firstLineChars="200"/>
              <w:textAlignment w:val="baseline"/>
              <w:rPr>
                <w:color w:val="auto"/>
                <w:kern w:val="0"/>
                <w:sz w:val="24"/>
              </w:rPr>
            </w:pPr>
            <w:r>
              <w:rPr>
                <w:color w:val="auto"/>
                <w:kern w:val="0"/>
                <w:sz w:val="24"/>
              </w:rPr>
              <w:t>施工生产废水包括砂石冲洗水、养护水、场地冲洗水以及机械设备运转的冷却水和洗涤水、输送系统冲洗废水。施工时设置临时沉淀池，将含泥沙</w:t>
            </w:r>
            <w:r>
              <w:rPr>
                <w:rFonts w:hint="eastAsia"/>
                <w:color w:val="auto"/>
                <w:kern w:val="0"/>
                <w:sz w:val="24"/>
              </w:rPr>
              <w:t>的</w:t>
            </w:r>
            <w:r>
              <w:rPr>
                <w:color w:val="auto"/>
                <w:kern w:val="0"/>
                <w:sz w:val="24"/>
              </w:rPr>
              <w:t>雨水、泥浆水等经沉淀池沉淀处理后回收利用，不外排。</w:t>
            </w:r>
            <w:r>
              <w:rPr>
                <w:bCs/>
                <w:color w:val="auto"/>
                <w:kern w:val="0"/>
                <w:sz w:val="24"/>
              </w:rPr>
              <w:t>施工人员生活污水产生量很少，经</w:t>
            </w:r>
            <w:r>
              <w:rPr>
                <w:rFonts w:hint="eastAsia"/>
                <w:bCs/>
                <w:color w:val="auto"/>
                <w:kern w:val="0"/>
                <w:sz w:val="24"/>
                <w:lang w:val="en-US" w:eastAsia="zh-CN"/>
              </w:rPr>
              <w:t>项目周边住户</w:t>
            </w:r>
            <w:r>
              <w:rPr>
                <w:rFonts w:hint="eastAsia"/>
                <w:bCs/>
                <w:color w:val="auto"/>
                <w:kern w:val="0"/>
                <w:sz w:val="24"/>
              </w:rPr>
              <w:t>已建</w:t>
            </w:r>
            <w:r>
              <w:rPr>
                <w:bCs/>
                <w:color w:val="auto"/>
                <w:kern w:val="0"/>
                <w:sz w:val="24"/>
              </w:rPr>
              <w:t>旱厕收集，</w:t>
            </w:r>
            <w:r>
              <w:rPr>
                <w:rFonts w:hint="eastAsia"/>
                <w:bCs/>
                <w:color w:val="auto"/>
                <w:kern w:val="0"/>
                <w:sz w:val="24"/>
              </w:rPr>
              <w:t>已</w:t>
            </w:r>
            <w:r>
              <w:rPr>
                <w:bCs/>
                <w:color w:val="auto"/>
                <w:kern w:val="0"/>
                <w:sz w:val="24"/>
              </w:rPr>
              <w:t>拉运至杭锦旗锡尼镇污水处理厂处理</w:t>
            </w:r>
            <w:r>
              <w:rPr>
                <w:rFonts w:hint="eastAsia"/>
                <w:bCs/>
                <w:color w:val="auto"/>
                <w:kern w:val="0"/>
                <w:sz w:val="24"/>
              </w:rPr>
              <w:t>，</w:t>
            </w:r>
            <w:r>
              <w:rPr>
                <w:bCs/>
                <w:color w:val="auto"/>
                <w:kern w:val="0"/>
                <w:sz w:val="24"/>
              </w:rPr>
              <w:t>生活污水得到了妥善处理</w:t>
            </w:r>
            <w:r>
              <w:rPr>
                <w:color w:val="auto"/>
                <w:kern w:val="0"/>
                <w:sz w:val="24"/>
              </w:rPr>
              <w:t>。</w:t>
            </w:r>
          </w:p>
          <w:p w14:paraId="68FADB9F">
            <w:pPr>
              <w:widowControl/>
              <w:adjustRightInd w:val="0"/>
              <w:snapToGrid w:val="0"/>
              <w:spacing w:line="360" w:lineRule="auto"/>
              <w:ind w:firstLine="482" w:firstLineChars="200"/>
              <w:textAlignment w:val="baseline"/>
              <w:rPr>
                <w:color w:val="auto"/>
                <w:kern w:val="0"/>
                <w:sz w:val="24"/>
              </w:rPr>
            </w:pPr>
            <w:r>
              <w:rPr>
                <w:b/>
                <w:bCs/>
                <w:color w:val="auto"/>
                <w:kern w:val="0"/>
                <w:sz w:val="24"/>
              </w:rPr>
              <w:t>3</w:t>
            </w:r>
            <w:r>
              <w:rPr>
                <w:rFonts w:hint="eastAsia"/>
                <w:b/>
                <w:bCs/>
                <w:color w:val="auto"/>
                <w:kern w:val="0"/>
                <w:sz w:val="24"/>
              </w:rPr>
              <w:t>.</w:t>
            </w:r>
            <w:r>
              <w:rPr>
                <w:b/>
                <w:bCs/>
                <w:color w:val="auto"/>
                <w:kern w:val="0"/>
                <w:sz w:val="24"/>
              </w:rPr>
              <w:t>噪声</w:t>
            </w:r>
          </w:p>
          <w:p w14:paraId="7AC85CAB">
            <w:pPr>
              <w:widowControl/>
              <w:adjustRightInd w:val="0"/>
              <w:snapToGrid w:val="0"/>
              <w:spacing w:line="360" w:lineRule="auto"/>
              <w:ind w:firstLine="480" w:firstLineChars="200"/>
              <w:textAlignment w:val="baseline"/>
              <w:rPr>
                <w:color w:val="auto"/>
                <w:kern w:val="0"/>
                <w:sz w:val="24"/>
              </w:rPr>
            </w:pPr>
            <w:r>
              <w:rPr>
                <w:color w:val="auto"/>
                <w:kern w:val="0"/>
                <w:sz w:val="24"/>
              </w:rPr>
              <w:t>根据工程分析，施工过程中使用的施工机械较少，施工期的噪声来自小型施工机械和运输车辆，噪声源强在75-95dB，特点为暂时的短期间歇性行为，无规律性，在施工场地界线处，一般情况下噪声强度将超过《建筑施工场界环境噪声排放标准》</w:t>
            </w:r>
            <w:r>
              <w:rPr>
                <w:rFonts w:hint="eastAsia"/>
                <w:color w:val="auto"/>
                <w:kern w:val="0"/>
                <w:sz w:val="24"/>
              </w:rPr>
              <w:t>（</w:t>
            </w:r>
            <w:r>
              <w:rPr>
                <w:color w:val="auto"/>
                <w:kern w:val="0"/>
                <w:sz w:val="24"/>
              </w:rPr>
              <w:t>GB125</w:t>
            </w:r>
            <w:r>
              <w:rPr>
                <w:rFonts w:hint="eastAsia"/>
                <w:color w:val="auto"/>
                <w:kern w:val="0"/>
                <w:sz w:val="24"/>
              </w:rPr>
              <w:t>23</w:t>
            </w:r>
            <w:r>
              <w:rPr>
                <w:color w:val="auto"/>
                <w:kern w:val="0"/>
                <w:sz w:val="24"/>
              </w:rPr>
              <w:t>-2011</w:t>
            </w:r>
            <w:r>
              <w:rPr>
                <w:rFonts w:hint="eastAsia"/>
                <w:color w:val="auto"/>
                <w:kern w:val="0"/>
                <w:sz w:val="24"/>
              </w:rPr>
              <w:t>）</w:t>
            </w:r>
            <w:r>
              <w:rPr>
                <w:color w:val="auto"/>
                <w:kern w:val="0"/>
                <w:sz w:val="24"/>
              </w:rPr>
              <w:t>。为减少施工噪声对周围企业的影响，施工单位及建设单位应采取以下减缓措施：</w:t>
            </w:r>
          </w:p>
          <w:p w14:paraId="7397FA43">
            <w:pPr>
              <w:widowControl/>
              <w:adjustRightInd w:val="0"/>
              <w:snapToGrid w:val="0"/>
              <w:spacing w:line="360" w:lineRule="auto"/>
              <w:ind w:firstLine="480" w:firstLineChars="200"/>
              <w:textAlignment w:val="baseline"/>
              <w:rPr>
                <w:color w:val="auto"/>
                <w:kern w:val="0"/>
                <w:sz w:val="24"/>
              </w:rPr>
            </w:pPr>
            <w:r>
              <w:rPr>
                <w:rFonts w:ascii="Cambria Math" w:hAnsi="Cambria Math" w:cs="Cambria Math"/>
                <w:color w:val="auto"/>
                <w:kern w:val="0"/>
                <w:sz w:val="24"/>
              </w:rPr>
              <w:t>①</w:t>
            </w:r>
            <w:r>
              <w:rPr>
                <w:color w:val="auto"/>
                <w:kern w:val="0"/>
                <w:sz w:val="24"/>
              </w:rPr>
              <w:t>选用低噪声设备，同时在施工过程中施工单位设专人对设备进行定期保养和维护。严格</w:t>
            </w:r>
            <w:r>
              <w:rPr>
                <w:rFonts w:hint="eastAsia"/>
                <w:color w:val="auto"/>
                <w:kern w:val="0"/>
                <w:sz w:val="24"/>
                <w:lang w:eastAsia="zh-CN"/>
              </w:rPr>
              <w:t>按照</w:t>
            </w:r>
            <w:r>
              <w:rPr>
                <w:color w:val="auto"/>
                <w:kern w:val="0"/>
                <w:sz w:val="24"/>
              </w:rPr>
              <w:t>操作规范使用各类机械。</w:t>
            </w:r>
          </w:p>
          <w:p w14:paraId="2868DD25">
            <w:pPr>
              <w:widowControl/>
              <w:adjustRightInd w:val="0"/>
              <w:snapToGrid w:val="0"/>
              <w:spacing w:line="360" w:lineRule="auto"/>
              <w:ind w:firstLine="480" w:firstLineChars="200"/>
              <w:textAlignment w:val="baseline"/>
              <w:rPr>
                <w:color w:val="auto"/>
                <w:kern w:val="0"/>
                <w:sz w:val="24"/>
              </w:rPr>
            </w:pPr>
            <w:r>
              <w:rPr>
                <w:rFonts w:ascii="Cambria Math" w:hAnsi="Cambria Math" w:cs="Cambria Math"/>
                <w:color w:val="auto"/>
                <w:kern w:val="0"/>
                <w:sz w:val="24"/>
              </w:rPr>
              <w:t>②</w:t>
            </w:r>
            <w:r>
              <w:rPr>
                <w:color w:val="auto"/>
                <w:kern w:val="0"/>
                <w:sz w:val="24"/>
              </w:rPr>
              <w:t>合理安排施工时间，</w:t>
            </w:r>
            <w:r>
              <w:rPr>
                <w:rFonts w:hint="eastAsia"/>
                <w:color w:val="auto"/>
                <w:kern w:val="0"/>
                <w:sz w:val="24"/>
                <w:lang w:eastAsia="zh-CN"/>
              </w:rPr>
              <w:t>避免</w:t>
            </w:r>
            <w:r>
              <w:rPr>
                <w:color w:val="auto"/>
                <w:kern w:val="0"/>
                <w:sz w:val="24"/>
              </w:rPr>
              <w:t>在22</w:t>
            </w:r>
            <w:r>
              <w:rPr>
                <w:rFonts w:ascii="微软雅黑" w:hAnsi="微软雅黑" w:eastAsia="微软雅黑" w:cs="微软雅黑"/>
                <w:i w:val="0"/>
                <w:iCs w:val="0"/>
                <w:caps w:val="0"/>
                <w:color w:val="auto"/>
                <w:spacing w:val="0"/>
                <w:sz w:val="21"/>
                <w:szCs w:val="21"/>
              </w:rPr>
              <w:t>：</w:t>
            </w:r>
            <w:r>
              <w:rPr>
                <w:color w:val="auto"/>
                <w:kern w:val="0"/>
                <w:sz w:val="24"/>
              </w:rPr>
              <w:t>00</w:t>
            </w:r>
            <w:r>
              <w:rPr>
                <w:rFonts w:hint="eastAsia"/>
                <w:color w:val="auto"/>
                <w:kern w:val="0"/>
                <w:sz w:val="24"/>
                <w:lang w:eastAsia="zh-CN"/>
              </w:rPr>
              <w:t>至</w:t>
            </w:r>
            <w:r>
              <w:rPr>
                <w:color w:val="auto"/>
                <w:kern w:val="0"/>
                <w:sz w:val="24"/>
              </w:rPr>
              <w:t>06</w:t>
            </w:r>
            <w:r>
              <w:rPr>
                <w:rFonts w:ascii="微软雅黑" w:hAnsi="微软雅黑" w:eastAsia="微软雅黑" w:cs="微软雅黑"/>
                <w:i w:val="0"/>
                <w:iCs w:val="0"/>
                <w:caps w:val="0"/>
                <w:color w:val="auto"/>
                <w:spacing w:val="0"/>
                <w:sz w:val="21"/>
                <w:szCs w:val="21"/>
              </w:rPr>
              <w:t>：</w:t>
            </w:r>
            <w:r>
              <w:rPr>
                <w:color w:val="auto"/>
                <w:kern w:val="0"/>
                <w:sz w:val="24"/>
              </w:rPr>
              <w:t>00期间施工。</w:t>
            </w:r>
          </w:p>
          <w:p w14:paraId="59F89135">
            <w:pPr>
              <w:widowControl/>
              <w:adjustRightInd w:val="0"/>
              <w:snapToGrid w:val="0"/>
              <w:spacing w:line="360" w:lineRule="auto"/>
              <w:ind w:firstLine="480" w:firstLineChars="200"/>
              <w:textAlignment w:val="baseline"/>
              <w:rPr>
                <w:color w:val="auto"/>
                <w:kern w:val="0"/>
                <w:sz w:val="24"/>
              </w:rPr>
            </w:pPr>
            <w:r>
              <w:rPr>
                <w:rFonts w:ascii="Cambria Math" w:hAnsi="Cambria Math" w:cs="Cambria Math"/>
                <w:color w:val="auto"/>
                <w:kern w:val="0"/>
                <w:sz w:val="24"/>
              </w:rPr>
              <w:t>③</w:t>
            </w:r>
            <w:r>
              <w:rPr>
                <w:color w:val="auto"/>
                <w:kern w:val="0"/>
                <w:sz w:val="24"/>
              </w:rPr>
              <w:t>合理进行施工场地布置。</w:t>
            </w:r>
          </w:p>
          <w:p w14:paraId="2FE78402">
            <w:pPr>
              <w:widowControl/>
              <w:adjustRightInd w:val="0"/>
              <w:snapToGrid w:val="0"/>
              <w:spacing w:line="360" w:lineRule="auto"/>
              <w:ind w:firstLine="480" w:firstLineChars="200"/>
              <w:textAlignment w:val="baseline"/>
              <w:rPr>
                <w:color w:val="auto"/>
                <w:kern w:val="0"/>
                <w:sz w:val="24"/>
              </w:rPr>
            </w:pPr>
            <w:r>
              <w:rPr>
                <w:color w:val="auto"/>
                <w:kern w:val="0"/>
                <w:sz w:val="24"/>
              </w:rPr>
              <w:t>综上所述，施工期间通过选用低噪声设备、合理布局施工场地、合理安排施工时间及其他相应降噪措施后</w:t>
            </w:r>
            <w:r>
              <w:rPr>
                <w:rFonts w:hint="eastAsia"/>
                <w:color w:val="auto"/>
                <w:kern w:val="0"/>
                <w:sz w:val="24"/>
              </w:rPr>
              <w:t>，</w:t>
            </w:r>
            <w:r>
              <w:rPr>
                <w:color w:val="auto"/>
                <w:kern w:val="0"/>
                <w:sz w:val="24"/>
              </w:rPr>
              <w:t>施工厂界噪声满足《建筑施工场界环境噪声排放标准》</w:t>
            </w:r>
            <w:r>
              <w:rPr>
                <w:rFonts w:hint="eastAsia"/>
                <w:color w:val="auto"/>
                <w:kern w:val="0"/>
                <w:sz w:val="24"/>
              </w:rPr>
              <w:t>（</w:t>
            </w:r>
            <w:r>
              <w:rPr>
                <w:color w:val="auto"/>
                <w:kern w:val="0"/>
                <w:sz w:val="24"/>
              </w:rPr>
              <w:t>GB 12523-2011</w:t>
            </w:r>
            <w:r>
              <w:rPr>
                <w:rFonts w:hint="eastAsia"/>
                <w:color w:val="auto"/>
                <w:kern w:val="0"/>
                <w:sz w:val="24"/>
              </w:rPr>
              <w:t>）</w:t>
            </w:r>
            <w:r>
              <w:rPr>
                <w:color w:val="auto"/>
                <w:kern w:val="0"/>
                <w:sz w:val="24"/>
              </w:rPr>
              <w:t>所规定的噪声标准的要求。</w:t>
            </w:r>
            <w:r>
              <w:rPr>
                <w:rFonts w:hint="eastAsia"/>
                <w:color w:val="auto"/>
                <w:kern w:val="0"/>
                <w:sz w:val="24"/>
              </w:rPr>
              <w:t>施工期未发生噪声扰民事件</w:t>
            </w:r>
            <w:r>
              <w:rPr>
                <w:rFonts w:hint="eastAsia"/>
                <w:color w:val="auto"/>
                <w:kern w:val="0"/>
                <w:sz w:val="24"/>
                <w:lang w:eastAsia="zh-CN"/>
              </w:rPr>
              <w:t>。</w:t>
            </w:r>
            <w:r>
              <w:rPr>
                <w:rFonts w:hint="eastAsia"/>
                <w:color w:val="auto"/>
                <w:kern w:val="0"/>
                <w:sz w:val="24"/>
              </w:rPr>
              <w:t>本项目建设期对周围声环境影响较小</w:t>
            </w:r>
            <w:r>
              <w:rPr>
                <w:rFonts w:hint="eastAsia"/>
                <w:color w:val="auto"/>
                <w:kern w:val="0"/>
                <w:sz w:val="24"/>
                <w:lang w:eastAsia="zh-CN"/>
              </w:rPr>
              <w:t>，</w:t>
            </w:r>
            <w:r>
              <w:rPr>
                <w:rFonts w:hint="eastAsia"/>
                <w:color w:val="auto"/>
                <w:kern w:val="0"/>
                <w:sz w:val="24"/>
                <w:lang w:val="en-US" w:eastAsia="zh-CN"/>
              </w:rPr>
              <w:t>未对周围声环境造成影响</w:t>
            </w:r>
            <w:r>
              <w:rPr>
                <w:rFonts w:hint="eastAsia"/>
                <w:color w:val="auto"/>
                <w:kern w:val="0"/>
                <w:sz w:val="24"/>
              </w:rPr>
              <w:t>。</w:t>
            </w:r>
          </w:p>
          <w:p w14:paraId="5FC00DD3">
            <w:pPr>
              <w:widowControl/>
              <w:adjustRightInd w:val="0"/>
              <w:snapToGrid w:val="0"/>
              <w:spacing w:line="360" w:lineRule="auto"/>
              <w:ind w:firstLine="482" w:firstLineChars="200"/>
              <w:textAlignment w:val="baseline"/>
              <w:rPr>
                <w:b/>
                <w:bCs/>
                <w:color w:val="auto"/>
                <w:kern w:val="0"/>
                <w:sz w:val="24"/>
              </w:rPr>
            </w:pPr>
            <w:r>
              <w:rPr>
                <w:b/>
                <w:bCs/>
                <w:color w:val="auto"/>
                <w:kern w:val="0"/>
                <w:sz w:val="24"/>
              </w:rPr>
              <w:t>4</w:t>
            </w:r>
            <w:r>
              <w:rPr>
                <w:rFonts w:hint="eastAsia"/>
                <w:b/>
                <w:bCs/>
                <w:color w:val="auto"/>
                <w:kern w:val="0"/>
                <w:sz w:val="24"/>
              </w:rPr>
              <w:t>.</w:t>
            </w:r>
            <w:r>
              <w:rPr>
                <w:b/>
                <w:bCs/>
                <w:color w:val="auto"/>
                <w:kern w:val="0"/>
                <w:sz w:val="24"/>
              </w:rPr>
              <w:t>固体废物</w:t>
            </w:r>
          </w:p>
          <w:p w14:paraId="65DF5455">
            <w:pPr>
              <w:spacing w:line="360" w:lineRule="auto"/>
              <w:ind w:firstLine="480" w:firstLineChars="200"/>
              <w:rPr>
                <w:bCs/>
                <w:color w:val="auto"/>
                <w:szCs w:val="21"/>
              </w:rPr>
            </w:pPr>
            <w:r>
              <w:rPr>
                <w:bCs/>
                <w:color w:val="auto"/>
                <w:kern w:val="0"/>
                <w:sz w:val="24"/>
              </w:rPr>
              <w:t>施工期产生的固废主要为建筑垃圾和生活垃圾。建筑垃圾为施工过程中产生的</w:t>
            </w:r>
            <w:r>
              <w:rPr>
                <w:rFonts w:hint="eastAsia"/>
                <w:bCs/>
                <w:color w:val="auto"/>
                <w:kern w:val="0"/>
                <w:sz w:val="24"/>
              </w:rPr>
              <w:t>建筑</w:t>
            </w:r>
            <w:r>
              <w:rPr>
                <w:bCs/>
                <w:color w:val="auto"/>
                <w:kern w:val="0"/>
                <w:sz w:val="24"/>
              </w:rPr>
              <w:t>弃料等，部分可以回用于项目建设，不能回用的</w:t>
            </w:r>
            <w:r>
              <w:rPr>
                <w:rFonts w:hint="eastAsia"/>
                <w:bCs/>
                <w:color w:val="auto"/>
                <w:kern w:val="0"/>
                <w:sz w:val="24"/>
              </w:rPr>
              <w:t>应</w:t>
            </w:r>
            <w:r>
              <w:rPr>
                <w:bCs/>
                <w:color w:val="auto"/>
                <w:kern w:val="0"/>
                <w:sz w:val="24"/>
              </w:rPr>
              <w:t>拉运至当地政府指定地点处置。施工人员产生的生活垃圾集中收集，在指定地点设置垃圾桶并加强管理，</w:t>
            </w:r>
            <w:r>
              <w:rPr>
                <w:rFonts w:hint="eastAsia"/>
                <w:bCs/>
                <w:color w:val="auto"/>
                <w:kern w:val="0"/>
                <w:sz w:val="24"/>
              </w:rPr>
              <w:t>并</w:t>
            </w:r>
            <w:r>
              <w:rPr>
                <w:bCs/>
                <w:color w:val="auto"/>
                <w:kern w:val="0"/>
                <w:sz w:val="24"/>
              </w:rPr>
              <w:t>定期交当地环卫部门集中处理。施工期</w:t>
            </w:r>
            <w:r>
              <w:rPr>
                <w:rFonts w:hint="eastAsia"/>
                <w:bCs/>
                <w:color w:val="auto"/>
                <w:kern w:val="0"/>
                <w:sz w:val="24"/>
                <w:lang w:eastAsia="zh-CN"/>
              </w:rPr>
              <w:t>产生的</w:t>
            </w:r>
            <w:r>
              <w:rPr>
                <w:bCs/>
                <w:color w:val="auto"/>
                <w:kern w:val="0"/>
                <w:sz w:val="24"/>
              </w:rPr>
              <w:t>固体废物</w:t>
            </w:r>
            <w:r>
              <w:rPr>
                <w:rFonts w:hint="eastAsia"/>
                <w:bCs/>
                <w:color w:val="auto"/>
                <w:kern w:val="0"/>
                <w:sz w:val="24"/>
              </w:rPr>
              <w:t>均已得到</w:t>
            </w:r>
            <w:r>
              <w:rPr>
                <w:bCs/>
                <w:color w:val="auto"/>
                <w:kern w:val="0"/>
                <w:sz w:val="24"/>
              </w:rPr>
              <w:t>合理处置，对周围环境</w:t>
            </w:r>
            <w:r>
              <w:rPr>
                <w:rFonts w:hint="eastAsia"/>
                <w:bCs/>
                <w:color w:val="auto"/>
                <w:kern w:val="0"/>
                <w:sz w:val="24"/>
              </w:rPr>
              <w:t>的</w:t>
            </w:r>
            <w:r>
              <w:rPr>
                <w:bCs/>
                <w:color w:val="auto"/>
                <w:kern w:val="0"/>
                <w:sz w:val="24"/>
              </w:rPr>
              <w:t>影响较小</w:t>
            </w:r>
            <w:r>
              <w:rPr>
                <w:bCs/>
                <w:color w:val="auto"/>
                <w:sz w:val="24"/>
              </w:rPr>
              <w:t>。</w:t>
            </w:r>
          </w:p>
        </w:tc>
      </w:tr>
      <w:tr w14:paraId="0EC87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31" w:hRule="atLeast"/>
          <w:jc w:val="center"/>
        </w:trPr>
        <w:tc>
          <w:tcPr>
            <w:tcW w:w="484" w:type="dxa"/>
            <w:tcMar>
              <w:left w:w="28" w:type="dxa"/>
              <w:right w:w="28" w:type="dxa"/>
            </w:tcMar>
            <w:vAlign w:val="center"/>
          </w:tcPr>
          <w:p w14:paraId="59FE37FC">
            <w:pPr>
              <w:adjustRightInd w:val="0"/>
              <w:snapToGrid w:val="0"/>
              <w:jc w:val="center"/>
              <w:rPr>
                <w:bCs/>
                <w:color w:val="auto"/>
                <w:szCs w:val="21"/>
              </w:rPr>
            </w:pPr>
            <w:r>
              <w:rPr>
                <w:bCs/>
                <w:color w:val="auto"/>
                <w:szCs w:val="21"/>
              </w:rPr>
              <w:t>运营期环境影响和保护措施</w:t>
            </w:r>
          </w:p>
        </w:tc>
        <w:tc>
          <w:tcPr>
            <w:tcW w:w="8424" w:type="dxa"/>
            <w:vAlign w:val="center"/>
          </w:tcPr>
          <w:p w14:paraId="08B69CA9">
            <w:pPr>
              <w:spacing w:line="360" w:lineRule="auto"/>
              <w:ind w:firstLine="482" w:firstLineChars="200"/>
              <w:jc w:val="left"/>
              <w:rPr>
                <w:b/>
                <w:bCs/>
                <w:color w:val="auto"/>
                <w:sz w:val="24"/>
              </w:rPr>
            </w:pPr>
            <w:r>
              <w:rPr>
                <w:b/>
                <w:bCs/>
                <w:color w:val="auto"/>
                <w:sz w:val="24"/>
              </w:rPr>
              <w:t>1</w:t>
            </w:r>
            <w:r>
              <w:rPr>
                <w:rFonts w:hint="eastAsia"/>
                <w:b/>
                <w:bCs/>
                <w:color w:val="auto"/>
                <w:sz w:val="24"/>
              </w:rPr>
              <w:t>.</w:t>
            </w:r>
            <w:r>
              <w:rPr>
                <w:b/>
                <w:bCs/>
                <w:color w:val="auto"/>
                <w:sz w:val="24"/>
              </w:rPr>
              <w:t>废气</w:t>
            </w:r>
          </w:p>
          <w:p w14:paraId="60A4B843">
            <w:pPr>
              <w:adjustRightInd w:val="0"/>
              <w:snapToGrid w:val="0"/>
              <w:spacing w:line="360" w:lineRule="auto"/>
              <w:ind w:firstLine="482" w:firstLineChars="200"/>
              <w:rPr>
                <w:b/>
                <w:bCs/>
                <w:color w:val="auto"/>
                <w:sz w:val="24"/>
              </w:rPr>
            </w:pPr>
            <w:r>
              <w:rPr>
                <w:b/>
                <w:bCs/>
                <w:color w:val="auto"/>
                <w:sz w:val="24"/>
              </w:rPr>
              <w:t>1.1大气污染物产排情况</w:t>
            </w:r>
          </w:p>
          <w:p w14:paraId="7473BD98">
            <w:pPr>
              <w:spacing w:line="360" w:lineRule="auto"/>
              <w:ind w:firstLine="480" w:firstLineChars="200"/>
              <w:rPr>
                <w:rFonts w:hint="eastAsia"/>
                <w:bCs/>
                <w:color w:val="auto"/>
                <w:sz w:val="24"/>
              </w:rPr>
            </w:pPr>
            <w:r>
              <w:rPr>
                <w:rFonts w:hint="eastAsia"/>
                <w:bCs/>
                <w:color w:val="auto"/>
                <w:sz w:val="24"/>
                <w:lang w:val="en-US" w:eastAsia="zh-CN"/>
              </w:rPr>
              <w:t>本项目运营期废气主要为发酵异味。</w:t>
            </w:r>
          </w:p>
          <w:p w14:paraId="3FB7E576">
            <w:pPr>
              <w:spacing w:line="360" w:lineRule="auto"/>
              <w:ind w:firstLine="480" w:firstLineChars="200"/>
              <w:rPr>
                <w:rFonts w:hint="eastAsia"/>
                <w:bCs/>
                <w:color w:val="auto"/>
                <w:sz w:val="24"/>
              </w:rPr>
            </w:pPr>
            <w:r>
              <w:rPr>
                <w:rFonts w:hint="eastAsia"/>
                <w:bCs/>
                <w:color w:val="auto"/>
                <w:sz w:val="24"/>
              </w:rPr>
              <w:t>本项目酸菜</w:t>
            </w:r>
            <w:r>
              <w:rPr>
                <w:rFonts w:hint="eastAsia"/>
                <w:bCs/>
                <w:color w:val="auto"/>
                <w:sz w:val="24"/>
                <w:lang w:val="en-US" w:eastAsia="zh-CN"/>
              </w:rPr>
              <w:t>发酵</w:t>
            </w:r>
            <w:r>
              <w:rPr>
                <w:rFonts w:hint="eastAsia"/>
                <w:bCs/>
                <w:color w:val="auto"/>
                <w:sz w:val="24"/>
              </w:rPr>
              <w:t>过程中，会产生一定的异味，主要污染因子为恶臭</w:t>
            </w:r>
            <w:r>
              <w:rPr>
                <w:rFonts w:hint="eastAsia"/>
                <w:bCs/>
                <w:color w:val="auto"/>
                <w:sz w:val="24"/>
                <w:lang w:eastAsia="zh-CN"/>
              </w:rPr>
              <w:t>。</w:t>
            </w:r>
            <w:r>
              <w:rPr>
                <w:rFonts w:hint="eastAsia"/>
                <w:bCs/>
                <w:color w:val="auto"/>
                <w:sz w:val="24"/>
              </w:rPr>
              <w:t>恶臭为人们对恶臭物质所感知的一种污染指标，其主要物质种类达上万种之多。由于其各种物质之间的相互作用</w:t>
            </w:r>
            <w:r>
              <w:rPr>
                <w:rFonts w:hint="eastAsia"/>
                <w:bCs/>
                <w:color w:val="auto"/>
                <w:sz w:val="24"/>
                <w:lang w:eastAsia="zh-CN"/>
              </w:rPr>
              <w:t>（</w:t>
            </w:r>
            <w:r>
              <w:rPr>
                <w:rFonts w:hint="eastAsia"/>
                <w:bCs/>
                <w:color w:val="auto"/>
                <w:sz w:val="24"/>
              </w:rPr>
              <w:t>相加、协同、抵消及掩饰作用等</w:t>
            </w:r>
            <w:r>
              <w:rPr>
                <w:rFonts w:hint="eastAsia"/>
                <w:bCs/>
                <w:color w:val="auto"/>
                <w:sz w:val="24"/>
                <w:lang w:eastAsia="zh-CN"/>
              </w:rPr>
              <w:t>）</w:t>
            </w:r>
            <w:r>
              <w:rPr>
                <w:rFonts w:hint="eastAsia"/>
                <w:bCs/>
                <w:color w:val="auto"/>
                <w:sz w:val="24"/>
              </w:rPr>
              <w:t>，加之人类的嗅觉功能和恶臭物质取样分析等因素，迄今还难以对大多数恶臭物质作出浓度标准，目前我国只规定了八种恶臭污染物的一次最大排放限值、复合恶臭物质的臭气浓度限值及无组织排放源的厂界浓度限值。</w:t>
            </w:r>
          </w:p>
          <w:p w14:paraId="40FF2B64">
            <w:pPr>
              <w:spacing w:line="360" w:lineRule="auto"/>
              <w:ind w:firstLine="480" w:firstLineChars="200"/>
              <w:rPr>
                <w:rFonts w:hint="default"/>
                <w:bCs/>
                <w:color w:val="auto"/>
                <w:sz w:val="24"/>
                <w:lang w:val="en-US" w:eastAsia="zh-CN"/>
              </w:rPr>
            </w:pPr>
            <w:r>
              <w:rPr>
                <w:rFonts w:hint="eastAsia"/>
                <w:bCs/>
                <w:color w:val="auto"/>
                <w:sz w:val="24"/>
                <w:lang w:val="en-US" w:eastAsia="zh-CN"/>
              </w:rPr>
              <w:t>（1）发酵工序发酵池发酵异味</w:t>
            </w:r>
          </w:p>
          <w:p w14:paraId="17332017">
            <w:pPr>
              <w:spacing w:line="360" w:lineRule="auto"/>
              <w:ind w:firstLine="480" w:firstLineChars="200"/>
              <w:rPr>
                <w:rFonts w:hint="eastAsia"/>
                <w:bCs/>
                <w:color w:val="auto"/>
                <w:sz w:val="24"/>
              </w:rPr>
            </w:pPr>
            <w:r>
              <w:rPr>
                <w:rFonts w:hint="eastAsia"/>
                <w:bCs/>
                <w:color w:val="auto"/>
                <w:sz w:val="24"/>
                <w:lang w:val="en-US" w:eastAsia="zh-CN"/>
              </w:rPr>
              <w:t>本项目发酵池位于发酵车间，发酵池为地下结构，酸菜腌制过程中发酵池酸菜上方压重物，并用塑料膜覆盖，仅在开池取菜过程中会有一定量的异味散逸，发酵车间封闭，在保证发酵环境的条件下有效降低了异味对外环境的影响。酸菜发酵时间为60-90天，发酵结束后根据订单需求从发酵池中取出相应数量的酸菜进行后续加工，其余酸菜仍在发酵池中保存。故发酵池开池时间分散，同一时间段发酵异味产生量较小。二次发酵在发酵桶中进行，发酵过程加盖密闭，仅在取菜时产有一定量的异味散逸，进行二次发酵的酸菜量较少，产生的异味有限。</w:t>
            </w:r>
          </w:p>
          <w:p w14:paraId="30F45C06">
            <w:pPr>
              <w:spacing w:line="360" w:lineRule="auto"/>
              <w:ind w:firstLine="480" w:firstLineChars="200"/>
              <w:rPr>
                <w:rFonts w:hint="eastAsia"/>
                <w:bCs/>
                <w:color w:val="auto"/>
                <w:sz w:val="24"/>
              </w:rPr>
            </w:pPr>
            <w:r>
              <w:rPr>
                <w:rFonts w:hint="eastAsia"/>
                <w:bCs/>
                <w:color w:val="auto"/>
                <w:sz w:val="24"/>
                <w:lang w:val="en-US" w:eastAsia="zh-CN"/>
              </w:rPr>
              <w:t>发酵废气为无组织废气，无法定量。通过以上封闭措施的控制，腌制发酵池产生的异味对外环境影响较小</w:t>
            </w:r>
            <w:r>
              <w:rPr>
                <w:rFonts w:hint="eastAsia"/>
                <w:bCs/>
                <w:color w:val="auto"/>
                <w:sz w:val="24"/>
              </w:rPr>
              <w:t>。</w:t>
            </w:r>
          </w:p>
          <w:p w14:paraId="32324F08">
            <w:pPr>
              <w:spacing w:line="360" w:lineRule="auto"/>
              <w:ind w:firstLine="480" w:firstLineChars="200"/>
              <w:rPr>
                <w:rFonts w:hint="eastAsia"/>
                <w:bCs/>
                <w:color w:val="auto"/>
                <w:sz w:val="24"/>
                <w:lang w:val="en-US" w:eastAsia="zh-CN"/>
              </w:rPr>
            </w:pPr>
            <w:r>
              <w:rPr>
                <w:rFonts w:hint="eastAsia"/>
                <w:bCs/>
                <w:color w:val="auto"/>
                <w:sz w:val="24"/>
                <w:lang w:val="en-US" w:eastAsia="zh-CN"/>
              </w:rPr>
              <w:t>（2）废水存储及运输发酵异味</w:t>
            </w:r>
          </w:p>
          <w:p w14:paraId="7C2AD78C">
            <w:pPr>
              <w:spacing w:line="360" w:lineRule="auto"/>
              <w:ind w:firstLine="480" w:firstLineChars="200"/>
              <w:rPr>
                <w:rFonts w:hint="default"/>
                <w:bCs/>
                <w:color w:val="auto"/>
                <w:sz w:val="24"/>
                <w:lang w:val="en-US" w:eastAsia="zh-CN"/>
              </w:rPr>
            </w:pPr>
            <w:r>
              <w:rPr>
                <w:rFonts w:hint="eastAsia"/>
                <w:bCs/>
                <w:color w:val="auto"/>
                <w:sz w:val="24"/>
                <w:lang w:val="en-US" w:eastAsia="zh-CN"/>
              </w:rPr>
              <w:t>2#废水储罐中2/3废水为酸菜清洗废水，其中含有发酵废水的含量较低，发酵异味浓度较小；3#废水储罐中存储酸菜发酵废水，发酵异味浓度相对较大。废水储罐为加盖密闭结构的地下储罐，仅在开盖抽废水外运期间有一定量的异味散逸。2#废水储罐每半个月清运一次，3#废水储罐每1个月清运一次，废水储罐开盖时间较短，且位于空旷地带，空气流动带动发酵异味迅速逸散，废水储罐发酵异味对外环境影响较小。废水由水泵抽至全封闭污水箱，由车辆运输至杭锦旗锡尼镇污水处理厂进行处理及蒙苏经济开发区零碳产业园工业污水处理厂，中间不进行开盖或倒罐，运输过程中仅有极少量的异味散逸，对外环境影响极小。</w:t>
            </w:r>
          </w:p>
          <w:p w14:paraId="45C2844A">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b/>
                <w:color w:val="auto"/>
                <w:kern w:val="21"/>
                <w:sz w:val="24"/>
              </w:rPr>
            </w:pPr>
            <w:r>
              <w:rPr>
                <w:b/>
                <w:color w:val="auto"/>
                <w:kern w:val="21"/>
                <w:sz w:val="24"/>
              </w:rPr>
              <w:t>1.2废气达标排放分析</w:t>
            </w:r>
          </w:p>
          <w:p w14:paraId="35A936FD">
            <w:pPr>
              <w:pStyle w:val="14"/>
              <w:adjustRightInd w:val="0"/>
              <w:snapToGrid w:val="0"/>
              <w:spacing w:before="0" w:beforeAutospacing="0" w:after="0" w:afterAutospacing="0" w:line="360" w:lineRule="auto"/>
              <w:ind w:firstLine="480" w:firstLineChars="200"/>
              <w:jc w:val="both"/>
              <w:rPr>
                <w:rFonts w:hint="eastAsia" w:ascii="Times New Roman" w:hAnsi="Times New Roman"/>
                <w:bCs/>
                <w:color w:val="auto"/>
                <w:kern w:val="21"/>
                <w:szCs w:val="24"/>
              </w:rPr>
            </w:pPr>
            <w:r>
              <w:rPr>
                <w:rFonts w:ascii="Times New Roman" w:hAnsi="Times New Roman"/>
                <w:bCs/>
                <w:color w:val="auto"/>
                <w:kern w:val="21"/>
                <w:szCs w:val="24"/>
              </w:rPr>
              <w:t>根据上述</w:t>
            </w:r>
            <w:r>
              <w:rPr>
                <w:rFonts w:hint="eastAsia" w:ascii="Times New Roman" w:hAnsi="Times New Roman"/>
                <w:bCs/>
                <w:color w:val="auto"/>
                <w:kern w:val="21"/>
                <w:szCs w:val="24"/>
              </w:rPr>
              <w:t>污染源</w:t>
            </w:r>
            <w:r>
              <w:rPr>
                <w:rFonts w:ascii="Times New Roman" w:hAnsi="Times New Roman"/>
                <w:bCs/>
                <w:color w:val="auto"/>
                <w:kern w:val="21"/>
                <w:szCs w:val="24"/>
              </w:rPr>
              <w:t>分析，</w:t>
            </w:r>
            <w:r>
              <w:rPr>
                <w:rFonts w:hint="eastAsia" w:ascii="Times New Roman" w:hAnsi="Times New Roman"/>
                <w:bCs/>
                <w:color w:val="auto"/>
                <w:kern w:val="21"/>
                <w:szCs w:val="24"/>
                <w:lang w:val="en-US" w:eastAsia="zh-CN"/>
              </w:rPr>
              <w:t>发酵异味为无组织废气，无法定量，通过采取封闭车间、地下发酵池塑料膜覆盖封闭、发酵桶加盖密闭、废水储罐加盖密闭、运输车辆污水箱全封闭等措施，发酵异味对外环境影响较小，</w:t>
            </w:r>
            <w:r>
              <w:rPr>
                <w:rFonts w:hint="eastAsia" w:ascii="Times New Roman" w:hAnsi="Times New Roman"/>
                <w:bCs/>
                <w:color w:val="auto"/>
                <w:kern w:val="21"/>
                <w:szCs w:val="24"/>
              </w:rPr>
              <w:t>可满足《恶臭污染物排放标准》</w:t>
            </w:r>
            <w:r>
              <w:rPr>
                <w:rFonts w:hint="eastAsia" w:ascii="Times New Roman" w:hAnsi="Times New Roman"/>
                <w:bCs/>
                <w:color w:val="auto"/>
                <w:kern w:val="21"/>
                <w:szCs w:val="24"/>
                <w:lang w:eastAsia="zh-CN"/>
              </w:rPr>
              <w:t>（</w:t>
            </w:r>
            <w:r>
              <w:rPr>
                <w:rFonts w:hint="eastAsia" w:ascii="Times New Roman" w:hAnsi="Times New Roman"/>
                <w:bCs/>
                <w:color w:val="auto"/>
                <w:kern w:val="21"/>
                <w:szCs w:val="24"/>
              </w:rPr>
              <w:t>GB14554-93</w:t>
            </w:r>
            <w:r>
              <w:rPr>
                <w:rFonts w:hint="eastAsia" w:ascii="Times New Roman" w:hAnsi="Times New Roman"/>
                <w:bCs/>
                <w:color w:val="auto"/>
                <w:kern w:val="21"/>
                <w:szCs w:val="24"/>
                <w:lang w:eastAsia="zh-CN"/>
              </w:rPr>
              <w:t>）</w:t>
            </w:r>
            <w:r>
              <w:rPr>
                <w:rFonts w:hint="eastAsia" w:ascii="Times New Roman" w:hAnsi="Times New Roman"/>
                <w:bCs/>
                <w:color w:val="auto"/>
                <w:kern w:val="21"/>
                <w:szCs w:val="24"/>
              </w:rPr>
              <w:t>排放限值。</w:t>
            </w:r>
          </w:p>
          <w:p w14:paraId="4EE3EA5F">
            <w:pPr>
              <w:spacing w:line="360" w:lineRule="auto"/>
              <w:ind w:firstLine="482" w:firstLineChars="200"/>
              <w:rPr>
                <w:b/>
                <w:bCs/>
                <w:color w:val="auto"/>
                <w:kern w:val="0"/>
                <w:sz w:val="24"/>
                <w:szCs w:val="20"/>
              </w:rPr>
            </w:pPr>
            <w:r>
              <w:rPr>
                <w:rFonts w:hint="eastAsia"/>
                <w:b/>
                <w:bCs/>
                <w:color w:val="auto"/>
                <w:kern w:val="0"/>
                <w:sz w:val="24"/>
                <w:szCs w:val="20"/>
              </w:rPr>
              <w:t>1.3</w:t>
            </w:r>
            <w:r>
              <w:rPr>
                <w:b/>
                <w:bCs/>
                <w:color w:val="auto"/>
                <w:kern w:val="0"/>
                <w:sz w:val="24"/>
                <w:szCs w:val="20"/>
              </w:rPr>
              <w:t>监测计划</w:t>
            </w:r>
          </w:p>
          <w:p w14:paraId="18A31787">
            <w:pPr>
              <w:spacing w:line="360" w:lineRule="auto"/>
              <w:ind w:firstLine="480" w:firstLineChars="200"/>
              <w:rPr>
                <w:color w:val="auto"/>
                <w:kern w:val="0"/>
                <w:sz w:val="24"/>
                <w:szCs w:val="20"/>
              </w:rPr>
            </w:pPr>
            <w:r>
              <w:rPr>
                <w:color w:val="auto"/>
                <w:kern w:val="0"/>
                <w:sz w:val="24"/>
                <w:szCs w:val="20"/>
              </w:rPr>
              <w:t>根据</w:t>
            </w:r>
            <w:r>
              <w:rPr>
                <w:rFonts w:hint="eastAsia"/>
                <w:color w:val="auto"/>
                <w:kern w:val="0"/>
                <w:sz w:val="24"/>
                <w:szCs w:val="20"/>
                <w:lang w:val="en-US" w:eastAsia="zh-CN"/>
              </w:rPr>
              <w:t>《排污单位自行监测技术指南 农副食品加工业》（HJ 986-2018）</w:t>
            </w:r>
            <w:r>
              <w:rPr>
                <w:color w:val="auto"/>
                <w:kern w:val="0"/>
                <w:sz w:val="24"/>
                <w:szCs w:val="20"/>
              </w:rPr>
              <w:t>，本项目大气监测的监测点位、监测因子和频次见表4-</w:t>
            </w:r>
            <w:r>
              <w:rPr>
                <w:rFonts w:hint="eastAsia"/>
                <w:color w:val="auto"/>
                <w:kern w:val="0"/>
                <w:sz w:val="24"/>
                <w:szCs w:val="20"/>
                <w:lang w:val="en-US" w:eastAsia="zh-CN"/>
              </w:rPr>
              <w:t>1</w:t>
            </w:r>
            <w:r>
              <w:rPr>
                <w:color w:val="auto"/>
                <w:kern w:val="0"/>
                <w:sz w:val="24"/>
                <w:szCs w:val="20"/>
              </w:rPr>
              <w:t>。</w:t>
            </w:r>
          </w:p>
          <w:p w14:paraId="43CA67CA">
            <w:pPr>
              <w:adjustRightInd w:val="0"/>
              <w:snapToGrid w:val="0"/>
              <w:jc w:val="center"/>
              <w:rPr>
                <w:b/>
                <w:bCs/>
                <w:color w:val="auto"/>
                <w:sz w:val="24"/>
              </w:rPr>
            </w:pPr>
            <w:r>
              <w:rPr>
                <w:b/>
                <w:bCs/>
                <w:color w:val="auto"/>
                <w:sz w:val="24"/>
              </w:rPr>
              <w:t>表4-</w:t>
            </w:r>
            <w:r>
              <w:rPr>
                <w:rFonts w:hint="eastAsia"/>
                <w:b/>
                <w:bCs/>
                <w:color w:val="auto"/>
                <w:sz w:val="24"/>
                <w:lang w:val="en-US" w:eastAsia="zh-CN"/>
              </w:rPr>
              <w:t>1</w:t>
            </w:r>
            <w:r>
              <w:rPr>
                <w:b/>
                <w:bCs/>
                <w:color w:val="auto"/>
                <w:sz w:val="24"/>
              </w:rPr>
              <w:t xml:space="preserve"> 大气环境监测内容一览表</w:t>
            </w:r>
          </w:p>
          <w:tbl>
            <w:tblPr>
              <w:tblStyle w:val="17"/>
              <w:tblW w:w="8220" w:type="dxa"/>
              <w:jc w:val="center"/>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fixed"/>
              <w:tblCellMar>
                <w:top w:w="0" w:type="dxa"/>
                <w:left w:w="0" w:type="dxa"/>
                <w:bottom w:w="0" w:type="dxa"/>
                <w:right w:w="0" w:type="dxa"/>
              </w:tblCellMar>
            </w:tblPr>
            <w:tblGrid>
              <w:gridCol w:w="1247"/>
              <w:gridCol w:w="1123"/>
              <w:gridCol w:w="1170"/>
              <w:gridCol w:w="1867"/>
              <w:gridCol w:w="2813"/>
            </w:tblGrid>
            <w:tr w14:paraId="5A752540">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513" w:hRule="atLeast"/>
                <w:jc w:val="center"/>
              </w:trPr>
              <w:tc>
                <w:tcPr>
                  <w:tcW w:w="758" w:type="pct"/>
                  <w:vAlign w:val="center"/>
                </w:tcPr>
                <w:p w14:paraId="46FC90BE">
                  <w:pPr>
                    <w:adjustRightInd w:val="0"/>
                    <w:snapToGrid w:val="0"/>
                    <w:jc w:val="center"/>
                    <w:rPr>
                      <w:b/>
                      <w:color w:val="auto"/>
                      <w:szCs w:val="21"/>
                    </w:rPr>
                  </w:pPr>
                  <w:r>
                    <w:rPr>
                      <w:b/>
                      <w:color w:val="auto"/>
                      <w:szCs w:val="21"/>
                    </w:rPr>
                    <w:t>类别</w:t>
                  </w:r>
                </w:p>
              </w:tc>
              <w:tc>
                <w:tcPr>
                  <w:tcW w:w="683" w:type="pct"/>
                  <w:vAlign w:val="center"/>
                </w:tcPr>
                <w:p w14:paraId="62499320">
                  <w:pPr>
                    <w:adjustRightInd w:val="0"/>
                    <w:snapToGrid w:val="0"/>
                    <w:jc w:val="center"/>
                    <w:rPr>
                      <w:b/>
                      <w:color w:val="auto"/>
                      <w:szCs w:val="21"/>
                    </w:rPr>
                  </w:pPr>
                  <w:r>
                    <w:rPr>
                      <w:b/>
                      <w:color w:val="auto"/>
                      <w:szCs w:val="21"/>
                    </w:rPr>
                    <w:t>监测位置</w:t>
                  </w:r>
                </w:p>
              </w:tc>
              <w:tc>
                <w:tcPr>
                  <w:tcW w:w="711" w:type="pct"/>
                  <w:vAlign w:val="center"/>
                </w:tcPr>
                <w:p w14:paraId="3D02B85B">
                  <w:pPr>
                    <w:adjustRightInd w:val="0"/>
                    <w:snapToGrid w:val="0"/>
                    <w:jc w:val="center"/>
                    <w:rPr>
                      <w:b/>
                      <w:color w:val="auto"/>
                      <w:szCs w:val="21"/>
                    </w:rPr>
                  </w:pPr>
                  <w:r>
                    <w:rPr>
                      <w:b/>
                      <w:color w:val="auto"/>
                      <w:szCs w:val="21"/>
                    </w:rPr>
                    <w:t>监测项目</w:t>
                  </w:r>
                </w:p>
              </w:tc>
              <w:tc>
                <w:tcPr>
                  <w:tcW w:w="1135" w:type="pct"/>
                  <w:vAlign w:val="center"/>
                </w:tcPr>
                <w:p w14:paraId="2C674756">
                  <w:pPr>
                    <w:adjustRightInd w:val="0"/>
                    <w:snapToGrid w:val="0"/>
                    <w:jc w:val="center"/>
                    <w:rPr>
                      <w:b/>
                      <w:color w:val="auto"/>
                      <w:szCs w:val="21"/>
                    </w:rPr>
                  </w:pPr>
                  <w:r>
                    <w:rPr>
                      <w:b/>
                      <w:color w:val="auto"/>
                      <w:szCs w:val="21"/>
                    </w:rPr>
                    <w:t>监测频次</w:t>
                  </w:r>
                </w:p>
              </w:tc>
              <w:tc>
                <w:tcPr>
                  <w:tcW w:w="1711" w:type="pct"/>
                  <w:vAlign w:val="center"/>
                </w:tcPr>
                <w:p w14:paraId="112884A3">
                  <w:pPr>
                    <w:adjustRightInd w:val="0"/>
                    <w:snapToGrid w:val="0"/>
                    <w:jc w:val="center"/>
                    <w:rPr>
                      <w:b/>
                      <w:color w:val="auto"/>
                      <w:szCs w:val="21"/>
                    </w:rPr>
                  </w:pPr>
                  <w:r>
                    <w:rPr>
                      <w:b/>
                      <w:color w:val="auto"/>
                      <w:szCs w:val="21"/>
                    </w:rPr>
                    <w:t>控制指标</w:t>
                  </w:r>
                </w:p>
              </w:tc>
            </w:tr>
            <w:tr w14:paraId="2E4AA032">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454" w:hRule="atLeast"/>
                <w:jc w:val="center"/>
              </w:trPr>
              <w:tc>
                <w:tcPr>
                  <w:tcW w:w="758" w:type="pct"/>
                  <w:vAlign w:val="center"/>
                </w:tcPr>
                <w:p w14:paraId="43DD8110">
                  <w:pPr>
                    <w:adjustRightInd w:val="0"/>
                    <w:snapToGrid w:val="0"/>
                    <w:jc w:val="center"/>
                    <w:rPr>
                      <w:bCs/>
                      <w:color w:val="auto"/>
                      <w:szCs w:val="21"/>
                    </w:rPr>
                  </w:pPr>
                  <w:r>
                    <w:rPr>
                      <w:bCs/>
                      <w:color w:val="auto"/>
                      <w:szCs w:val="21"/>
                    </w:rPr>
                    <w:t>无组织废气</w:t>
                  </w:r>
                </w:p>
              </w:tc>
              <w:tc>
                <w:tcPr>
                  <w:tcW w:w="683" w:type="pct"/>
                  <w:vAlign w:val="center"/>
                </w:tcPr>
                <w:p w14:paraId="23AD0C2B">
                  <w:pPr>
                    <w:adjustRightInd w:val="0"/>
                    <w:snapToGrid w:val="0"/>
                    <w:jc w:val="center"/>
                    <w:rPr>
                      <w:rFonts w:hint="default" w:eastAsia="宋体"/>
                      <w:bCs/>
                      <w:color w:val="auto"/>
                      <w:szCs w:val="21"/>
                      <w:lang w:val="en-US" w:eastAsia="zh-CN"/>
                    </w:rPr>
                  </w:pPr>
                  <w:r>
                    <w:rPr>
                      <w:rFonts w:hint="eastAsia"/>
                      <w:bCs/>
                      <w:color w:val="auto"/>
                      <w:szCs w:val="21"/>
                      <w:lang w:val="en-US" w:eastAsia="zh-CN"/>
                    </w:rPr>
                    <w:t>厂界</w:t>
                  </w:r>
                </w:p>
              </w:tc>
              <w:tc>
                <w:tcPr>
                  <w:tcW w:w="711" w:type="pct"/>
                  <w:vAlign w:val="center"/>
                </w:tcPr>
                <w:p w14:paraId="05FD570E">
                  <w:pPr>
                    <w:adjustRightInd w:val="0"/>
                    <w:snapToGrid w:val="0"/>
                    <w:jc w:val="center"/>
                    <w:rPr>
                      <w:rFonts w:hint="default" w:eastAsia="宋体"/>
                      <w:bCs/>
                      <w:color w:val="auto"/>
                      <w:szCs w:val="21"/>
                      <w:lang w:val="en-US" w:eastAsia="zh-CN"/>
                    </w:rPr>
                  </w:pPr>
                  <w:r>
                    <w:rPr>
                      <w:rFonts w:hint="eastAsia"/>
                      <w:bCs/>
                      <w:color w:val="auto"/>
                      <w:szCs w:val="21"/>
                      <w:lang w:val="en-US" w:eastAsia="zh-CN"/>
                    </w:rPr>
                    <w:t>臭气浓度</w:t>
                  </w:r>
                </w:p>
              </w:tc>
              <w:tc>
                <w:tcPr>
                  <w:tcW w:w="1135" w:type="pct"/>
                  <w:vAlign w:val="center"/>
                </w:tcPr>
                <w:p w14:paraId="63015640">
                  <w:pPr>
                    <w:adjustRightInd w:val="0"/>
                    <w:snapToGrid w:val="0"/>
                    <w:jc w:val="center"/>
                    <w:rPr>
                      <w:rFonts w:hint="eastAsia" w:eastAsia="宋体"/>
                      <w:bCs/>
                      <w:color w:val="auto"/>
                      <w:szCs w:val="21"/>
                      <w:lang w:val="en-US" w:eastAsia="zh-CN"/>
                    </w:rPr>
                  </w:pPr>
                  <w:r>
                    <w:rPr>
                      <w:bCs/>
                      <w:color w:val="auto"/>
                      <w:szCs w:val="21"/>
                    </w:rPr>
                    <w:t>1次/</w:t>
                  </w:r>
                  <w:r>
                    <w:rPr>
                      <w:rFonts w:hint="eastAsia"/>
                      <w:bCs/>
                      <w:color w:val="auto"/>
                      <w:szCs w:val="21"/>
                      <w:lang w:val="en-US" w:eastAsia="zh-CN"/>
                    </w:rPr>
                    <w:t>半年</w:t>
                  </w:r>
                  <w:r>
                    <w:rPr>
                      <w:rFonts w:hint="eastAsia"/>
                      <w:color w:val="auto"/>
                      <w:lang w:eastAsia="zh-CN"/>
                    </w:rPr>
                    <w:t>（</w:t>
                  </w:r>
                  <w:r>
                    <w:rPr>
                      <w:rFonts w:hint="eastAsia"/>
                      <w:color w:val="auto"/>
                      <w:lang w:val="en-US" w:eastAsia="zh-CN"/>
                    </w:rPr>
                    <w:t>8-12月内监测1次</w:t>
                  </w:r>
                  <w:r>
                    <w:rPr>
                      <w:rFonts w:hint="eastAsia"/>
                      <w:color w:val="auto"/>
                      <w:lang w:eastAsia="zh-CN"/>
                    </w:rPr>
                    <w:t>）</w:t>
                  </w:r>
                </w:p>
              </w:tc>
              <w:tc>
                <w:tcPr>
                  <w:tcW w:w="1711" w:type="pct"/>
                  <w:vAlign w:val="center"/>
                </w:tcPr>
                <w:p w14:paraId="4556CEDC">
                  <w:pPr>
                    <w:adjustRightInd w:val="0"/>
                    <w:snapToGrid w:val="0"/>
                    <w:jc w:val="center"/>
                    <w:rPr>
                      <w:rFonts w:hint="eastAsia" w:eastAsia="宋体"/>
                      <w:bCs/>
                      <w:color w:val="auto"/>
                      <w:szCs w:val="21"/>
                      <w:lang w:eastAsia="zh-CN"/>
                    </w:rPr>
                  </w:pPr>
                  <w:r>
                    <w:rPr>
                      <w:rFonts w:hint="eastAsia"/>
                      <w:bCs/>
                      <w:color w:val="auto"/>
                      <w:szCs w:val="21"/>
                    </w:rPr>
                    <w:t>《恶臭污染物排放标准》</w:t>
                  </w:r>
                  <w:r>
                    <w:rPr>
                      <w:rFonts w:hint="eastAsia"/>
                      <w:bCs/>
                      <w:color w:val="auto"/>
                      <w:szCs w:val="21"/>
                      <w:lang w:eastAsia="zh-CN"/>
                    </w:rPr>
                    <w:t>（</w:t>
                  </w:r>
                  <w:r>
                    <w:rPr>
                      <w:rFonts w:hint="eastAsia"/>
                      <w:bCs/>
                      <w:color w:val="auto"/>
                      <w:szCs w:val="21"/>
                    </w:rPr>
                    <w:t>GB14554-93</w:t>
                  </w:r>
                  <w:r>
                    <w:rPr>
                      <w:rFonts w:hint="eastAsia"/>
                      <w:bCs/>
                      <w:color w:val="auto"/>
                      <w:szCs w:val="21"/>
                      <w:lang w:eastAsia="zh-CN"/>
                    </w:rPr>
                    <w:t>）</w:t>
                  </w:r>
                  <w:r>
                    <w:rPr>
                      <w:bCs/>
                      <w:color w:val="auto"/>
                      <w:szCs w:val="21"/>
                    </w:rPr>
                    <w:t>表</w:t>
                  </w:r>
                  <w:r>
                    <w:rPr>
                      <w:rFonts w:hint="eastAsia"/>
                      <w:bCs/>
                      <w:color w:val="auto"/>
                      <w:szCs w:val="21"/>
                      <w:lang w:val="en-US" w:eastAsia="zh-CN"/>
                    </w:rPr>
                    <w:t>1</w:t>
                  </w:r>
                  <w:r>
                    <w:rPr>
                      <w:bCs/>
                      <w:color w:val="auto"/>
                      <w:szCs w:val="21"/>
                    </w:rPr>
                    <w:t>标准</w:t>
                  </w:r>
                  <w:r>
                    <w:rPr>
                      <w:rFonts w:hint="eastAsia"/>
                      <w:bCs/>
                      <w:color w:val="auto"/>
                      <w:szCs w:val="21"/>
                      <w:lang w:eastAsia="zh-CN"/>
                    </w:rPr>
                    <w:t>。</w:t>
                  </w:r>
                </w:p>
              </w:tc>
            </w:tr>
          </w:tbl>
          <w:p w14:paraId="7FF0629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b/>
                <w:color w:val="auto"/>
                <w:kern w:val="21"/>
                <w:sz w:val="24"/>
              </w:rPr>
            </w:pPr>
            <w:r>
              <w:rPr>
                <w:b/>
                <w:color w:val="auto"/>
                <w:kern w:val="21"/>
                <w:sz w:val="24"/>
              </w:rPr>
              <w:t>2</w:t>
            </w:r>
            <w:r>
              <w:rPr>
                <w:rFonts w:hint="eastAsia"/>
                <w:b/>
                <w:color w:val="auto"/>
                <w:kern w:val="21"/>
                <w:sz w:val="24"/>
              </w:rPr>
              <w:t>.</w:t>
            </w:r>
            <w:r>
              <w:rPr>
                <w:b/>
                <w:color w:val="auto"/>
                <w:kern w:val="21"/>
                <w:sz w:val="24"/>
              </w:rPr>
              <w:t>废水</w:t>
            </w:r>
          </w:p>
          <w:p w14:paraId="44027506">
            <w:pPr>
              <w:adjustRightInd w:val="0"/>
              <w:snapToGrid w:val="0"/>
              <w:spacing w:line="360" w:lineRule="auto"/>
              <w:ind w:firstLine="482" w:firstLineChars="200"/>
              <w:rPr>
                <w:b/>
                <w:color w:val="auto"/>
                <w:kern w:val="21"/>
                <w:sz w:val="24"/>
              </w:rPr>
            </w:pPr>
            <w:r>
              <w:rPr>
                <w:b/>
                <w:color w:val="auto"/>
                <w:kern w:val="21"/>
                <w:sz w:val="24"/>
              </w:rPr>
              <w:t>2.1废水产生及排放情况</w:t>
            </w:r>
          </w:p>
          <w:p w14:paraId="2554DFF1">
            <w:pPr>
              <w:spacing w:line="360" w:lineRule="auto"/>
              <w:ind w:firstLine="420"/>
              <w:rPr>
                <w:bCs/>
                <w:color w:val="auto"/>
                <w:sz w:val="24"/>
              </w:rPr>
            </w:pPr>
            <w:r>
              <w:rPr>
                <w:rFonts w:hint="eastAsia"/>
                <w:bCs/>
                <w:color w:val="auto"/>
                <w:sz w:val="24"/>
                <w:lang w:val="en-US" w:eastAsia="zh-CN"/>
              </w:rPr>
              <w:t>本项目产生的废水主要为生活污水和生产废水。</w:t>
            </w:r>
          </w:p>
          <w:p w14:paraId="30135466">
            <w:pPr>
              <w:spacing w:line="360" w:lineRule="auto"/>
              <w:ind w:firstLine="420"/>
              <w:rPr>
                <w:bCs/>
                <w:color w:val="auto"/>
                <w:sz w:val="24"/>
              </w:rPr>
            </w:pPr>
            <w:r>
              <w:rPr>
                <w:rFonts w:hint="eastAsia"/>
                <w:bCs/>
                <w:color w:val="auto"/>
                <w:sz w:val="24"/>
                <w:lang w:eastAsia="zh-CN"/>
              </w:rPr>
              <w:t>（</w:t>
            </w:r>
            <w:r>
              <w:rPr>
                <w:rFonts w:hint="eastAsia"/>
                <w:bCs/>
                <w:color w:val="auto"/>
                <w:sz w:val="24"/>
                <w:lang w:val="en-US" w:eastAsia="zh-CN"/>
              </w:rPr>
              <w:t>1</w:t>
            </w:r>
            <w:r>
              <w:rPr>
                <w:rFonts w:hint="eastAsia"/>
                <w:bCs/>
                <w:color w:val="auto"/>
                <w:sz w:val="24"/>
                <w:lang w:eastAsia="zh-CN"/>
              </w:rPr>
              <w:t>）</w:t>
            </w:r>
            <w:r>
              <w:rPr>
                <w:bCs/>
                <w:color w:val="auto"/>
                <w:sz w:val="24"/>
              </w:rPr>
              <w:t>生活污水</w:t>
            </w:r>
          </w:p>
          <w:p w14:paraId="1AB9841A">
            <w:pPr>
              <w:spacing w:line="360" w:lineRule="auto"/>
              <w:ind w:firstLine="420"/>
              <w:rPr>
                <w:rFonts w:hint="eastAsia"/>
                <w:bCs/>
                <w:color w:val="auto"/>
                <w:sz w:val="24"/>
                <w:lang w:val="en-US" w:eastAsia="zh-CN"/>
              </w:rPr>
            </w:pPr>
            <w:r>
              <w:rPr>
                <w:rFonts w:hint="eastAsia"/>
                <w:bCs/>
                <w:color w:val="auto"/>
                <w:sz w:val="24"/>
                <w:lang w:val="en-US" w:eastAsia="zh-CN"/>
              </w:rPr>
              <w:t>项目运营期</w:t>
            </w:r>
            <w:r>
              <w:rPr>
                <w:bCs/>
                <w:color w:val="auto"/>
                <w:sz w:val="24"/>
              </w:rPr>
              <w:t>生活污水产生量为</w:t>
            </w:r>
            <w:r>
              <w:rPr>
                <w:rFonts w:hint="eastAsia"/>
                <w:bCs/>
                <w:color w:val="auto"/>
                <w:sz w:val="24"/>
                <w:lang w:val="en-US" w:eastAsia="zh-CN"/>
              </w:rPr>
              <w:t>115.2</w:t>
            </w:r>
            <w:r>
              <w:rPr>
                <w:rFonts w:hint="eastAsia"/>
                <w:bCs/>
                <w:color w:val="auto"/>
                <w:sz w:val="24"/>
                <w:vertAlign w:val="baseline"/>
                <w:lang w:eastAsia="zh-CN"/>
              </w:rPr>
              <w:t>m</w:t>
            </w:r>
            <w:r>
              <w:rPr>
                <w:rFonts w:hint="eastAsia"/>
                <w:bCs/>
                <w:color w:val="auto"/>
                <w:sz w:val="24"/>
                <w:vertAlign w:val="superscript"/>
                <w:lang w:eastAsia="zh-CN"/>
              </w:rPr>
              <w:t>3</w:t>
            </w:r>
            <w:r>
              <w:rPr>
                <w:bCs/>
                <w:color w:val="auto"/>
                <w:sz w:val="24"/>
              </w:rPr>
              <w:t>/a。</w:t>
            </w:r>
            <w:r>
              <w:rPr>
                <w:rFonts w:hint="eastAsia"/>
                <w:bCs/>
                <w:color w:val="auto"/>
                <w:sz w:val="24"/>
              </w:rPr>
              <w:t>污染物产生浓度为</w:t>
            </w:r>
            <w:r>
              <w:rPr>
                <w:bCs/>
                <w:color w:val="auto"/>
                <w:sz w:val="24"/>
              </w:rPr>
              <w:t>COD350</w:t>
            </w:r>
            <w:r>
              <w:rPr>
                <w:rFonts w:hint="eastAsia"/>
                <w:bCs/>
                <w:color w:val="auto"/>
                <w:sz w:val="24"/>
                <w:vertAlign w:val="baseline"/>
                <w:lang w:eastAsia="zh-CN"/>
              </w:rPr>
              <w:t>m</w:t>
            </w:r>
            <w:r>
              <w:rPr>
                <w:bCs/>
                <w:color w:val="auto"/>
                <w:sz w:val="24"/>
              </w:rPr>
              <w:t>g/L</w:t>
            </w:r>
            <w:r>
              <w:rPr>
                <w:rFonts w:hint="eastAsia"/>
                <w:bCs/>
                <w:color w:val="auto"/>
                <w:sz w:val="24"/>
              </w:rPr>
              <w:t>，</w:t>
            </w:r>
            <w:r>
              <w:rPr>
                <w:bCs/>
                <w:color w:val="auto"/>
                <w:sz w:val="24"/>
              </w:rPr>
              <w:t>BOD5200</w:t>
            </w:r>
            <w:r>
              <w:rPr>
                <w:rFonts w:hint="eastAsia"/>
                <w:bCs/>
                <w:color w:val="auto"/>
                <w:sz w:val="24"/>
                <w:vertAlign w:val="baseline"/>
                <w:lang w:eastAsia="zh-CN"/>
              </w:rPr>
              <w:t>m</w:t>
            </w:r>
            <w:r>
              <w:rPr>
                <w:bCs/>
                <w:color w:val="auto"/>
                <w:sz w:val="24"/>
              </w:rPr>
              <w:t>g/L</w:t>
            </w:r>
            <w:r>
              <w:rPr>
                <w:rFonts w:hint="eastAsia"/>
                <w:bCs/>
                <w:color w:val="auto"/>
                <w:sz w:val="24"/>
              </w:rPr>
              <w:t>，</w:t>
            </w:r>
            <w:r>
              <w:rPr>
                <w:bCs/>
                <w:color w:val="auto"/>
                <w:sz w:val="24"/>
              </w:rPr>
              <w:t>SS300</w:t>
            </w:r>
            <w:r>
              <w:rPr>
                <w:rFonts w:hint="eastAsia"/>
                <w:bCs/>
                <w:color w:val="auto"/>
                <w:sz w:val="24"/>
                <w:vertAlign w:val="baseline"/>
                <w:lang w:eastAsia="zh-CN"/>
              </w:rPr>
              <w:t>m</w:t>
            </w:r>
            <w:r>
              <w:rPr>
                <w:bCs/>
                <w:color w:val="auto"/>
                <w:sz w:val="24"/>
              </w:rPr>
              <w:t>g/L</w:t>
            </w:r>
            <w:r>
              <w:rPr>
                <w:rFonts w:hint="eastAsia"/>
                <w:bCs/>
                <w:color w:val="auto"/>
                <w:sz w:val="24"/>
              </w:rPr>
              <w:t>，氨氮</w:t>
            </w:r>
            <w:r>
              <w:rPr>
                <w:bCs/>
                <w:color w:val="auto"/>
                <w:sz w:val="24"/>
              </w:rPr>
              <w:t>35</w:t>
            </w:r>
            <w:r>
              <w:rPr>
                <w:rFonts w:hint="eastAsia"/>
                <w:bCs/>
                <w:color w:val="auto"/>
                <w:sz w:val="24"/>
                <w:vertAlign w:val="baseline"/>
                <w:lang w:eastAsia="zh-CN"/>
              </w:rPr>
              <w:t>m</w:t>
            </w:r>
            <w:r>
              <w:rPr>
                <w:bCs/>
                <w:color w:val="auto"/>
                <w:sz w:val="24"/>
              </w:rPr>
              <w:t>g/</w:t>
            </w:r>
            <w:r>
              <w:rPr>
                <w:rFonts w:hint="eastAsia"/>
                <w:bCs/>
                <w:color w:val="auto"/>
                <w:sz w:val="24"/>
                <w:lang w:val="en-US" w:eastAsia="zh-CN"/>
              </w:rPr>
              <w:t>L。</w:t>
            </w:r>
          </w:p>
          <w:p w14:paraId="0E6641E6">
            <w:pPr>
              <w:spacing w:line="360" w:lineRule="auto"/>
              <w:ind w:firstLine="420"/>
              <w:rPr>
                <w:bCs/>
                <w:color w:val="auto"/>
                <w:sz w:val="24"/>
              </w:rPr>
            </w:pPr>
            <w:r>
              <w:rPr>
                <w:bCs/>
                <w:color w:val="auto"/>
                <w:sz w:val="24"/>
              </w:rPr>
              <w:t>生活污水经化粪池收集后，定期拉运至杭锦旗锡尼镇污水处理厂处理。</w:t>
            </w:r>
          </w:p>
          <w:p w14:paraId="64E302DB">
            <w:pPr>
              <w:spacing w:line="360" w:lineRule="auto"/>
              <w:ind w:firstLine="420"/>
              <w:rPr>
                <w:bCs/>
                <w:color w:val="auto"/>
                <w:sz w:val="24"/>
              </w:rPr>
            </w:pPr>
            <w:r>
              <w:rPr>
                <w:rFonts w:hint="eastAsia"/>
                <w:bCs/>
                <w:color w:val="auto"/>
                <w:sz w:val="24"/>
                <w:lang w:eastAsia="zh-CN"/>
              </w:rPr>
              <w:t>（</w:t>
            </w:r>
            <w:r>
              <w:rPr>
                <w:rFonts w:hint="eastAsia"/>
                <w:bCs/>
                <w:color w:val="auto"/>
                <w:sz w:val="24"/>
                <w:lang w:val="en-US" w:eastAsia="zh-CN"/>
              </w:rPr>
              <w:t>2</w:t>
            </w:r>
            <w:r>
              <w:rPr>
                <w:rFonts w:hint="eastAsia"/>
                <w:bCs/>
                <w:color w:val="auto"/>
                <w:sz w:val="24"/>
                <w:lang w:eastAsia="zh-CN"/>
              </w:rPr>
              <w:t>）</w:t>
            </w:r>
            <w:r>
              <w:rPr>
                <w:bCs/>
                <w:color w:val="auto"/>
                <w:sz w:val="24"/>
              </w:rPr>
              <w:t>生产废水</w:t>
            </w:r>
          </w:p>
          <w:p w14:paraId="52FE9112">
            <w:pPr>
              <w:spacing w:line="360" w:lineRule="auto"/>
              <w:ind w:firstLine="420"/>
              <w:rPr>
                <w:rFonts w:hint="default"/>
                <w:bCs/>
                <w:color w:val="auto"/>
                <w:sz w:val="24"/>
                <w:lang w:val="en-US" w:eastAsia="zh-CN"/>
              </w:rPr>
            </w:pPr>
            <w:r>
              <w:rPr>
                <w:rFonts w:hint="eastAsia"/>
                <w:bCs/>
                <w:color w:val="auto"/>
                <w:sz w:val="24"/>
                <w:lang w:val="en-US" w:eastAsia="zh-CN"/>
              </w:rPr>
              <w:t>生产废水主要为新鲜蔬菜漂烫清洗废水、设备清洗废水、地面清洗废水、酸菜清洗废水、酸菜发酵废水。</w:t>
            </w:r>
          </w:p>
          <w:p w14:paraId="440EA41F">
            <w:pPr>
              <w:spacing w:line="360" w:lineRule="auto"/>
              <w:ind w:firstLine="420"/>
              <w:rPr>
                <w:rFonts w:hint="default"/>
                <w:bCs/>
                <w:color w:val="auto"/>
                <w:sz w:val="24"/>
                <w:lang w:val="en-US" w:eastAsia="zh-CN"/>
              </w:rPr>
            </w:pPr>
            <w:r>
              <w:rPr>
                <w:rFonts w:hint="eastAsia"/>
                <w:bCs/>
                <w:color w:val="auto"/>
                <w:sz w:val="24"/>
                <w:lang w:val="en-US" w:eastAsia="zh-CN"/>
              </w:rPr>
              <w:t>①新鲜蔬菜漂烫清洗废水</w:t>
            </w:r>
          </w:p>
          <w:p w14:paraId="5742BB3C">
            <w:pPr>
              <w:spacing w:line="360" w:lineRule="auto"/>
              <w:ind w:firstLine="420"/>
              <w:rPr>
                <w:rFonts w:hint="default"/>
                <w:bCs/>
                <w:color w:val="auto"/>
                <w:sz w:val="24"/>
                <w:lang w:val="en-US" w:eastAsia="zh-CN"/>
              </w:rPr>
            </w:pPr>
            <w:r>
              <w:rPr>
                <w:rFonts w:hint="eastAsia"/>
                <w:bCs/>
                <w:color w:val="auto"/>
                <w:sz w:val="24"/>
                <w:lang w:val="en-US" w:eastAsia="zh-CN"/>
              </w:rPr>
              <w:t>新鲜蔬菜漂烫清洗废水量合计480</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eastAsia"/>
                <w:bCs/>
                <w:color w:val="auto"/>
                <w:sz w:val="24"/>
                <w:lang w:val="en-US" w:eastAsia="zh-CN"/>
              </w:rPr>
              <w:t>/a，主要含少量悬浮物，污染物产生浓度为SS100</w:t>
            </w:r>
            <w:r>
              <w:rPr>
                <w:rFonts w:hint="eastAsia"/>
                <w:bCs/>
                <w:color w:val="auto"/>
                <w:sz w:val="24"/>
                <w:vertAlign w:val="baseline"/>
                <w:lang w:val="en-US" w:eastAsia="zh-CN"/>
              </w:rPr>
              <w:t>m</w:t>
            </w:r>
            <w:r>
              <w:rPr>
                <w:rFonts w:hint="eastAsia"/>
                <w:bCs/>
                <w:color w:val="auto"/>
                <w:sz w:val="24"/>
                <w:lang w:val="en-US" w:eastAsia="zh-CN"/>
              </w:rPr>
              <w:t>g/L，且仅在6-8月份产生，经1#废水储罐收集冷却后，拉运至周边农田，用于农田灌溉。</w:t>
            </w:r>
          </w:p>
          <w:p w14:paraId="2869BDD4">
            <w:pPr>
              <w:spacing w:line="360" w:lineRule="auto"/>
              <w:ind w:firstLine="420"/>
              <w:rPr>
                <w:rFonts w:hint="eastAsia"/>
                <w:bCs/>
                <w:color w:val="auto"/>
                <w:sz w:val="24"/>
                <w:lang w:val="en-US" w:eastAsia="zh-CN"/>
              </w:rPr>
            </w:pPr>
            <w:r>
              <w:rPr>
                <w:rFonts w:hint="eastAsia"/>
                <w:bCs/>
                <w:color w:val="auto"/>
                <w:sz w:val="24"/>
                <w:lang w:val="en-US" w:eastAsia="zh-CN"/>
              </w:rPr>
              <w:t>②设备清洗废水、地面清洗废水、酸菜清洗废水</w:t>
            </w:r>
          </w:p>
          <w:p w14:paraId="75D83CAF">
            <w:pPr>
              <w:spacing w:line="360" w:lineRule="auto"/>
              <w:ind w:firstLine="420"/>
              <w:rPr>
                <w:rFonts w:hint="eastAsia"/>
                <w:bCs/>
                <w:color w:val="auto"/>
                <w:sz w:val="24"/>
                <w:lang w:val="en-US" w:eastAsia="zh-CN"/>
              </w:rPr>
            </w:pPr>
            <w:r>
              <w:rPr>
                <w:rFonts w:hint="eastAsia"/>
                <w:bCs/>
                <w:color w:val="auto"/>
                <w:sz w:val="24"/>
                <w:lang w:val="en-US" w:eastAsia="zh-CN"/>
              </w:rPr>
              <w:t>设备清洗废水</w:t>
            </w:r>
            <w:r>
              <w:rPr>
                <w:rFonts w:hint="eastAsia"/>
                <w:bCs/>
                <w:color w:val="auto"/>
                <w:sz w:val="24"/>
                <w:lang w:eastAsia="zh-CN"/>
              </w:rPr>
              <w:t>、</w:t>
            </w:r>
            <w:r>
              <w:rPr>
                <w:rFonts w:hint="eastAsia"/>
                <w:bCs/>
                <w:color w:val="auto"/>
                <w:sz w:val="24"/>
                <w:lang w:val="en-US" w:eastAsia="zh-CN"/>
              </w:rPr>
              <w:t>地面清洗废水</w:t>
            </w:r>
            <w:r>
              <w:rPr>
                <w:rFonts w:hint="eastAsia"/>
                <w:bCs/>
                <w:color w:val="auto"/>
                <w:sz w:val="24"/>
                <w:lang w:eastAsia="zh-CN"/>
              </w:rPr>
              <w:t>、</w:t>
            </w:r>
            <w:r>
              <w:rPr>
                <w:rFonts w:hint="eastAsia"/>
                <w:bCs/>
                <w:color w:val="auto"/>
                <w:sz w:val="24"/>
                <w:lang w:val="en-US" w:eastAsia="zh-CN"/>
              </w:rPr>
              <w:t>酸菜</w:t>
            </w:r>
            <w:r>
              <w:rPr>
                <w:bCs/>
                <w:color w:val="auto"/>
                <w:sz w:val="24"/>
              </w:rPr>
              <w:t>清洗废水</w:t>
            </w:r>
            <w:r>
              <w:rPr>
                <w:rFonts w:hint="eastAsia"/>
                <w:bCs/>
                <w:color w:val="auto"/>
                <w:sz w:val="24"/>
                <w:lang w:val="en-US" w:eastAsia="zh-CN"/>
              </w:rPr>
              <w:t>合计废水量为539.8</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default"/>
                <w:bCs/>
                <w:color w:val="auto"/>
                <w:sz w:val="24"/>
                <w:lang w:val="en-US" w:eastAsia="zh-CN"/>
              </w:rPr>
              <w:t>/a</w:t>
            </w:r>
            <w:r>
              <w:rPr>
                <w:rFonts w:hint="eastAsia"/>
                <w:bCs/>
                <w:color w:val="auto"/>
                <w:sz w:val="24"/>
                <w:lang w:val="en-US" w:eastAsia="zh-CN"/>
              </w:rPr>
              <w:t>，该部分废水收集至2#废水储罐，经废水储罐</w:t>
            </w:r>
            <w:r>
              <w:rPr>
                <w:rFonts w:hint="eastAsia"/>
                <w:bCs/>
                <w:color w:val="000000" w:themeColor="text1"/>
                <w:sz w:val="24"/>
                <w:lang w:val="en-US" w:eastAsia="zh-CN"/>
                <w14:textFill>
                  <w14:solidFill>
                    <w14:schemeClr w14:val="tx1"/>
                  </w14:solidFill>
                </w14:textFill>
              </w:rPr>
              <w:t>收集</w:t>
            </w:r>
            <w:r>
              <w:rPr>
                <w:rFonts w:hint="eastAsia"/>
                <w:bCs/>
                <w:color w:val="auto"/>
                <w:sz w:val="24"/>
                <w:lang w:val="en-US" w:eastAsia="zh-CN"/>
              </w:rPr>
              <w:t>后，定期拉运至杭锦旗锡尼镇污水处理厂进行处理，不外排。</w:t>
            </w:r>
          </w:p>
          <w:p w14:paraId="099965D1">
            <w:pPr>
              <w:adjustRightInd w:val="0"/>
              <w:snapToGrid w:val="0"/>
              <w:spacing w:line="360" w:lineRule="auto"/>
              <w:ind w:firstLine="480" w:firstLineChars="200"/>
              <w:jc w:val="left"/>
              <w:rPr>
                <w:rFonts w:hint="eastAsia"/>
                <w:bCs/>
                <w:color w:val="auto"/>
                <w:kern w:val="0"/>
                <w:sz w:val="24"/>
                <w:lang w:val="en-US" w:eastAsia="zh-CN"/>
              </w:rPr>
            </w:pPr>
            <w:r>
              <w:rPr>
                <w:rFonts w:hint="eastAsia" w:ascii="Times New Roman" w:eastAsia="宋体"/>
                <w:bCs/>
                <w:color w:val="auto"/>
                <w:kern w:val="0"/>
                <w:sz w:val="24"/>
                <w:lang w:val="en-US" w:eastAsia="zh-CN"/>
              </w:rPr>
              <w:t>本项目酸菜清洗废水的废水储罐出水口水质情况如下。</w:t>
            </w:r>
          </w:p>
          <w:p w14:paraId="5D768704">
            <w:pPr>
              <w:widowControl w:val="0"/>
              <w:ind w:left="0" w:leftChars="0" w:right="-506" w:rightChars="-241" w:firstLine="0" w:firstLineChars="0"/>
              <w:jc w:val="center"/>
              <w:rPr>
                <w:rFonts w:hint="default" w:ascii="Times New Roman" w:hAnsi="Times New Roman" w:eastAsia="宋体" w:cs="Times New Roman"/>
                <w:b/>
                <w:bCs/>
                <w:color w:val="auto"/>
                <w:kern w:val="2"/>
                <w:sz w:val="24"/>
                <w:szCs w:val="21"/>
                <w:lang w:val="en-US" w:eastAsia="zh-CN" w:bidi="ar-SA"/>
              </w:rPr>
            </w:pPr>
            <w:r>
              <w:rPr>
                <w:rFonts w:hint="eastAsia" w:ascii="Times New Roman" w:hAnsi="Times New Roman" w:eastAsia="宋体" w:cs="Times New Roman"/>
                <w:b/>
                <w:bCs/>
                <w:color w:val="auto"/>
                <w:kern w:val="2"/>
                <w:sz w:val="24"/>
                <w:szCs w:val="21"/>
                <w:lang w:val="en-US" w:eastAsia="zh-CN" w:bidi="ar-SA"/>
              </w:rPr>
              <w:t>表4-</w:t>
            </w:r>
            <w:r>
              <w:rPr>
                <w:rFonts w:hint="eastAsia" w:cs="Times New Roman"/>
                <w:b/>
                <w:bCs/>
                <w:color w:val="auto"/>
                <w:kern w:val="2"/>
                <w:sz w:val="24"/>
                <w:szCs w:val="21"/>
                <w:lang w:val="en-US" w:eastAsia="zh-CN" w:bidi="ar-SA"/>
              </w:rPr>
              <w:t>2</w:t>
            </w:r>
            <w:r>
              <w:rPr>
                <w:rFonts w:hint="eastAsia" w:ascii="Times New Roman" w:hAnsi="Times New Roman" w:eastAsia="宋体" w:cs="Times New Roman"/>
                <w:b/>
                <w:bCs/>
                <w:color w:val="auto"/>
                <w:kern w:val="2"/>
                <w:sz w:val="24"/>
                <w:szCs w:val="21"/>
                <w:lang w:val="en-US" w:eastAsia="zh-CN" w:bidi="ar-SA"/>
              </w:rPr>
              <w:t xml:space="preserve"> 酸菜清洗废水</w:t>
            </w:r>
            <w:r>
              <w:rPr>
                <w:rFonts w:hint="eastAsia" w:cs="Times New Roman"/>
                <w:b/>
                <w:bCs/>
                <w:color w:val="auto"/>
                <w:kern w:val="2"/>
                <w:sz w:val="24"/>
                <w:szCs w:val="21"/>
                <w:lang w:val="en-US" w:eastAsia="zh-CN" w:bidi="ar-SA"/>
              </w:rPr>
              <w:t>的废水储罐</w:t>
            </w:r>
            <w:r>
              <w:rPr>
                <w:rFonts w:hint="eastAsia" w:ascii="Times New Roman" w:hAnsi="Times New Roman" w:eastAsia="宋体" w:cs="Times New Roman"/>
                <w:b/>
                <w:bCs/>
                <w:color w:val="auto"/>
                <w:kern w:val="2"/>
                <w:sz w:val="24"/>
                <w:szCs w:val="21"/>
                <w:lang w:val="en-US" w:eastAsia="zh-CN" w:bidi="ar-SA"/>
              </w:rPr>
              <w:t>出水口水质情况</w:t>
            </w:r>
          </w:p>
          <w:tbl>
            <w:tblPr>
              <w:tblStyle w:val="18"/>
              <w:tblW w:w="8220" w:type="dxa"/>
              <w:tblInd w:w="-4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6"/>
              <w:gridCol w:w="2119"/>
              <w:gridCol w:w="2010"/>
              <w:gridCol w:w="1794"/>
              <w:gridCol w:w="1721"/>
            </w:tblGrid>
            <w:tr w14:paraId="222DF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vMerge w:val="restart"/>
                  <w:tcBorders>
                    <w:tl2br w:val="nil"/>
                    <w:tr2bl w:val="nil"/>
                  </w:tcBorders>
                  <w:vAlign w:val="center"/>
                </w:tcPr>
                <w:p w14:paraId="5BAC91B4">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imes New Roman" w:hAnsi="Times New Roman" w:eastAsia="宋体"/>
                      <w:color w:val="auto"/>
                      <w:position w:val="-10"/>
                      <w:szCs w:val="21"/>
                      <w:highlight w:val="none"/>
                      <w:lang w:val="en-US" w:eastAsia="zh-CN"/>
                    </w:rPr>
                  </w:pPr>
                  <w:r>
                    <w:rPr>
                      <w:rFonts w:hint="eastAsia" w:ascii="Times New Roman" w:hAnsi="Times New Roman" w:eastAsia="宋体" w:cs="Times New Roman"/>
                      <w:color w:val="auto"/>
                      <w:position w:val="-10"/>
                      <w:szCs w:val="21"/>
                      <w:highlight w:val="none"/>
                      <w:lang w:val="en-US" w:eastAsia="zh-CN"/>
                    </w:rPr>
                    <w:t>序号</w:t>
                  </w:r>
                </w:p>
              </w:tc>
              <w:tc>
                <w:tcPr>
                  <w:tcW w:w="2119" w:type="dxa"/>
                  <w:vMerge w:val="restart"/>
                  <w:tcBorders>
                    <w:tl2br w:val="nil"/>
                    <w:tr2bl w:val="nil"/>
                  </w:tcBorders>
                  <w:vAlign w:val="center"/>
                </w:tcPr>
                <w:p w14:paraId="343CE019">
                  <w:pPr>
                    <w:widowControl/>
                    <w:spacing w:line="240" w:lineRule="auto"/>
                    <w:jc w:val="center"/>
                    <w:textAlignment w:val="center"/>
                    <w:rPr>
                      <w:rFonts w:hint="eastAsia" w:ascii="Times New Roman" w:hAnsi="Times New Roman" w:eastAsia="宋体"/>
                      <w:color w:val="auto"/>
                      <w:position w:val="-10"/>
                      <w:szCs w:val="21"/>
                      <w:highlight w:val="none"/>
                      <w:lang w:val="en-US" w:eastAsia="zh-CN"/>
                    </w:rPr>
                  </w:pPr>
                  <w:r>
                    <w:rPr>
                      <w:rFonts w:hint="eastAsia" w:ascii="Times New Roman" w:hAnsi="Times New Roman" w:eastAsia="宋体"/>
                      <w:color w:val="auto"/>
                      <w:position w:val="-10"/>
                      <w:szCs w:val="21"/>
                      <w:highlight w:val="none"/>
                      <w:lang w:val="en-US" w:eastAsia="zh-CN"/>
                    </w:rPr>
                    <w:t>检测项目</w:t>
                  </w:r>
                </w:p>
              </w:tc>
              <w:tc>
                <w:tcPr>
                  <w:tcW w:w="2010" w:type="dxa"/>
                  <w:tcBorders>
                    <w:tl2br w:val="nil"/>
                    <w:tr2bl w:val="nil"/>
                  </w:tcBorders>
                  <w:vAlign w:val="center"/>
                </w:tcPr>
                <w:p w14:paraId="2B831E14">
                  <w:pPr>
                    <w:widowControl/>
                    <w:spacing w:line="240" w:lineRule="auto"/>
                    <w:jc w:val="center"/>
                    <w:textAlignment w:val="center"/>
                    <w:rPr>
                      <w:rFonts w:hint="eastAsia" w:ascii="Times New Roman" w:hAnsi="Times New Roman" w:eastAsia="宋体"/>
                      <w:color w:val="auto"/>
                      <w:position w:val="-10"/>
                      <w:szCs w:val="21"/>
                      <w:highlight w:val="none"/>
                      <w:lang w:val="en-US" w:eastAsia="zh-CN"/>
                    </w:rPr>
                  </w:pPr>
                  <w:r>
                    <w:rPr>
                      <w:rFonts w:hint="eastAsia" w:ascii="Times New Roman" w:hAnsi="Times New Roman" w:eastAsia="宋体"/>
                      <w:color w:val="auto"/>
                      <w:position w:val="-10"/>
                      <w:szCs w:val="21"/>
                      <w:highlight w:val="none"/>
                      <w:lang w:val="en-US" w:eastAsia="zh-CN"/>
                    </w:rPr>
                    <w:t>分析结果</w:t>
                  </w:r>
                </w:p>
              </w:tc>
              <w:tc>
                <w:tcPr>
                  <w:tcW w:w="1794" w:type="dxa"/>
                  <w:vMerge w:val="restart"/>
                  <w:tcBorders>
                    <w:tl2br w:val="nil"/>
                    <w:tr2bl w:val="nil"/>
                  </w:tcBorders>
                  <w:vAlign w:val="center"/>
                </w:tcPr>
                <w:p w14:paraId="121D2F06">
                  <w:pPr>
                    <w:widowControl/>
                    <w:spacing w:line="240" w:lineRule="auto"/>
                    <w:jc w:val="center"/>
                    <w:textAlignment w:val="center"/>
                    <w:rPr>
                      <w:rFonts w:hint="eastAsia" w:ascii="Times New Roman" w:hAnsi="Times New Roman" w:eastAsia="宋体"/>
                      <w:color w:val="auto"/>
                      <w:position w:val="-10"/>
                      <w:szCs w:val="21"/>
                      <w:highlight w:val="none"/>
                      <w:lang w:val="en-US" w:eastAsia="zh-CN"/>
                    </w:rPr>
                  </w:pPr>
                  <w:r>
                    <w:rPr>
                      <w:rFonts w:hint="eastAsia" w:ascii="Times New Roman" w:hAnsi="Times New Roman" w:eastAsia="宋体"/>
                      <w:color w:val="auto"/>
                      <w:position w:val="-10"/>
                      <w:szCs w:val="21"/>
                      <w:highlight w:val="none"/>
                      <w:lang w:val="en-US" w:eastAsia="zh-CN"/>
                    </w:rPr>
                    <w:t>限值</w:t>
                  </w:r>
                </w:p>
              </w:tc>
              <w:tc>
                <w:tcPr>
                  <w:tcW w:w="1721" w:type="dxa"/>
                  <w:vMerge w:val="restart"/>
                  <w:tcBorders>
                    <w:tl2br w:val="nil"/>
                    <w:tr2bl w:val="nil"/>
                  </w:tcBorders>
                  <w:vAlign w:val="center"/>
                </w:tcPr>
                <w:p w14:paraId="2994DCEF">
                  <w:pPr>
                    <w:widowControl/>
                    <w:spacing w:line="240" w:lineRule="auto"/>
                    <w:jc w:val="center"/>
                    <w:textAlignment w:val="center"/>
                    <w:rPr>
                      <w:rFonts w:hint="eastAsia" w:ascii="Times New Roman" w:hAnsi="Times New Roman" w:eastAsia="宋体"/>
                      <w:color w:val="auto"/>
                      <w:position w:val="-10"/>
                      <w:szCs w:val="21"/>
                      <w:highlight w:val="none"/>
                      <w:lang w:val="en-US" w:eastAsia="zh-CN"/>
                    </w:rPr>
                  </w:pPr>
                  <w:r>
                    <w:rPr>
                      <w:rFonts w:hint="eastAsia" w:ascii="Times New Roman" w:hAnsi="Times New Roman" w:eastAsia="宋体"/>
                      <w:color w:val="auto"/>
                      <w:position w:val="-10"/>
                      <w:szCs w:val="21"/>
                      <w:highlight w:val="none"/>
                      <w:lang w:val="en-US" w:eastAsia="zh-CN"/>
                    </w:rPr>
                    <w:t>单位</w:t>
                  </w:r>
                </w:p>
              </w:tc>
            </w:tr>
            <w:tr w14:paraId="4C828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vMerge w:val="continue"/>
                  <w:tcBorders>
                    <w:tl2br w:val="nil"/>
                    <w:tr2bl w:val="nil"/>
                  </w:tcBorders>
                  <w:vAlign w:val="center"/>
                </w:tcPr>
                <w:p w14:paraId="60169C6B">
                  <w:pPr>
                    <w:widowControl/>
                    <w:spacing w:line="240" w:lineRule="auto"/>
                    <w:jc w:val="center"/>
                    <w:textAlignment w:val="center"/>
                    <w:rPr>
                      <w:rFonts w:eastAsia="宋体"/>
                      <w:color w:val="auto"/>
                    </w:rPr>
                  </w:pPr>
                </w:p>
              </w:tc>
              <w:tc>
                <w:tcPr>
                  <w:tcW w:w="2119" w:type="dxa"/>
                  <w:vMerge w:val="continue"/>
                  <w:tcBorders>
                    <w:tl2br w:val="nil"/>
                    <w:tr2bl w:val="nil"/>
                  </w:tcBorders>
                  <w:vAlign w:val="center"/>
                </w:tcPr>
                <w:p w14:paraId="3F6C9DC1">
                  <w:pPr>
                    <w:widowControl/>
                    <w:spacing w:line="240" w:lineRule="auto"/>
                    <w:jc w:val="center"/>
                    <w:textAlignment w:val="center"/>
                    <w:rPr>
                      <w:rFonts w:eastAsia="宋体"/>
                      <w:color w:val="auto"/>
                    </w:rPr>
                  </w:pPr>
                </w:p>
              </w:tc>
              <w:tc>
                <w:tcPr>
                  <w:tcW w:w="2010" w:type="dxa"/>
                  <w:tcBorders>
                    <w:tl2br w:val="nil"/>
                    <w:tr2bl w:val="nil"/>
                  </w:tcBorders>
                  <w:vAlign w:val="center"/>
                </w:tcPr>
                <w:p w14:paraId="70642725">
                  <w:pPr>
                    <w:widowControl/>
                    <w:spacing w:line="240" w:lineRule="auto"/>
                    <w:jc w:val="center"/>
                    <w:textAlignment w:val="center"/>
                    <w:rPr>
                      <w:rFonts w:hint="eastAsia" w:ascii="Times New Roman" w:hAnsi="Times New Roman" w:eastAsia="宋体"/>
                      <w:color w:val="auto"/>
                      <w:position w:val="-10"/>
                      <w:szCs w:val="21"/>
                      <w:highlight w:val="none"/>
                      <w:lang w:val="en-US" w:eastAsia="zh-CN"/>
                    </w:rPr>
                  </w:pPr>
                  <w:r>
                    <w:rPr>
                      <w:rFonts w:hint="default" w:ascii="Times New Roman" w:hAnsi="Times New Roman" w:eastAsia="宋体" w:cs="Times New Roman"/>
                      <w:b w:val="0"/>
                      <w:bCs w:val="0"/>
                      <w:color w:val="auto"/>
                      <w:sz w:val="21"/>
                      <w:szCs w:val="21"/>
                      <w:lang w:val="en-US" w:eastAsia="zh-CN"/>
                    </w:rPr>
                    <w:t>水罐出水口</w:t>
                  </w:r>
                </w:p>
              </w:tc>
              <w:tc>
                <w:tcPr>
                  <w:tcW w:w="1794" w:type="dxa"/>
                  <w:vMerge w:val="continue"/>
                  <w:tcBorders>
                    <w:tl2br w:val="nil"/>
                    <w:tr2bl w:val="nil"/>
                  </w:tcBorders>
                  <w:vAlign w:val="center"/>
                </w:tcPr>
                <w:p w14:paraId="4836D504">
                  <w:pPr>
                    <w:widowControl/>
                    <w:spacing w:line="240" w:lineRule="auto"/>
                    <w:jc w:val="center"/>
                    <w:textAlignment w:val="center"/>
                    <w:rPr>
                      <w:rFonts w:hint="eastAsia" w:ascii="Times New Roman" w:hAnsi="Times New Roman" w:eastAsia="宋体"/>
                      <w:color w:val="auto"/>
                      <w:position w:val="-10"/>
                      <w:szCs w:val="21"/>
                      <w:highlight w:val="none"/>
                      <w:lang w:val="en-US" w:eastAsia="zh-CN"/>
                    </w:rPr>
                  </w:pPr>
                </w:p>
              </w:tc>
              <w:tc>
                <w:tcPr>
                  <w:tcW w:w="1721" w:type="dxa"/>
                  <w:vMerge w:val="continue"/>
                  <w:tcBorders>
                    <w:tl2br w:val="nil"/>
                    <w:tr2bl w:val="nil"/>
                  </w:tcBorders>
                  <w:vAlign w:val="center"/>
                </w:tcPr>
                <w:p w14:paraId="720365D6">
                  <w:pPr>
                    <w:widowControl/>
                    <w:spacing w:line="240" w:lineRule="auto"/>
                    <w:jc w:val="center"/>
                    <w:textAlignment w:val="center"/>
                    <w:rPr>
                      <w:rFonts w:hint="eastAsia" w:ascii="Times New Roman" w:hAnsi="Times New Roman" w:eastAsia="宋体"/>
                      <w:color w:val="auto"/>
                      <w:position w:val="-10"/>
                      <w:szCs w:val="21"/>
                      <w:highlight w:val="none"/>
                      <w:lang w:val="en-US" w:eastAsia="zh-CN"/>
                    </w:rPr>
                  </w:pPr>
                </w:p>
              </w:tc>
            </w:tr>
            <w:tr w14:paraId="6CDDBC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0336CE49">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szCs w:val="21"/>
                      <w:highlight w:val="none"/>
                      <w:lang w:val="en-US" w:eastAsia="zh-CN"/>
                    </w:rPr>
                    <w:t>1</w:t>
                  </w:r>
                </w:p>
              </w:tc>
              <w:tc>
                <w:tcPr>
                  <w:tcW w:w="2119" w:type="dxa"/>
                  <w:tcBorders>
                    <w:tl2br w:val="nil"/>
                    <w:tr2bl w:val="nil"/>
                  </w:tcBorders>
                  <w:vAlign w:val="center"/>
                </w:tcPr>
                <w:p w14:paraId="49EDEB92">
                  <w:pPr>
                    <w:widowControl/>
                    <w:adjustRightInd w:val="0"/>
                    <w:snapToGrid w:val="0"/>
                    <w:spacing w:before="0" w:beforeAutospacing="0" w:after="0" w:afterAutospacing="0"/>
                    <w:jc w:val="center"/>
                    <w:rPr>
                      <w:rFonts w:hint="default" w:ascii="Times New Roman" w:hAnsi="Times New Roman" w:eastAsia="宋体" w:cs="Times New Roman"/>
                      <w:snapToGrid w:val="0"/>
                      <w:color w:val="auto"/>
                      <w:kern w:val="0"/>
                      <w:sz w:val="21"/>
                      <w:szCs w:val="21"/>
                      <w:highlight w:val="none"/>
                      <w:lang w:val="en-US" w:eastAsia="zh-CN" w:bidi="ar-SA"/>
                    </w:rPr>
                  </w:pPr>
                  <w:r>
                    <w:rPr>
                      <w:rFonts w:ascii="Times New Roman" w:hAnsi="Times New Roman" w:eastAsia="宋体" w:cs="Times New Roman"/>
                      <w:color w:val="auto"/>
                      <w:kern w:val="0"/>
                      <w:sz w:val="21"/>
                      <w:szCs w:val="21"/>
                      <w:lang w:val="en-US" w:eastAsia="zh-CN" w:bidi="ar-SA"/>
                    </w:rPr>
                    <w:t>pH</w:t>
                  </w:r>
                </w:p>
              </w:tc>
              <w:tc>
                <w:tcPr>
                  <w:tcW w:w="2010" w:type="dxa"/>
                  <w:tcBorders>
                    <w:tl2br w:val="nil"/>
                    <w:tr2bl w:val="nil"/>
                  </w:tcBorders>
                  <w:vAlign w:val="center"/>
                </w:tcPr>
                <w:p w14:paraId="78968FC5">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7.4</w:t>
                  </w:r>
                </w:p>
              </w:tc>
              <w:tc>
                <w:tcPr>
                  <w:tcW w:w="1794" w:type="dxa"/>
                  <w:tcBorders>
                    <w:tl2br w:val="nil"/>
                    <w:tr2bl w:val="nil"/>
                  </w:tcBorders>
                  <w:vAlign w:val="center"/>
                </w:tcPr>
                <w:p w14:paraId="2938B2F3">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6-9</w:t>
                  </w:r>
                </w:p>
              </w:tc>
              <w:tc>
                <w:tcPr>
                  <w:tcW w:w="1721" w:type="dxa"/>
                  <w:tcBorders>
                    <w:tl2br w:val="nil"/>
                    <w:tr2bl w:val="nil"/>
                  </w:tcBorders>
                  <w:vAlign w:val="center"/>
                </w:tcPr>
                <w:p w14:paraId="1A038A09">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无量纲</w:t>
                  </w:r>
                </w:p>
              </w:tc>
            </w:tr>
            <w:tr w14:paraId="18B359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0E1DFCF6">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2</w:t>
                  </w:r>
                </w:p>
              </w:tc>
              <w:tc>
                <w:tcPr>
                  <w:tcW w:w="2119" w:type="dxa"/>
                  <w:tcBorders>
                    <w:tl2br w:val="nil"/>
                    <w:tr2bl w:val="nil"/>
                  </w:tcBorders>
                  <w:vAlign w:val="center"/>
                </w:tcPr>
                <w:p w14:paraId="19983D40">
                  <w:pPr>
                    <w:widowControl/>
                    <w:adjustRightInd w:val="0"/>
                    <w:snapToGrid w:val="0"/>
                    <w:spacing w:before="100" w:beforeAutospacing="1" w:after="100" w:afterAutospacing="1" w:line="240" w:lineRule="auto"/>
                    <w:jc w:val="center"/>
                    <w:rPr>
                      <w:rFonts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色度</w:t>
                  </w:r>
                </w:p>
              </w:tc>
              <w:tc>
                <w:tcPr>
                  <w:tcW w:w="2010" w:type="dxa"/>
                  <w:tcBorders>
                    <w:tl2br w:val="nil"/>
                    <w:tr2bl w:val="nil"/>
                  </w:tcBorders>
                  <w:vAlign w:val="center"/>
                </w:tcPr>
                <w:p w14:paraId="3AC7F74E">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5</w:t>
                  </w:r>
                </w:p>
              </w:tc>
              <w:tc>
                <w:tcPr>
                  <w:tcW w:w="1794" w:type="dxa"/>
                  <w:tcBorders>
                    <w:tl2br w:val="nil"/>
                    <w:tr2bl w:val="nil"/>
                  </w:tcBorders>
                  <w:vAlign w:val="center"/>
                </w:tcPr>
                <w:p w14:paraId="3D6F659A">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lang w:val="en-US" w:eastAsia="zh-CN" w:bidi="ar-SA"/>
                    </w:rPr>
                    <w:t>-</w:t>
                  </w:r>
                </w:p>
              </w:tc>
              <w:tc>
                <w:tcPr>
                  <w:tcW w:w="1721" w:type="dxa"/>
                  <w:tcBorders>
                    <w:tl2br w:val="nil"/>
                    <w:tr2bl w:val="nil"/>
                  </w:tcBorders>
                  <w:vAlign w:val="center"/>
                </w:tcPr>
                <w:p w14:paraId="7C910FA5">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倍</w:t>
                  </w:r>
                </w:p>
              </w:tc>
            </w:tr>
            <w:tr w14:paraId="00577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1989455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3</w:t>
                  </w:r>
                </w:p>
              </w:tc>
              <w:tc>
                <w:tcPr>
                  <w:tcW w:w="2119" w:type="dxa"/>
                  <w:tcBorders>
                    <w:tl2br w:val="nil"/>
                    <w:tr2bl w:val="nil"/>
                  </w:tcBorders>
                  <w:vAlign w:val="center"/>
                </w:tcPr>
                <w:p w14:paraId="25304998">
                  <w:pPr>
                    <w:adjustRightInd w:val="0"/>
                    <w:snapToGrid w:val="0"/>
                    <w:spacing w:line="280" w:lineRule="exact"/>
                    <w:jc w:val="center"/>
                    <w:rPr>
                      <w:rFonts w:ascii="Times New Roman" w:hAnsi="Times New Roman" w:eastAsia="宋体" w:cs="Times New Roman"/>
                      <w:color w:val="auto"/>
                      <w:sz w:val="21"/>
                      <w:szCs w:val="21"/>
                    </w:rPr>
                  </w:pPr>
                  <w:r>
                    <w:rPr>
                      <w:rFonts w:ascii="Times New Roman" w:hAnsi="Times New Roman" w:eastAsia="宋体" w:cs="Times New Roman"/>
                      <w:snapToGrid w:val="0"/>
                      <w:color w:val="auto"/>
                      <w:sz w:val="21"/>
                    </w:rPr>
                    <w:t>悬浮物</w:t>
                  </w:r>
                </w:p>
              </w:tc>
              <w:tc>
                <w:tcPr>
                  <w:tcW w:w="2010" w:type="dxa"/>
                  <w:tcBorders>
                    <w:tl2br w:val="nil"/>
                    <w:tr2bl w:val="nil"/>
                  </w:tcBorders>
                  <w:vAlign w:val="center"/>
                </w:tcPr>
                <w:p w14:paraId="1E1AD0D8">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55</w:t>
                  </w:r>
                </w:p>
              </w:tc>
              <w:tc>
                <w:tcPr>
                  <w:tcW w:w="1794" w:type="dxa"/>
                  <w:tcBorders>
                    <w:tl2br w:val="nil"/>
                    <w:tr2bl w:val="nil"/>
                  </w:tcBorders>
                  <w:vAlign w:val="center"/>
                </w:tcPr>
                <w:p w14:paraId="01E51B05">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400</w:t>
                  </w:r>
                </w:p>
              </w:tc>
              <w:tc>
                <w:tcPr>
                  <w:tcW w:w="1721" w:type="dxa"/>
                  <w:tcBorders>
                    <w:tl2br w:val="nil"/>
                    <w:tr2bl w:val="nil"/>
                  </w:tcBorders>
                  <w:vAlign w:val="center"/>
                </w:tcPr>
                <w:p w14:paraId="07EBB68F">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r>
            <w:tr w14:paraId="4509FE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3418281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4</w:t>
                  </w:r>
                </w:p>
              </w:tc>
              <w:tc>
                <w:tcPr>
                  <w:tcW w:w="2119" w:type="dxa"/>
                  <w:tcBorders>
                    <w:tl2br w:val="nil"/>
                    <w:tr2bl w:val="nil"/>
                  </w:tcBorders>
                  <w:vAlign w:val="center"/>
                </w:tcPr>
                <w:p w14:paraId="5DFBF0EF">
                  <w:pPr>
                    <w:adjustRightInd w:val="0"/>
                    <w:snapToGrid w:val="0"/>
                    <w:spacing w:line="280" w:lineRule="exact"/>
                    <w:jc w:val="center"/>
                    <w:rPr>
                      <w:rFonts w:ascii="Times New Roman" w:hAnsi="Times New Roman" w:eastAsia="宋体" w:cs="Times New Roman"/>
                      <w:color w:val="auto"/>
                      <w:sz w:val="21"/>
                      <w:szCs w:val="21"/>
                    </w:rPr>
                  </w:pPr>
                  <w:r>
                    <w:rPr>
                      <w:rFonts w:hint="eastAsia" w:eastAsia="宋体"/>
                      <w:color w:val="auto"/>
                      <w:highlight w:val="none"/>
                      <w:lang w:val="en-US" w:eastAsia="zh-CN"/>
                    </w:rPr>
                    <w:t>溶解性总固体</w:t>
                  </w:r>
                </w:p>
              </w:tc>
              <w:tc>
                <w:tcPr>
                  <w:tcW w:w="2010" w:type="dxa"/>
                  <w:tcBorders>
                    <w:tl2br w:val="nil"/>
                    <w:tr2bl w:val="nil"/>
                  </w:tcBorders>
                  <w:vAlign w:val="center"/>
                </w:tcPr>
                <w:p w14:paraId="4FBBE6DD">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892</w:t>
                  </w:r>
                </w:p>
              </w:tc>
              <w:tc>
                <w:tcPr>
                  <w:tcW w:w="1794" w:type="dxa"/>
                  <w:tcBorders>
                    <w:tl2br w:val="nil"/>
                    <w:tr2bl w:val="nil"/>
                  </w:tcBorders>
                  <w:vAlign w:val="center"/>
                </w:tcPr>
                <w:p w14:paraId="597642AB">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2000</w:t>
                  </w:r>
                </w:p>
              </w:tc>
              <w:tc>
                <w:tcPr>
                  <w:tcW w:w="1721" w:type="dxa"/>
                  <w:tcBorders>
                    <w:tl2br w:val="nil"/>
                    <w:tr2bl w:val="nil"/>
                  </w:tcBorders>
                  <w:vAlign w:val="center"/>
                </w:tcPr>
                <w:p w14:paraId="6B4CE393">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r>
            <w:tr w14:paraId="49125D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78C8DF9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5</w:t>
                  </w:r>
                </w:p>
              </w:tc>
              <w:tc>
                <w:tcPr>
                  <w:tcW w:w="2119" w:type="dxa"/>
                  <w:tcBorders>
                    <w:tl2br w:val="nil"/>
                    <w:tr2bl w:val="nil"/>
                  </w:tcBorders>
                  <w:vAlign w:val="center"/>
                </w:tcPr>
                <w:p w14:paraId="17DBF156">
                  <w:pPr>
                    <w:keepNext w:val="0"/>
                    <w:keepLines w:val="0"/>
                    <w:pageBreakBefore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sz w:val="21"/>
                      <w:szCs w:val="21"/>
                    </w:rPr>
                  </w:pPr>
                  <w:r>
                    <w:rPr>
                      <w:rFonts w:hint="eastAsia" w:ascii="Times New Roman" w:hAnsi="Times New Roman" w:eastAsia="宋体" w:cs="Times New Roman"/>
                      <w:snapToGrid w:val="0"/>
                      <w:color w:val="auto"/>
                      <w:kern w:val="0"/>
                      <w:szCs w:val="21"/>
                      <w:lang w:val="en-US" w:eastAsia="zh-CN"/>
                    </w:rPr>
                    <w:t>五日</w:t>
                  </w:r>
                  <w:r>
                    <w:rPr>
                      <w:rFonts w:hint="default" w:ascii="Times New Roman" w:hAnsi="Times New Roman" w:eastAsia="宋体" w:cs="Times New Roman"/>
                      <w:snapToGrid w:val="0"/>
                      <w:color w:val="auto"/>
                      <w:kern w:val="0"/>
                      <w:szCs w:val="21"/>
                    </w:rPr>
                    <w:t>生化需氧量</w:t>
                  </w:r>
                </w:p>
              </w:tc>
              <w:tc>
                <w:tcPr>
                  <w:tcW w:w="2010" w:type="dxa"/>
                  <w:tcBorders>
                    <w:tl2br w:val="nil"/>
                    <w:tr2bl w:val="nil"/>
                  </w:tcBorders>
                  <w:vAlign w:val="center"/>
                </w:tcPr>
                <w:p w14:paraId="57647202">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30.5</w:t>
                  </w:r>
                </w:p>
              </w:tc>
              <w:tc>
                <w:tcPr>
                  <w:tcW w:w="1794" w:type="dxa"/>
                  <w:tcBorders>
                    <w:tl2br w:val="nil"/>
                    <w:tr2bl w:val="nil"/>
                  </w:tcBorders>
                  <w:vAlign w:val="center"/>
                </w:tcPr>
                <w:p w14:paraId="1948955A">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350</w:t>
                  </w:r>
                </w:p>
              </w:tc>
              <w:tc>
                <w:tcPr>
                  <w:tcW w:w="1721" w:type="dxa"/>
                  <w:tcBorders>
                    <w:tl2br w:val="nil"/>
                    <w:tr2bl w:val="nil"/>
                  </w:tcBorders>
                  <w:vAlign w:val="center"/>
                </w:tcPr>
                <w:p w14:paraId="257D6E34">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r>
            <w:tr w14:paraId="61784B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4E0A70C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6</w:t>
                  </w:r>
                </w:p>
              </w:tc>
              <w:tc>
                <w:tcPr>
                  <w:tcW w:w="2119" w:type="dxa"/>
                  <w:tcBorders>
                    <w:tl2br w:val="nil"/>
                    <w:tr2bl w:val="nil"/>
                  </w:tcBorders>
                  <w:vAlign w:val="center"/>
                </w:tcPr>
                <w:p w14:paraId="27C3CDEB">
                  <w:pPr>
                    <w:widowControl/>
                    <w:adjustRightInd w:val="0"/>
                    <w:snapToGrid w:val="0"/>
                    <w:spacing w:before="0" w:beforeAutospacing="0" w:after="0" w:afterAutospacing="0"/>
                    <w:jc w:val="center"/>
                    <w:rPr>
                      <w:rFonts w:ascii="Times New Roman" w:hAnsi="Times New Roman" w:eastAsia="宋体" w:cs="Times New Roman"/>
                      <w:color w:val="auto"/>
                      <w:kern w:val="0"/>
                      <w:sz w:val="21"/>
                      <w:szCs w:val="21"/>
                      <w:lang w:val="en-US" w:eastAsia="zh-CN" w:bidi="ar-SA"/>
                    </w:rPr>
                  </w:pPr>
                  <w:r>
                    <w:rPr>
                      <w:rFonts w:hint="eastAsia" w:ascii="宋体" w:hAnsi="宋体" w:eastAsia="宋体" w:cs="Times New Roman"/>
                      <w:color w:val="auto"/>
                      <w:kern w:val="2"/>
                      <w:sz w:val="21"/>
                      <w:szCs w:val="21"/>
                      <w:lang w:val="en-US" w:eastAsia="zh-CN" w:bidi="ar-SA"/>
                    </w:rPr>
                    <w:t>化学需氧量</w:t>
                  </w:r>
                </w:p>
              </w:tc>
              <w:tc>
                <w:tcPr>
                  <w:tcW w:w="2010" w:type="dxa"/>
                  <w:tcBorders>
                    <w:tl2br w:val="nil"/>
                    <w:tr2bl w:val="nil"/>
                  </w:tcBorders>
                  <w:vAlign w:val="center"/>
                </w:tcPr>
                <w:p w14:paraId="55CBEBAF">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97</w:t>
                  </w:r>
                </w:p>
              </w:tc>
              <w:tc>
                <w:tcPr>
                  <w:tcW w:w="1794" w:type="dxa"/>
                  <w:tcBorders>
                    <w:tl2br w:val="nil"/>
                    <w:tr2bl w:val="nil"/>
                  </w:tcBorders>
                  <w:vAlign w:val="center"/>
                </w:tcPr>
                <w:p w14:paraId="4EEE8571">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500</w:t>
                  </w:r>
                </w:p>
              </w:tc>
              <w:tc>
                <w:tcPr>
                  <w:tcW w:w="1721" w:type="dxa"/>
                  <w:tcBorders>
                    <w:tl2br w:val="nil"/>
                    <w:tr2bl w:val="nil"/>
                  </w:tcBorders>
                  <w:vAlign w:val="center"/>
                </w:tcPr>
                <w:p w14:paraId="7866D44C">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r>
            <w:tr w14:paraId="38C6E2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672B87C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7</w:t>
                  </w:r>
                </w:p>
              </w:tc>
              <w:tc>
                <w:tcPr>
                  <w:tcW w:w="2119" w:type="dxa"/>
                  <w:tcBorders>
                    <w:tl2br w:val="nil"/>
                    <w:tr2bl w:val="nil"/>
                  </w:tcBorders>
                  <w:vAlign w:val="center"/>
                </w:tcPr>
                <w:p w14:paraId="6AD4A48C">
                  <w:pPr>
                    <w:widowControl/>
                    <w:adjustRightInd w:val="0"/>
                    <w:snapToGrid w:val="0"/>
                    <w:spacing w:before="0" w:beforeAutospacing="0" w:after="0" w:afterAutospacing="0"/>
                    <w:jc w:val="center"/>
                    <w:rPr>
                      <w:rFonts w:ascii="Times New Roman" w:hAnsi="Times New Roman" w:eastAsia="宋体" w:cs="Times New Roman"/>
                      <w:color w:val="auto"/>
                      <w:kern w:val="0"/>
                      <w:sz w:val="21"/>
                      <w:szCs w:val="21"/>
                      <w:lang w:val="en-US" w:eastAsia="zh-CN" w:bidi="ar-SA"/>
                    </w:rPr>
                  </w:pPr>
                  <w:r>
                    <w:rPr>
                      <w:rFonts w:hint="eastAsia" w:ascii="宋体" w:hAnsi="宋体" w:eastAsia="宋体" w:cs="Times New Roman"/>
                      <w:color w:val="auto"/>
                      <w:kern w:val="2"/>
                      <w:sz w:val="21"/>
                      <w:szCs w:val="21"/>
                      <w:lang w:val="en-US" w:eastAsia="zh-CN" w:bidi="ar-SA"/>
                    </w:rPr>
                    <w:t>氨氮</w:t>
                  </w:r>
                </w:p>
              </w:tc>
              <w:tc>
                <w:tcPr>
                  <w:tcW w:w="2010" w:type="dxa"/>
                  <w:tcBorders>
                    <w:tl2br w:val="nil"/>
                    <w:tr2bl w:val="nil"/>
                  </w:tcBorders>
                  <w:vAlign w:val="center"/>
                </w:tcPr>
                <w:p w14:paraId="23D08826">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9.21</w:t>
                  </w:r>
                </w:p>
              </w:tc>
              <w:tc>
                <w:tcPr>
                  <w:tcW w:w="1794" w:type="dxa"/>
                  <w:tcBorders>
                    <w:tl2br w:val="nil"/>
                    <w:tr2bl w:val="nil"/>
                  </w:tcBorders>
                  <w:vAlign w:val="center"/>
                </w:tcPr>
                <w:p w14:paraId="6CF4BAF7">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45</w:t>
                  </w:r>
                </w:p>
              </w:tc>
              <w:tc>
                <w:tcPr>
                  <w:tcW w:w="1721" w:type="dxa"/>
                  <w:tcBorders>
                    <w:tl2br w:val="nil"/>
                    <w:tr2bl w:val="nil"/>
                  </w:tcBorders>
                  <w:vAlign w:val="center"/>
                </w:tcPr>
                <w:p w14:paraId="03144285">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r>
            <w:tr w14:paraId="1F5EA0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451C226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8</w:t>
                  </w:r>
                </w:p>
              </w:tc>
              <w:tc>
                <w:tcPr>
                  <w:tcW w:w="2119" w:type="dxa"/>
                  <w:tcBorders>
                    <w:tl2br w:val="nil"/>
                    <w:tr2bl w:val="nil"/>
                  </w:tcBorders>
                  <w:vAlign w:val="center"/>
                </w:tcPr>
                <w:p w14:paraId="550DBC39">
                  <w:pPr>
                    <w:autoSpaceDE/>
                    <w:autoSpaceDN/>
                    <w:spacing w:line="320" w:lineRule="exact"/>
                    <w:jc w:val="center"/>
                    <w:rPr>
                      <w:rFonts w:ascii="Times New Roman" w:hAnsi="Times New Roman" w:eastAsia="宋体" w:cs="Times New Roman"/>
                      <w:color w:val="auto"/>
                      <w:sz w:val="21"/>
                      <w:szCs w:val="21"/>
                    </w:rPr>
                  </w:pPr>
                  <w:r>
                    <w:rPr>
                      <w:rFonts w:ascii="Times New Roman" w:hAnsi="Times New Roman" w:eastAsia="宋体" w:cs="Times New Roman"/>
                      <w:snapToGrid w:val="0"/>
                      <w:color w:val="auto"/>
                      <w:sz w:val="21"/>
                      <w:szCs w:val="21"/>
                    </w:rPr>
                    <w:t>总磷</w:t>
                  </w:r>
                </w:p>
              </w:tc>
              <w:tc>
                <w:tcPr>
                  <w:tcW w:w="2010" w:type="dxa"/>
                  <w:tcBorders>
                    <w:tl2br w:val="nil"/>
                    <w:tr2bl w:val="nil"/>
                  </w:tcBorders>
                  <w:vAlign w:val="center"/>
                </w:tcPr>
                <w:p w14:paraId="2AAD60EE">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3.33</w:t>
                  </w:r>
                </w:p>
              </w:tc>
              <w:tc>
                <w:tcPr>
                  <w:tcW w:w="1794" w:type="dxa"/>
                  <w:tcBorders>
                    <w:tl2br w:val="nil"/>
                    <w:tr2bl w:val="nil"/>
                  </w:tcBorders>
                  <w:vAlign w:val="center"/>
                </w:tcPr>
                <w:p w14:paraId="734D5456">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8</w:t>
                  </w:r>
                </w:p>
              </w:tc>
              <w:tc>
                <w:tcPr>
                  <w:tcW w:w="1721" w:type="dxa"/>
                  <w:tcBorders>
                    <w:tl2br w:val="nil"/>
                    <w:tr2bl w:val="nil"/>
                  </w:tcBorders>
                  <w:vAlign w:val="center"/>
                </w:tcPr>
                <w:p w14:paraId="2E30372F">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r>
            <w:tr w14:paraId="1F3AD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3E87365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9</w:t>
                  </w:r>
                </w:p>
              </w:tc>
              <w:tc>
                <w:tcPr>
                  <w:tcW w:w="2119" w:type="dxa"/>
                  <w:tcBorders>
                    <w:tl2br w:val="nil"/>
                    <w:tr2bl w:val="nil"/>
                  </w:tcBorders>
                  <w:vAlign w:val="center"/>
                </w:tcPr>
                <w:p w14:paraId="7EC44489">
                  <w:pPr>
                    <w:autoSpaceDE/>
                    <w:autoSpaceDN/>
                    <w:spacing w:line="320" w:lineRule="exact"/>
                    <w:jc w:val="center"/>
                    <w:rPr>
                      <w:rFonts w:ascii="Times New Roman" w:hAnsi="Times New Roman" w:eastAsia="宋体" w:cs="Times New Roman"/>
                      <w:color w:val="auto"/>
                      <w:sz w:val="21"/>
                      <w:szCs w:val="21"/>
                    </w:rPr>
                  </w:pPr>
                  <w:r>
                    <w:rPr>
                      <w:rFonts w:ascii="Times New Roman" w:hAnsi="Times New Roman" w:eastAsia="宋体" w:cs="Times New Roman"/>
                      <w:snapToGrid w:val="0"/>
                      <w:color w:val="auto"/>
                      <w:sz w:val="21"/>
                      <w:szCs w:val="21"/>
                    </w:rPr>
                    <w:t>总氮</w:t>
                  </w:r>
                </w:p>
              </w:tc>
              <w:tc>
                <w:tcPr>
                  <w:tcW w:w="2010" w:type="dxa"/>
                  <w:tcBorders>
                    <w:tl2br w:val="nil"/>
                    <w:tr2bl w:val="nil"/>
                  </w:tcBorders>
                  <w:vAlign w:val="center"/>
                </w:tcPr>
                <w:p w14:paraId="5BFDE704">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19.6</w:t>
                  </w:r>
                </w:p>
              </w:tc>
              <w:tc>
                <w:tcPr>
                  <w:tcW w:w="1794" w:type="dxa"/>
                  <w:tcBorders>
                    <w:tl2br w:val="nil"/>
                    <w:tr2bl w:val="nil"/>
                  </w:tcBorders>
                  <w:vAlign w:val="center"/>
                </w:tcPr>
                <w:p w14:paraId="5B91A319">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70</w:t>
                  </w:r>
                </w:p>
              </w:tc>
              <w:tc>
                <w:tcPr>
                  <w:tcW w:w="1721" w:type="dxa"/>
                  <w:tcBorders>
                    <w:tl2br w:val="nil"/>
                    <w:tr2bl w:val="nil"/>
                  </w:tcBorders>
                  <w:vAlign w:val="center"/>
                </w:tcPr>
                <w:p w14:paraId="1141447E">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r>
            <w:tr w14:paraId="0FAFF6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6E511CC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bCs/>
                      <w:color w:val="auto"/>
                      <w:szCs w:val="21"/>
                      <w:highlight w:val="none"/>
                      <w:lang w:val="en-US" w:eastAsia="zh-CN"/>
                    </w:rPr>
                    <w:t>10</w:t>
                  </w:r>
                </w:p>
              </w:tc>
              <w:tc>
                <w:tcPr>
                  <w:tcW w:w="2119" w:type="dxa"/>
                  <w:tcBorders>
                    <w:tl2br w:val="nil"/>
                    <w:tr2bl w:val="nil"/>
                  </w:tcBorders>
                  <w:vAlign w:val="center"/>
                </w:tcPr>
                <w:p w14:paraId="4D68E4C6">
                  <w:pPr>
                    <w:widowControl/>
                    <w:adjustRightInd w:val="0"/>
                    <w:snapToGrid w:val="0"/>
                    <w:spacing w:before="0" w:beforeAutospacing="0" w:after="0" w:afterAutospacing="0"/>
                    <w:jc w:val="center"/>
                    <w:rPr>
                      <w:rFonts w:ascii="Times New Roman" w:hAnsi="Times New Roman" w:eastAsia="宋体" w:cs="Times New Roman"/>
                      <w:color w:val="auto"/>
                      <w:kern w:val="0"/>
                      <w:sz w:val="21"/>
                      <w:szCs w:val="21"/>
                      <w:lang w:val="en-US" w:eastAsia="zh-CN" w:bidi="ar-SA"/>
                    </w:rPr>
                  </w:pPr>
                  <w:r>
                    <w:rPr>
                      <w:rFonts w:hint="eastAsia" w:ascii="宋体" w:hAnsi="宋体" w:eastAsia="宋体" w:cs="Times New Roman"/>
                      <w:color w:val="auto"/>
                      <w:kern w:val="2"/>
                      <w:sz w:val="21"/>
                      <w:szCs w:val="21"/>
                      <w:lang w:val="en-US" w:eastAsia="zh-CN" w:bidi="ar-SA"/>
                    </w:rPr>
                    <w:t>磷酸盐</w:t>
                  </w:r>
                </w:p>
              </w:tc>
              <w:tc>
                <w:tcPr>
                  <w:tcW w:w="2010" w:type="dxa"/>
                  <w:tcBorders>
                    <w:tl2br w:val="nil"/>
                    <w:tr2bl w:val="nil"/>
                  </w:tcBorders>
                  <w:vAlign w:val="center"/>
                </w:tcPr>
                <w:p w14:paraId="30492915">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hAnsi="Times New Roman" w:eastAsia="宋体" w:cs="Times New Roman"/>
                      <w:snapToGrid w:val="0"/>
                      <w:color w:val="auto"/>
                      <w:kern w:val="0"/>
                      <w:sz w:val="21"/>
                      <w:szCs w:val="21"/>
                      <w:highlight w:val="none"/>
                      <w:lang w:val="en-US" w:eastAsia="zh-CN" w:bidi="ar-SA"/>
                    </w:rPr>
                    <w:t>5.42</w:t>
                  </w:r>
                </w:p>
              </w:tc>
              <w:tc>
                <w:tcPr>
                  <w:tcW w:w="1794" w:type="dxa"/>
                  <w:tcBorders>
                    <w:tl2br w:val="nil"/>
                    <w:tr2bl w:val="nil"/>
                  </w:tcBorders>
                  <w:vAlign w:val="center"/>
                </w:tcPr>
                <w:p w14:paraId="0D4F2931">
                  <w:pPr>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p>
              </w:tc>
              <w:tc>
                <w:tcPr>
                  <w:tcW w:w="1721" w:type="dxa"/>
                  <w:tcBorders>
                    <w:tl2br w:val="nil"/>
                    <w:tr2bl w:val="nil"/>
                  </w:tcBorders>
                  <w:vAlign w:val="center"/>
                </w:tcPr>
                <w:p w14:paraId="4FAD7AE0">
                  <w:pPr>
                    <w:jc w:val="center"/>
                    <w:rPr>
                      <w:rFonts w:hint="eastAsia"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 w:val="21"/>
                      <w:szCs w:val="21"/>
                      <w:highlight w:val="none"/>
                      <w:vertAlign w:val="baseline"/>
                      <w:lang w:val="en-US" w:eastAsia="zh-CN" w:bidi="ar-SA"/>
                    </w:rPr>
                    <w:t>m</w:t>
                  </w:r>
                  <w:r>
                    <w:rPr>
                      <w:rFonts w:hint="default" w:ascii="Times New Roman" w:hAnsi="Times New Roman" w:eastAsia="宋体" w:cs="Times New Roman"/>
                      <w:snapToGrid w:val="0"/>
                      <w:color w:val="auto"/>
                      <w:kern w:val="0"/>
                      <w:sz w:val="21"/>
                      <w:szCs w:val="21"/>
                      <w:highlight w:val="none"/>
                      <w:lang w:val="en-US" w:eastAsia="zh-CN" w:bidi="ar-SA"/>
                    </w:rPr>
                    <w:t>g/L</w:t>
                  </w:r>
                </w:p>
              </w:tc>
            </w:tr>
            <w:tr w14:paraId="52F8B9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76" w:type="dxa"/>
                  <w:tcBorders>
                    <w:tl2br w:val="nil"/>
                    <w:tr2bl w:val="nil"/>
                  </w:tcBorders>
                  <w:vAlign w:val="center"/>
                </w:tcPr>
                <w:p w14:paraId="0573FD8C">
                  <w:pPr>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备注</w:t>
                  </w:r>
                </w:p>
              </w:tc>
              <w:tc>
                <w:tcPr>
                  <w:tcW w:w="7644" w:type="dxa"/>
                  <w:gridSpan w:val="4"/>
                  <w:tcBorders>
                    <w:tl2br w:val="nil"/>
                    <w:tr2bl w:val="nil"/>
                  </w:tcBorders>
                  <w:vAlign w:val="center"/>
                </w:tcPr>
                <w:p w14:paraId="0EDFA622">
                  <w:pPr>
                    <w:jc w:val="both"/>
                    <w:rPr>
                      <w:rFonts w:hint="default"/>
                      <w:color w:val="auto"/>
                      <w:lang w:val="en-US" w:eastAsia="zh-CN"/>
                    </w:rPr>
                  </w:pPr>
                  <w:r>
                    <w:rPr>
                      <w:rFonts w:hint="eastAsia" w:ascii="Times New Roman" w:hAnsi="Times New Roman" w:cs="Times New Roman" w:eastAsiaTheme="minorEastAsia"/>
                      <w:color w:val="auto"/>
                      <w:sz w:val="21"/>
                      <w:szCs w:val="21"/>
                      <w:highlight w:val="none"/>
                      <w:lang w:val="en-US" w:eastAsia="zh-CN"/>
                    </w:rPr>
                    <w:t>检测结果执行</w:t>
                  </w:r>
                  <w:r>
                    <w:rPr>
                      <w:rFonts w:hint="eastAsia" w:cs="Times New Roman" w:eastAsiaTheme="minorEastAsia"/>
                      <w:color w:val="auto"/>
                      <w:sz w:val="21"/>
                      <w:szCs w:val="21"/>
                      <w:highlight w:val="none"/>
                      <w:lang w:val="en-US" w:eastAsia="zh-CN"/>
                    </w:rPr>
                    <w:t>《污水综合排放标准》（GB8978-1996）三级标准，其中溶解性总固体、总磷、总氮参照执行《污水排入城镇下水道水质标准》（GB/T 31962-2015）。</w:t>
                  </w:r>
                </w:p>
              </w:tc>
            </w:tr>
          </w:tbl>
          <w:p w14:paraId="228BB9B6">
            <w:pPr>
              <w:spacing w:line="360" w:lineRule="auto"/>
              <w:ind w:firstLine="420"/>
              <w:rPr>
                <w:rFonts w:hint="eastAsia"/>
                <w:bCs/>
                <w:color w:val="auto"/>
                <w:sz w:val="24"/>
                <w:lang w:val="en-US" w:eastAsia="zh-CN"/>
              </w:rPr>
            </w:pPr>
            <w:r>
              <w:rPr>
                <w:rFonts w:hint="eastAsia"/>
                <w:bCs/>
                <w:color w:val="auto"/>
                <w:sz w:val="24"/>
                <w:lang w:val="en-US" w:eastAsia="zh-CN"/>
              </w:rPr>
              <w:t>③酸菜发酵废水</w:t>
            </w:r>
          </w:p>
          <w:p w14:paraId="2DFE0358">
            <w:pPr>
              <w:spacing w:line="360" w:lineRule="auto"/>
              <w:ind w:firstLine="420"/>
              <w:rPr>
                <w:rFonts w:hint="eastAsia"/>
                <w:bCs/>
                <w:color w:val="auto"/>
                <w:sz w:val="24"/>
                <w:lang w:val="en-US" w:eastAsia="zh-CN"/>
              </w:rPr>
            </w:pPr>
            <w:r>
              <w:rPr>
                <w:rFonts w:hint="eastAsia"/>
                <w:bCs/>
                <w:color w:val="auto"/>
                <w:sz w:val="24"/>
                <w:lang w:val="en-US" w:eastAsia="zh-CN"/>
              </w:rPr>
              <w:t>酸菜发酵废水产生量为154</w:t>
            </w:r>
            <w:r>
              <w:rPr>
                <w:rFonts w:hint="eastAsia"/>
                <w:bCs/>
                <w:color w:val="auto"/>
                <w:sz w:val="24"/>
                <w:vertAlign w:val="baseline"/>
                <w:lang w:val="en-US" w:eastAsia="zh-CN"/>
              </w:rPr>
              <w:t>m</w:t>
            </w:r>
            <w:r>
              <w:rPr>
                <w:rFonts w:hint="eastAsia"/>
                <w:bCs/>
                <w:color w:val="auto"/>
                <w:sz w:val="24"/>
                <w:vertAlign w:val="superscript"/>
                <w:lang w:val="en-US" w:eastAsia="zh-CN"/>
              </w:rPr>
              <w:t>3</w:t>
            </w:r>
            <w:r>
              <w:rPr>
                <w:rFonts w:hint="eastAsia"/>
                <w:bCs/>
                <w:color w:val="auto"/>
                <w:sz w:val="24"/>
                <w:lang w:val="en-US" w:eastAsia="zh-CN"/>
              </w:rPr>
              <w:t>/a，污染物产生浓度为COD5000</w:t>
            </w:r>
            <w:r>
              <w:rPr>
                <w:rFonts w:hint="eastAsia"/>
                <w:bCs/>
                <w:color w:val="auto"/>
                <w:sz w:val="24"/>
                <w:vertAlign w:val="baseline"/>
                <w:lang w:val="en-US" w:eastAsia="zh-CN"/>
              </w:rPr>
              <w:t>m</w:t>
            </w:r>
            <w:r>
              <w:rPr>
                <w:rFonts w:hint="eastAsia"/>
                <w:bCs/>
                <w:color w:val="auto"/>
                <w:sz w:val="24"/>
                <w:lang w:val="en-US" w:eastAsia="zh-CN"/>
              </w:rPr>
              <w:t>g/L，BOD800</w:t>
            </w:r>
            <w:r>
              <w:rPr>
                <w:rFonts w:hint="eastAsia"/>
                <w:bCs/>
                <w:color w:val="auto"/>
                <w:sz w:val="24"/>
                <w:vertAlign w:val="baseline"/>
                <w:lang w:val="en-US" w:eastAsia="zh-CN"/>
              </w:rPr>
              <w:t>m</w:t>
            </w:r>
            <w:r>
              <w:rPr>
                <w:rFonts w:hint="eastAsia"/>
                <w:bCs/>
                <w:color w:val="auto"/>
                <w:sz w:val="24"/>
                <w:lang w:val="en-US" w:eastAsia="zh-CN"/>
              </w:rPr>
              <w:t>g/L，SS100</w:t>
            </w:r>
            <w:r>
              <w:rPr>
                <w:rFonts w:hint="eastAsia"/>
                <w:bCs/>
                <w:color w:val="auto"/>
                <w:sz w:val="24"/>
                <w:vertAlign w:val="baseline"/>
                <w:lang w:val="en-US" w:eastAsia="zh-CN"/>
              </w:rPr>
              <w:t>m</w:t>
            </w:r>
            <w:r>
              <w:rPr>
                <w:rFonts w:hint="eastAsia"/>
                <w:bCs/>
                <w:color w:val="auto"/>
                <w:sz w:val="24"/>
                <w:lang w:val="en-US" w:eastAsia="zh-CN"/>
              </w:rPr>
              <w:t>g/L，含盐量6000</w:t>
            </w:r>
            <w:r>
              <w:rPr>
                <w:rFonts w:hint="eastAsia"/>
                <w:bCs/>
                <w:color w:val="auto"/>
                <w:sz w:val="24"/>
                <w:vertAlign w:val="baseline"/>
                <w:lang w:val="en-US" w:eastAsia="zh-CN"/>
              </w:rPr>
              <w:t>m</w:t>
            </w:r>
            <w:r>
              <w:rPr>
                <w:rFonts w:hint="eastAsia"/>
                <w:bCs/>
                <w:color w:val="auto"/>
                <w:sz w:val="24"/>
                <w:lang w:val="en-US" w:eastAsia="zh-CN"/>
              </w:rPr>
              <w:t>g/L。</w:t>
            </w:r>
          </w:p>
          <w:p w14:paraId="33C08212">
            <w:pPr>
              <w:spacing w:line="360" w:lineRule="auto"/>
              <w:ind w:firstLine="420"/>
              <w:rPr>
                <w:rFonts w:hint="default"/>
                <w:bCs/>
                <w:color w:val="auto"/>
                <w:sz w:val="24"/>
                <w:lang w:val="en-US" w:eastAsia="zh-CN"/>
              </w:rPr>
            </w:pPr>
            <w:r>
              <w:rPr>
                <w:rFonts w:hint="eastAsia"/>
                <w:bCs/>
                <w:color w:val="auto"/>
                <w:sz w:val="24"/>
                <w:lang w:val="en-US" w:eastAsia="zh-CN"/>
              </w:rPr>
              <w:t>发酵池开池后，将酸菜发酵废水收集至3#废水储罐，定期拉运至蒙苏经济开发区零碳产业园工业污水处理厂处理，不外排。</w:t>
            </w:r>
          </w:p>
          <w:p w14:paraId="568B0AC3">
            <w:pPr>
              <w:adjustRightInd w:val="0"/>
              <w:snapToGrid w:val="0"/>
              <w:spacing w:line="360" w:lineRule="auto"/>
              <w:ind w:firstLine="482" w:firstLineChars="200"/>
              <w:rPr>
                <w:b/>
                <w:color w:val="auto"/>
                <w:sz w:val="24"/>
                <w:lang w:bidi="ar"/>
              </w:rPr>
            </w:pPr>
            <w:r>
              <w:rPr>
                <w:b/>
                <w:color w:val="auto"/>
                <w:sz w:val="24"/>
                <w:lang w:bidi="ar"/>
              </w:rPr>
              <w:t>2.2废水处置可行性</w:t>
            </w:r>
          </w:p>
          <w:p w14:paraId="0FDC6933">
            <w:pPr>
              <w:adjustRightInd w:val="0"/>
              <w:snapToGrid w:val="0"/>
              <w:spacing w:line="360" w:lineRule="auto"/>
              <w:ind w:firstLine="480" w:firstLineChars="200"/>
              <w:jc w:val="left"/>
              <w:rPr>
                <w:rFonts w:hint="default" w:eastAsia="宋体"/>
                <w:bCs/>
                <w:color w:val="auto"/>
                <w:kern w:val="0"/>
                <w:sz w:val="24"/>
                <w:lang w:val="en-US" w:eastAsia="zh-CN"/>
              </w:rPr>
            </w:pPr>
            <w:r>
              <w:rPr>
                <w:rFonts w:hint="eastAsia"/>
                <w:bCs/>
                <w:color w:val="auto"/>
                <w:kern w:val="0"/>
                <w:sz w:val="24"/>
                <w:lang w:val="en-US" w:eastAsia="zh-CN"/>
              </w:rPr>
              <w:t>（1）新鲜蔬菜漂烫清洗废水直排的可行性分析</w:t>
            </w:r>
          </w:p>
          <w:p w14:paraId="10434B70">
            <w:pPr>
              <w:adjustRightInd w:val="0"/>
              <w:snapToGrid w:val="0"/>
              <w:spacing w:line="360" w:lineRule="auto"/>
              <w:ind w:firstLine="480" w:firstLineChars="200"/>
              <w:jc w:val="left"/>
              <w:rPr>
                <w:rFonts w:hint="default"/>
                <w:bCs/>
                <w:color w:val="auto"/>
                <w:kern w:val="0"/>
                <w:sz w:val="24"/>
                <w:lang w:val="en-US" w:eastAsia="zh-CN"/>
              </w:rPr>
            </w:pPr>
            <w:r>
              <w:rPr>
                <w:rFonts w:hint="eastAsia"/>
                <w:bCs/>
                <w:color w:val="auto"/>
                <w:kern w:val="0"/>
                <w:sz w:val="24"/>
                <w:lang w:val="en-US" w:eastAsia="zh-CN"/>
              </w:rPr>
              <w:t>为降低漂烫废水的温度，新鲜蔬菜漂烫和清洗共用一个排水口。新鲜蔬菜漂烫清洗废水主要含少量悬浮物，污染物单一，浓度较低。该部分废水仅在6-8月份产生，同时夏季农田需水量较大，项目周边农田数量较多，供不应求。经1#废水储罐收集冷却后，拉运至周边农田，用于农田灌溉，综合利用。</w:t>
            </w:r>
          </w:p>
          <w:p w14:paraId="1B3E05A0">
            <w:pPr>
              <w:adjustRightInd w:val="0"/>
              <w:snapToGrid w:val="0"/>
              <w:spacing w:line="360" w:lineRule="auto"/>
              <w:ind w:firstLine="480" w:firstLineChars="200"/>
              <w:jc w:val="left"/>
              <w:rPr>
                <w:rFonts w:hint="default" w:eastAsia="宋体"/>
                <w:bCs/>
                <w:color w:val="auto"/>
                <w:kern w:val="0"/>
                <w:sz w:val="24"/>
                <w:lang w:val="en-US" w:eastAsia="zh-CN"/>
              </w:rPr>
            </w:pPr>
            <w:r>
              <w:rPr>
                <w:rFonts w:hint="eastAsia"/>
                <w:bCs/>
                <w:color w:val="auto"/>
                <w:kern w:val="0"/>
                <w:sz w:val="24"/>
                <w:lang w:eastAsia="zh-CN"/>
              </w:rPr>
              <w:t>（</w:t>
            </w:r>
            <w:r>
              <w:rPr>
                <w:rFonts w:hint="eastAsia"/>
                <w:bCs/>
                <w:color w:val="auto"/>
                <w:kern w:val="0"/>
                <w:sz w:val="24"/>
                <w:lang w:val="en-US" w:eastAsia="zh-CN"/>
              </w:rPr>
              <w:t>2</w:t>
            </w:r>
            <w:r>
              <w:rPr>
                <w:rFonts w:hint="eastAsia"/>
                <w:bCs/>
                <w:color w:val="auto"/>
                <w:kern w:val="0"/>
                <w:sz w:val="24"/>
                <w:lang w:eastAsia="zh-CN"/>
              </w:rPr>
              <w:t>）</w:t>
            </w:r>
            <w:r>
              <w:rPr>
                <w:rFonts w:hint="eastAsia"/>
                <w:bCs/>
                <w:color w:val="auto"/>
                <w:kern w:val="0"/>
                <w:sz w:val="24"/>
                <w:lang w:val="en-US" w:eastAsia="zh-CN"/>
              </w:rPr>
              <w:t>进入杭锦旗锡尼镇污水处理厂进行处理的可行性分析</w:t>
            </w:r>
          </w:p>
          <w:p w14:paraId="7A340409">
            <w:pPr>
              <w:adjustRightInd w:val="0"/>
              <w:snapToGrid w:val="0"/>
              <w:spacing w:line="360" w:lineRule="auto"/>
              <w:ind w:firstLine="480" w:firstLineChars="200"/>
              <w:jc w:val="left"/>
              <w:rPr>
                <w:rFonts w:hint="eastAsia"/>
                <w:bCs/>
                <w:color w:val="auto"/>
                <w:kern w:val="0"/>
                <w:sz w:val="24"/>
                <w:lang w:val="en-US" w:eastAsia="zh-CN"/>
              </w:rPr>
            </w:pPr>
            <w:r>
              <w:rPr>
                <w:rFonts w:hint="eastAsia"/>
                <w:bCs/>
                <w:color w:val="auto"/>
                <w:kern w:val="0"/>
                <w:sz w:val="24"/>
                <w:lang w:val="en-US" w:eastAsia="zh-CN"/>
              </w:rPr>
              <w:t>杭锦旗锡尼镇污水处理厂位于杭锦旗锡尼镇，原杭锦旗环境保护局于2018年4月23日以杭环评字〔2018〕9号文对《杭锦旗锡尼镇污水处理厂扩建工程环境影响报告表》作出了批复，于2019年8月14日进行了项目竣工环境保护自主验收。</w:t>
            </w:r>
          </w:p>
          <w:p w14:paraId="2904D930">
            <w:pPr>
              <w:adjustRightInd w:val="0"/>
              <w:snapToGrid w:val="0"/>
              <w:spacing w:line="360" w:lineRule="auto"/>
              <w:ind w:firstLine="480" w:firstLineChars="200"/>
              <w:jc w:val="left"/>
              <w:rPr>
                <w:rFonts w:hint="eastAsia"/>
                <w:bCs/>
                <w:color w:val="auto"/>
                <w:kern w:val="0"/>
                <w:sz w:val="24"/>
                <w:lang w:val="en-US" w:eastAsia="zh-CN"/>
              </w:rPr>
            </w:pPr>
            <w:r>
              <w:rPr>
                <w:rFonts w:hint="eastAsia"/>
                <w:bCs/>
                <w:color w:val="auto"/>
                <w:kern w:val="0"/>
                <w:sz w:val="24"/>
                <w:lang w:val="en-US" w:eastAsia="zh-CN"/>
              </w:rPr>
              <w:t>杭锦旗锡尼镇污水处理厂现阶段处理能力为0.65×10</w:t>
            </w:r>
            <w:r>
              <w:rPr>
                <w:rFonts w:hint="eastAsia"/>
                <w:bCs/>
                <w:color w:val="auto"/>
                <w:kern w:val="0"/>
                <w:sz w:val="24"/>
                <w:vertAlign w:val="superscript"/>
                <w:lang w:val="en-US" w:eastAsia="zh-CN"/>
              </w:rPr>
              <w:t>4</w:t>
            </w:r>
            <w:r>
              <w:rPr>
                <w:rFonts w:hint="eastAsia"/>
                <w:bCs/>
                <w:color w:val="auto"/>
                <w:kern w:val="0"/>
                <w:sz w:val="24"/>
                <w:vertAlign w:val="baseline"/>
                <w:lang w:val="en-US" w:eastAsia="zh-CN"/>
              </w:rPr>
              <w:t>m</w:t>
            </w:r>
            <w:r>
              <w:rPr>
                <w:rFonts w:hint="eastAsia"/>
                <w:bCs/>
                <w:color w:val="auto"/>
                <w:kern w:val="0"/>
                <w:sz w:val="24"/>
                <w:vertAlign w:val="superscript"/>
                <w:lang w:val="en-US" w:eastAsia="zh-CN"/>
              </w:rPr>
              <w:t>3</w:t>
            </w:r>
            <w:r>
              <w:rPr>
                <w:rFonts w:hint="eastAsia"/>
                <w:bCs/>
                <w:color w:val="auto"/>
                <w:kern w:val="0"/>
                <w:sz w:val="24"/>
                <w:lang w:val="en-US" w:eastAsia="zh-CN"/>
              </w:rPr>
              <w:t>/d，选择五段Bardenpho+磁混凝澄清池作为本工程的污水处理工艺，即生物处理段采用五段Bardenpho工艺（A/A/O/A/O五段工艺，采用能独立分别控制厌氧、第一缺氧、第一好氧、第二缺氧、第二好氧区域组成的生物除磷脱氮反应池），后续深度处理采用磁混凝澄清池，最后再用O</w:t>
            </w:r>
            <w:r>
              <w:rPr>
                <w:rFonts w:hint="eastAsia"/>
                <w:bCs/>
                <w:color w:val="auto"/>
                <w:kern w:val="0"/>
                <w:sz w:val="24"/>
                <w:vertAlign w:val="subscript"/>
                <w:lang w:val="en-US" w:eastAsia="zh-CN"/>
              </w:rPr>
              <w:t>3</w:t>
            </w:r>
            <w:r>
              <w:rPr>
                <w:rFonts w:hint="eastAsia"/>
                <w:bCs/>
                <w:color w:val="auto"/>
                <w:kern w:val="0"/>
                <w:sz w:val="24"/>
                <w:lang w:val="en-US" w:eastAsia="zh-CN"/>
              </w:rPr>
              <w:t>进行去除色度，二氧化氯消毒的方案。</w:t>
            </w:r>
          </w:p>
          <w:p w14:paraId="68B9412D">
            <w:pPr>
              <w:adjustRightInd w:val="0"/>
              <w:snapToGrid w:val="0"/>
              <w:spacing w:line="360" w:lineRule="auto"/>
              <w:ind w:firstLine="480" w:firstLineChars="200"/>
              <w:jc w:val="left"/>
              <w:rPr>
                <w:rFonts w:hint="default" w:eastAsia="宋体"/>
                <w:bCs/>
                <w:color w:val="auto"/>
                <w:sz w:val="24"/>
                <w:lang w:val="en-US"/>
              </w:rPr>
            </w:pPr>
            <w:r>
              <w:rPr>
                <w:rFonts w:hint="eastAsia" w:eastAsia="宋体"/>
                <w:bCs/>
                <w:color w:val="auto"/>
                <w:sz w:val="24"/>
                <w:lang w:val="en-US" w:eastAsia="zh-CN"/>
              </w:rPr>
              <w:t>酸菜清洗废水</w:t>
            </w:r>
            <w:r>
              <w:rPr>
                <w:rFonts w:hint="eastAsia"/>
                <w:bCs/>
                <w:color w:val="auto"/>
                <w:sz w:val="24"/>
                <w:lang w:val="en-US" w:eastAsia="zh-CN"/>
              </w:rPr>
              <w:t>的废水储罐</w:t>
            </w:r>
            <w:r>
              <w:rPr>
                <w:rFonts w:hint="eastAsia" w:eastAsia="宋体"/>
                <w:bCs/>
                <w:color w:val="auto"/>
                <w:sz w:val="24"/>
                <w:lang w:val="en-US" w:eastAsia="zh-CN"/>
              </w:rPr>
              <w:t>出水口各项水质指标</w:t>
            </w:r>
            <w:r>
              <w:rPr>
                <w:rFonts w:hint="eastAsia"/>
                <w:color w:val="auto"/>
                <w:sz w:val="24"/>
                <w:szCs w:val="24"/>
                <w:lang w:eastAsia="zh-CN"/>
              </w:rPr>
              <w:t>（</w:t>
            </w:r>
            <w:r>
              <w:rPr>
                <w:rFonts w:hint="eastAsia"/>
                <w:color w:val="auto"/>
                <w:sz w:val="24"/>
                <w:szCs w:val="24"/>
                <w:lang w:val="en-US" w:eastAsia="zh-CN"/>
              </w:rPr>
              <w:t>详见表4-2</w:t>
            </w:r>
            <w:r>
              <w:rPr>
                <w:rFonts w:hint="eastAsia"/>
                <w:color w:val="auto"/>
                <w:sz w:val="24"/>
                <w:szCs w:val="24"/>
                <w:lang w:eastAsia="zh-CN"/>
              </w:rPr>
              <w:t>）</w:t>
            </w:r>
            <w:r>
              <w:rPr>
                <w:rFonts w:hint="eastAsia" w:eastAsia="宋体"/>
                <w:bCs/>
                <w:color w:val="auto"/>
                <w:sz w:val="24"/>
                <w:lang w:val="en-US" w:eastAsia="zh-CN"/>
              </w:rPr>
              <w:t>满足</w:t>
            </w:r>
            <w:r>
              <w:rPr>
                <w:rFonts w:hint="eastAsia"/>
                <w:bCs/>
                <w:color w:val="auto"/>
                <w:sz w:val="24"/>
                <w:lang w:val="en-US" w:eastAsia="zh-CN"/>
              </w:rPr>
              <w:t>《污水综合排放标准》（GB8978-1996）三级标准</w:t>
            </w:r>
            <w:r>
              <w:rPr>
                <w:rFonts w:hint="eastAsia" w:eastAsia="宋体"/>
                <w:bCs/>
                <w:color w:val="auto"/>
                <w:sz w:val="24"/>
                <w:lang w:val="en-US" w:eastAsia="zh-CN"/>
              </w:rPr>
              <w:t>要求，符合杭锦旗锡尼镇污水处理厂进水指标要求。</w:t>
            </w:r>
          </w:p>
          <w:p w14:paraId="26DF25F3">
            <w:pPr>
              <w:adjustRightInd w:val="0"/>
              <w:snapToGrid w:val="0"/>
              <w:spacing w:line="360" w:lineRule="auto"/>
              <w:ind w:firstLine="480" w:firstLineChars="200"/>
              <w:jc w:val="left"/>
              <w:rPr>
                <w:rFonts w:hint="default"/>
                <w:bCs/>
                <w:color w:val="auto"/>
                <w:kern w:val="0"/>
                <w:sz w:val="24"/>
                <w:lang w:val="en-US"/>
              </w:rPr>
            </w:pPr>
            <w:r>
              <w:rPr>
                <w:rFonts w:hint="eastAsia"/>
                <w:bCs/>
                <w:color w:val="auto"/>
                <w:kern w:val="0"/>
                <w:sz w:val="24"/>
                <w:lang w:val="en-US" w:eastAsia="zh-CN"/>
              </w:rPr>
              <w:t>本项目生活污水、设备清洗废水、地面清洗废水、酸菜清洗废水合计产生量为655</w:t>
            </w:r>
            <w:r>
              <w:rPr>
                <w:rFonts w:hint="eastAsia"/>
                <w:bCs/>
                <w:color w:val="auto"/>
                <w:kern w:val="0"/>
                <w:sz w:val="24"/>
                <w:vertAlign w:val="baseline"/>
                <w:lang w:val="en-US" w:eastAsia="zh-CN"/>
              </w:rPr>
              <w:t>m</w:t>
            </w:r>
            <w:r>
              <w:rPr>
                <w:rFonts w:hint="eastAsia"/>
                <w:bCs/>
                <w:color w:val="auto"/>
                <w:kern w:val="0"/>
                <w:sz w:val="24"/>
                <w:vertAlign w:val="superscript"/>
                <w:lang w:val="en-US" w:eastAsia="zh-CN"/>
              </w:rPr>
              <w:t>3</w:t>
            </w:r>
            <w:r>
              <w:rPr>
                <w:rFonts w:hint="eastAsia"/>
                <w:bCs/>
                <w:color w:val="auto"/>
                <w:kern w:val="0"/>
                <w:sz w:val="24"/>
                <w:lang w:val="en-US" w:eastAsia="zh-CN"/>
              </w:rPr>
              <w:t>/a，平均2.18</w:t>
            </w:r>
            <w:r>
              <w:rPr>
                <w:rFonts w:hint="eastAsia"/>
                <w:bCs/>
                <w:color w:val="auto"/>
                <w:kern w:val="0"/>
                <w:sz w:val="24"/>
                <w:vertAlign w:val="baseline"/>
                <w:lang w:val="en-US" w:eastAsia="zh-CN"/>
              </w:rPr>
              <w:t>m</w:t>
            </w:r>
            <w:r>
              <w:rPr>
                <w:rFonts w:hint="eastAsia"/>
                <w:bCs/>
                <w:color w:val="auto"/>
                <w:kern w:val="0"/>
                <w:sz w:val="24"/>
                <w:vertAlign w:val="superscript"/>
                <w:lang w:val="en-US" w:eastAsia="zh-CN"/>
              </w:rPr>
              <w:t>3</w:t>
            </w:r>
            <w:r>
              <w:rPr>
                <w:rFonts w:hint="eastAsia"/>
                <w:bCs/>
                <w:color w:val="auto"/>
                <w:kern w:val="0"/>
                <w:sz w:val="24"/>
                <w:lang w:val="en-US" w:eastAsia="zh-CN"/>
              </w:rPr>
              <w:t>/d。目前</w:t>
            </w:r>
            <w:r>
              <w:rPr>
                <w:rFonts w:hint="default"/>
                <w:bCs/>
                <w:color w:val="auto"/>
                <w:kern w:val="0"/>
                <w:sz w:val="24"/>
                <w:lang w:val="en-US" w:eastAsia="zh-CN"/>
              </w:rPr>
              <w:t>杭锦旗锡尼镇污水处理厂</w:t>
            </w:r>
            <w:r>
              <w:rPr>
                <w:rFonts w:hint="eastAsia"/>
                <w:bCs/>
                <w:color w:val="auto"/>
                <w:kern w:val="0"/>
                <w:sz w:val="24"/>
                <w:lang w:val="en-US" w:eastAsia="zh-CN"/>
              </w:rPr>
              <w:t>剩余处理规模为500</w:t>
            </w:r>
            <w:r>
              <w:rPr>
                <w:rFonts w:hint="eastAsia"/>
                <w:bCs/>
                <w:color w:val="auto"/>
                <w:kern w:val="0"/>
                <w:sz w:val="24"/>
                <w:vertAlign w:val="baseline"/>
                <w:lang w:val="en-US" w:eastAsia="zh-CN"/>
              </w:rPr>
              <w:t>m</w:t>
            </w:r>
            <w:r>
              <w:rPr>
                <w:rFonts w:hint="eastAsia"/>
                <w:bCs/>
                <w:color w:val="auto"/>
                <w:kern w:val="0"/>
                <w:sz w:val="24"/>
                <w:vertAlign w:val="superscript"/>
                <w:lang w:val="en-US" w:eastAsia="zh-CN"/>
              </w:rPr>
              <w:t>3</w:t>
            </w:r>
            <w:r>
              <w:rPr>
                <w:rFonts w:hint="eastAsia"/>
                <w:bCs/>
                <w:color w:val="auto"/>
                <w:kern w:val="0"/>
                <w:sz w:val="24"/>
                <w:lang w:val="en-US" w:eastAsia="zh-CN"/>
              </w:rPr>
              <w:t>/d，有足够的剩余处理污水的能力接纳本项目。同时，建设单位与内蒙古德源水务有限公司（杭锦旗锡尼镇污水处理厂运营单位）已签订《废水处理协议》，同意接收处理本项目废水。</w:t>
            </w:r>
          </w:p>
          <w:p w14:paraId="4B0AA045">
            <w:pPr>
              <w:adjustRightInd w:val="0"/>
              <w:snapToGrid w:val="0"/>
              <w:spacing w:line="360" w:lineRule="auto"/>
              <w:ind w:firstLine="480" w:firstLineChars="200"/>
              <w:jc w:val="left"/>
              <w:rPr>
                <w:rFonts w:hint="default" w:eastAsia="宋体"/>
                <w:bCs/>
                <w:color w:val="auto"/>
                <w:kern w:val="0"/>
                <w:sz w:val="24"/>
                <w:lang w:val="en-US" w:eastAsia="zh-CN"/>
              </w:rPr>
            </w:pPr>
            <w:r>
              <w:rPr>
                <w:rFonts w:hint="eastAsia"/>
                <w:bCs/>
                <w:color w:val="auto"/>
                <w:kern w:val="0"/>
                <w:sz w:val="24"/>
                <w:lang w:val="en-US" w:eastAsia="zh-CN"/>
              </w:rPr>
              <w:t>综上，本项目生活污水、设备清洗废水、地面清洗废水、酸菜清洗废水进入杭锦旗锡尼镇污水处理厂可行。</w:t>
            </w:r>
          </w:p>
          <w:p w14:paraId="59A7B094">
            <w:pPr>
              <w:adjustRightInd w:val="0"/>
              <w:snapToGrid w:val="0"/>
              <w:spacing w:line="360" w:lineRule="auto"/>
              <w:ind w:firstLine="480" w:firstLineChars="200"/>
              <w:jc w:val="left"/>
              <w:rPr>
                <w:rFonts w:hint="eastAsia"/>
                <w:bCs/>
                <w:color w:val="auto"/>
                <w:kern w:val="0"/>
                <w:sz w:val="24"/>
                <w:lang w:val="en-US" w:eastAsia="zh-CN"/>
              </w:rPr>
            </w:pPr>
            <w:r>
              <w:rPr>
                <w:rFonts w:hint="eastAsia"/>
                <w:bCs/>
                <w:color w:val="auto"/>
                <w:kern w:val="0"/>
                <w:sz w:val="24"/>
                <w:lang w:eastAsia="zh-CN"/>
              </w:rPr>
              <w:t>（</w:t>
            </w:r>
            <w:r>
              <w:rPr>
                <w:rFonts w:hint="eastAsia"/>
                <w:bCs/>
                <w:color w:val="auto"/>
                <w:kern w:val="0"/>
                <w:sz w:val="24"/>
                <w:lang w:val="en-US" w:eastAsia="zh-CN"/>
              </w:rPr>
              <w:t>3</w:t>
            </w:r>
            <w:r>
              <w:rPr>
                <w:rFonts w:hint="eastAsia"/>
                <w:bCs/>
                <w:color w:val="auto"/>
                <w:kern w:val="0"/>
                <w:sz w:val="24"/>
                <w:lang w:eastAsia="zh-CN"/>
              </w:rPr>
              <w:t>）</w:t>
            </w:r>
            <w:r>
              <w:rPr>
                <w:rFonts w:hint="eastAsia"/>
                <w:bCs/>
                <w:color w:val="auto"/>
                <w:kern w:val="0"/>
                <w:sz w:val="24"/>
                <w:lang w:val="en-US" w:eastAsia="zh-CN"/>
              </w:rPr>
              <w:t>进入蒙苏经济开发区零碳产业园工业污水处理厂进行处理可行性分析</w:t>
            </w:r>
          </w:p>
          <w:p w14:paraId="748DC775">
            <w:pPr>
              <w:adjustRightInd w:val="0"/>
              <w:snapToGrid w:val="0"/>
              <w:spacing w:line="360" w:lineRule="auto"/>
              <w:ind w:firstLine="480" w:firstLineChars="200"/>
              <w:jc w:val="left"/>
              <w:rPr>
                <w:rFonts w:hint="eastAsia" w:eastAsia="宋体"/>
                <w:bCs/>
                <w:color w:val="auto"/>
                <w:kern w:val="0"/>
                <w:sz w:val="24"/>
                <w:lang w:val="en-US" w:eastAsia="zh-CN"/>
              </w:rPr>
            </w:pPr>
            <w:r>
              <w:rPr>
                <w:rFonts w:hint="eastAsia" w:eastAsia="宋体"/>
                <w:bCs/>
                <w:color w:val="auto"/>
                <w:kern w:val="0"/>
                <w:sz w:val="24"/>
                <w:lang w:val="en-US" w:eastAsia="zh-CN"/>
              </w:rPr>
              <w:t>本项目采用传统工艺——自然发酵方法腌制蔬菜。</w:t>
            </w:r>
            <w:r>
              <w:rPr>
                <w:rFonts w:hint="eastAsia"/>
                <w:bCs/>
                <w:color w:val="auto"/>
                <w:kern w:val="0"/>
                <w:sz w:val="24"/>
                <w:lang w:val="en-US" w:eastAsia="zh-CN"/>
              </w:rPr>
              <w:t>蔬菜漂烫后</w:t>
            </w:r>
            <w:r>
              <w:rPr>
                <w:rFonts w:hint="eastAsia" w:eastAsia="宋体"/>
                <w:bCs/>
                <w:color w:val="auto"/>
                <w:kern w:val="0"/>
                <w:sz w:val="24"/>
                <w:lang w:val="en-US" w:eastAsia="zh-CN"/>
              </w:rPr>
              <w:t>装入深4</w:t>
            </w:r>
            <w:r>
              <w:rPr>
                <w:rFonts w:hint="eastAsia"/>
                <w:bCs/>
                <w:color w:val="auto"/>
                <w:kern w:val="0"/>
                <w:sz w:val="24"/>
                <w:vertAlign w:val="baseline"/>
                <w:lang w:val="en-US" w:eastAsia="zh-CN"/>
              </w:rPr>
              <w:t>m</w:t>
            </w:r>
            <w:r>
              <w:rPr>
                <w:rFonts w:hint="eastAsia" w:eastAsia="宋体"/>
                <w:bCs/>
                <w:color w:val="auto"/>
                <w:kern w:val="0"/>
                <w:sz w:val="24"/>
                <w:lang w:val="en-US" w:eastAsia="zh-CN"/>
              </w:rPr>
              <w:t>地下</w:t>
            </w:r>
            <w:r>
              <w:rPr>
                <w:rFonts w:hint="eastAsia"/>
                <w:bCs/>
                <w:color w:val="auto"/>
                <w:kern w:val="0"/>
                <w:sz w:val="24"/>
                <w:lang w:val="en-US" w:eastAsia="zh-CN"/>
              </w:rPr>
              <w:t>发酵</w:t>
            </w:r>
            <w:r>
              <w:rPr>
                <w:rFonts w:hint="eastAsia" w:eastAsia="宋体"/>
                <w:bCs/>
                <w:color w:val="auto"/>
                <w:kern w:val="0"/>
                <w:sz w:val="24"/>
                <w:lang w:val="en-US" w:eastAsia="zh-CN"/>
              </w:rPr>
              <w:t>池内发酵，</w:t>
            </w:r>
            <w:r>
              <w:rPr>
                <w:rFonts w:hint="eastAsia"/>
                <w:bCs/>
                <w:color w:val="auto"/>
                <w:kern w:val="0"/>
                <w:sz w:val="24"/>
                <w:lang w:val="en-US" w:eastAsia="zh-CN"/>
              </w:rPr>
              <w:t>发酵池</w:t>
            </w:r>
            <w:r>
              <w:rPr>
                <w:rFonts w:hint="eastAsia" w:eastAsia="宋体"/>
                <w:bCs/>
                <w:color w:val="auto"/>
                <w:kern w:val="0"/>
                <w:sz w:val="24"/>
                <w:lang w:val="en-US" w:eastAsia="zh-CN"/>
              </w:rPr>
              <w:t>内加入盐，低温发酵</w:t>
            </w:r>
            <w:r>
              <w:rPr>
                <w:rFonts w:hint="eastAsia"/>
                <w:bCs/>
                <w:color w:val="auto"/>
                <w:kern w:val="0"/>
                <w:sz w:val="24"/>
                <w:lang w:val="en-US" w:eastAsia="zh-CN"/>
              </w:rPr>
              <w:t>60</w:t>
            </w:r>
            <w:r>
              <w:rPr>
                <w:rFonts w:hint="eastAsia" w:eastAsia="宋体"/>
                <w:bCs/>
                <w:color w:val="auto"/>
                <w:kern w:val="0"/>
                <w:sz w:val="24"/>
                <w:lang w:val="en-US" w:eastAsia="zh-CN"/>
              </w:rPr>
              <w:t>—90天后出池得到酸菜</w:t>
            </w:r>
            <w:r>
              <w:rPr>
                <w:rFonts w:hint="eastAsia"/>
                <w:bCs/>
                <w:color w:val="auto"/>
                <w:kern w:val="0"/>
                <w:sz w:val="24"/>
                <w:lang w:val="en-US" w:eastAsia="zh-CN"/>
              </w:rPr>
              <w:t>，故酸菜废水中盐分含量较高。</w:t>
            </w:r>
            <w:r>
              <w:rPr>
                <w:rFonts w:hint="eastAsia" w:eastAsia="宋体"/>
                <w:bCs/>
                <w:color w:val="auto"/>
                <w:kern w:val="0"/>
                <w:sz w:val="24"/>
                <w:lang w:val="en-US" w:eastAsia="zh-CN"/>
              </w:rPr>
              <w:t>酸菜发酵废水产生量为</w:t>
            </w:r>
            <w:r>
              <w:rPr>
                <w:rFonts w:hint="eastAsia"/>
                <w:bCs/>
                <w:color w:val="000000" w:themeColor="text1"/>
                <w:kern w:val="0"/>
                <w:sz w:val="24"/>
                <w:lang w:val="en-US" w:eastAsia="zh-CN"/>
                <w14:textFill>
                  <w14:solidFill>
                    <w14:schemeClr w14:val="tx1"/>
                  </w14:solidFill>
                </w14:textFill>
              </w:rPr>
              <w:t>154</w:t>
            </w:r>
            <w:r>
              <w:rPr>
                <w:rFonts w:hint="eastAsia"/>
                <w:bCs/>
                <w:color w:val="auto"/>
                <w:kern w:val="0"/>
                <w:sz w:val="24"/>
                <w:vertAlign w:val="baseline"/>
                <w:lang w:val="en-US" w:eastAsia="zh-CN"/>
              </w:rPr>
              <w:t>m</w:t>
            </w:r>
            <w:r>
              <w:rPr>
                <w:rFonts w:hint="eastAsia"/>
                <w:bCs/>
                <w:color w:val="auto"/>
                <w:kern w:val="0"/>
                <w:sz w:val="24"/>
                <w:vertAlign w:val="superscript"/>
                <w:lang w:val="en-US" w:eastAsia="zh-CN"/>
              </w:rPr>
              <w:t>3</w:t>
            </w:r>
            <w:r>
              <w:rPr>
                <w:rFonts w:hint="eastAsia" w:eastAsia="宋体"/>
                <w:bCs/>
                <w:color w:val="auto"/>
                <w:kern w:val="0"/>
                <w:sz w:val="24"/>
                <w:lang w:val="en-US" w:eastAsia="zh-CN"/>
              </w:rPr>
              <w:t>/a，</w:t>
            </w:r>
            <w:r>
              <w:rPr>
                <w:rFonts w:hint="eastAsia"/>
                <w:bCs/>
                <w:color w:val="auto"/>
                <w:kern w:val="0"/>
                <w:sz w:val="24"/>
                <w:lang w:val="en-US" w:eastAsia="zh-CN"/>
              </w:rPr>
              <w:t>发酵池</w:t>
            </w:r>
            <w:r>
              <w:rPr>
                <w:rFonts w:hint="eastAsia" w:eastAsia="宋体"/>
                <w:bCs/>
                <w:color w:val="auto"/>
                <w:kern w:val="0"/>
                <w:sz w:val="24"/>
                <w:lang w:val="en-US" w:eastAsia="zh-CN"/>
              </w:rPr>
              <w:t>开</w:t>
            </w:r>
            <w:r>
              <w:rPr>
                <w:rFonts w:hint="eastAsia"/>
                <w:bCs/>
                <w:color w:val="auto"/>
                <w:kern w:val="0"/>
                <w:sz w:val="24"/>
                <w:lang w:val="en-US" w:eastAsia="zh-CN"/>
              </w:rPr>
              <w:t>池</w:t>
            </w:r>
            <w:r>
              <w:rPr>
                <w:rFonts w:hint="eastAsia" w:eastAsia="宋体"/>
                <w:bCs/>
                <w:color w:val="auto"/>
                <w:kern w:val="0"/>
                <w:sz w:val="24"/>
                <w:lang w:val="en-US" w:eastAsia="zh-CN"/>
              </w:rPr>
              <w:t>后，将酸菜发酵废水收集至</w:t>
            </w:r>
            <w:r>
              <w:rPr>
                <w:rFonts w:hint="eastAsia"/>
                <w:bCs/>
                <w:color w:val="auto"/>
                <w:kern w:val="0"/>
                <w:sz w:val="24"/>
                <w:lang w:val="en-US" w:eastAsia="zh-CN"/>
              </w:rPr>
              <w:t>3#废水储罐</w:t>
            </w:r>
            <w:r>
              <w:rPr>
                <w:rFonts w:hint="eastAsia" w:eastAsia="宋体"/>
                <w:bCs/>
                <w:color w:val="auto"/>
                <w:kern w:val="0"/>
                <w:sz w:val="24"/>
                <w:lang w:val="en-US" w:eastAsia="zh-CN"/>
              </w:rPr>
              <w:t>，定期拉运至蒙苏经济开发区零碳产业园工业污水处理厂处理，不外排。</w:t>
            </w:r>
          </w:p>
          <w:p w14:paraId="671FDFC9">
            <w:pPr>
              <w:adjustRightInd w:val="0"/>
              <w:snapToGrid w:val="0"/>
              <w:spacing w:line="360" w:lineRule="auto"/>
              <w:ind w:firstLine="480" w:firstLineChars="200"/>
              <w:jc w:val="left"/>
              <w:rPr>
                <w:rFonts w:hint="default" w:eastAsia="宋体"/>
                <w:bCs/>
                <w:color w:val="auto"/>
                <w:kern w:val="0"/>
                <w:sz w:val="24"/>
                <w:lang w:val="en-US" w:eastAsia="zh-CN"/>
              </w:rPr>
            </w:pPr>
            <w:r>
              <w:rPr>
                <w:rFonts w:hint="eastAsia" w:eastAsia="宋体"/>
                <w:bCs/>
                <w:color w:val="auto"/>
                <w:kern w:val="0"/>
                <w:sz w:val="24"/>
                <w:lang w:val="en-US" w:eastAsia="zh-CN"/>
              </w:rPr>
              <w:t>蒙苏经济开发区零碳产业园工业污水处理厂位于鄂尔多斯市蒙苏经济开发区江苏产业园，鄂尔多斯市生态环境局于20</w:t>
            </w:r>
            <w:r>
              <w:rPr>
                <w:rFonts w:hint="eastAsia"/>
                <w:bCs/>
                <w:color w:val="auto"/>
                <w:kern w:val="0"/>
                <w:sz w:val="24"/>
                <w:lang w:val="en-US" w:eastAsia="zh-CN"/>
              </w:rPr>
              <w:t>23</w:t>
            </w:r>
            <w:r>
              <w:rPr>
                <w:rFonts w:hint="eastAsia" w:eastAsia="宋体"/>
                <w:bCs/>
                <w:color w:val="auto"/>
                <w:kern w:val="0"/>
                <w:sz w:val="24"/>
                <w:lang w:val="en-US" w:eastAsia="zh-CN"/>
              </w:rPr>
              <w:t>年</w:t>
            </w:r>
            <w:r>
              <w:rPr>
                <w:rFonts w:hint="eastAsia"/>
                <w:bCs/>
                <w:color w:val="auto"/>
                <w:kern w:val="0"/>
                <w:sz w:val="24"/>
                <w:lang w:val="en-US" w:eastAsia="zh-CN"/>
              </w:rPr>
              <w:t>7</w:t>
            </w:r>
            <w:r>
              <w:rPr>
                <w:rFonts w:hint="eastAsia" w:eastAsia="宋体"/>
                <w:bCs/>
                <w:color w:val="auto"/>
                <w:kern w:val="0"/>
                <w:sz w:val="24"/>
                <w:lang w:val="en-US" w:eastAsia="zh-CN"/>
              </w:rPr>
              <w:t>月</w:t>
            </w:r>
            <w:r>
              <w:rPr>
                <w:rFonts w:hint="eastAsia"/>
                <w:bCs/>
                <w:color w:val="auto"/>
                <w:kern w:val="0"/>
                <w:sz w:val="24"/>
                <w:lang w:val="en-US" w:eastAsia="zh-CN"/>
              </w:rPr>
              <w:t>5</w:t>
            </w:r>
            <w:r>
              <w:rPr>
                <w:rFonts w:hint="eastAsia" w:eastAsia="宋体"/>
                <w:bCs/>
                <w:color w:val="auto"/>
                <w:kern w:val="0"/>
                <w:sz w:val="24"/>
                <w:lang w:val="en-US" w:eastAsia="zh-CN"/>
              </w:rPr>
              <w:t>日以鄂环审字〔2023〕147号文对《鄂尔多斯蒙苏经济开发区零碳产业园工业污水处理厂及水资源再生利用项目环境影响报告书》</w:t>
            </w:r>
            <w:r>
              <w:rPr>
                <w:rFonts w:hint="eastAsia"/>
                <w:bCs/>
                <w:color w:val="auto"/>
                <w:kern w:val="0"/>
                <w:sz w:val="24"/>
                <w:lang w:val="en-US" w:eastAsia="zh-CN"/>
              </w:rPr>
              <w:t>作</w:t>
            </w:r>
            <w:r>
              <w:rPr>
                <w:rFonts w:hint="eastAsia" w:eastAsia="宋体"/>
                <w:bCs/>
                <w:color w:val="auto"/>
                <w:kern w:val="0"/>
                <w:sz w:val="24"/>
                <w:lang w:val="en-US" w:eastAsia="zh-CN"/>
              </w:rPr>
              <w:t>出了批复</w:t>
            </w:r>
            <w:r>
              <w:rPr>
                <w:rFonts w:hint="eastAsia"/>
                <w:bCs/>
                <w:color w:val="auto"/>
                <w:kern w:val="0"/>
                <w:sz w:val="24"/>
                <w:highlight w:val="none"/>
                <w:lang w:val="en-US" w:eastAsia="zh-CN"/>
              </w:rPr>
              <w:t>。该污水处理厂</w:t>
            </w:r>
            <w:r>
              <w:rPr>
                <w:rFonts w:hint="eastAsia"/>
                <w:bCs/>
                <w:color w:val="auto"/>
                <w:kern w:val="0"/>
                <w:sz w:val="24"/>
              </w:rPr>
              <w:t>主要接收江苏产业园区工业企业预处理后废水，处置规模为10万</w:t>
            </w:r>
            <w:r>
              <w:rPr>
                <w:rFonts w:hint="eastAsia"/>
                <w:bCs/>
                <w:color w:val="auto"/>
                <w:kern w:val="0"/>
                <w:sz w:val="24"/>
                <w:vertAlign w:val="baseline"/>
                <w:lang w:val="en-US" w:eastAsia="zh-CN"/>
              </w:rPr>
              <w:t>m</w:t>
            </w:r>
            <w:r>
              <w:rPr>
                <w:rFonts w:hint="eastAsia"/>
                <w:bCs/>
                <w:color w:val="auto"/>
                <w:kern w:val="0"/>
                <w:sz w:val="24"/>
                <w:vertAlign w:val="superscript"/>
                <w:lang w:val="en-US" w:eastAsia="zh-CN"/>
              </w:rPr>
              <w:t>3</w:t>
            </w:r>
            <w:r>
              <w:rPr>
                <w:rFonts w:hint="eastAsia"/>
                <w:bCs/>
                <w:color w:val="auto"/>
                <w:kern w:val="0"/>
                <w:sz w:val="24"/>
                <w:lang w:val="en-US" w:eastAsia="zh-CN"/>
              </w:rPr>
              <w:t>/d</w:t>
            </w:r>
            <w:r>
              <w:rPr>
                <w:rFonts w:hint="eastAsia"/>
                <w:bCs/>
                <w:color w:val="auto"/>
                <w:kern w:val="0"/>
                <w:sz w:val="24"/>
              </w:rPr>
              <w:t>，包括两套单独处理系统，一套6万</w:t>
            </w:r>
            <w:r>
              <w:rPr>
                <w:rFonts w:hint="eastAsia"/>
                <w:bCs/>
                <w:color w:val="auto"/>
                <w:kern w:val="0"/>
                <w:sz w:val="24"/>
                <w:vertAlign w:val="baseline"/>
                <w:lang w:val="en-US" w:eastAsia="zh-CN"/>
              </w:rPr>
              <w:t>m</w:t>
            </w:r>
            <w:r>
              <w:rPr>
                <w:rFonts w:hint="eastAsia"/>
                <w:bCs/>
                <w:color w:val="auto"/>
                <w:kern w:val="0"/>
                <w:sz w:val="24"/>
                <w:vertAlign w:val="superscript"/>
                <w:lang w:val="en-US" w:eastAsia="zh-CN"/>
              </w:rPr>
              <w:t>3</w:t>
            </w:r>
            <w:r>
              <w:rPr>
                <w:rFonts w:hint="eastAsia"/>
                <w:bCs/>
                <w:color w:val="auto"/>
                <w:kern w:val="0"/>
                <w:sz w:val="24"/>
                <w:lang w:val="en-US" w:eastAsia="zh-CN"/>
              </w:rPr>
              <w:t>/d</w:t>
            </w:r>
            <w:r>
              <w:rPr>
                <w:rFonts w:hint="eastAsia"/>
                <w:bCs/>
                <w:color w:val="auto"/>
                <w:kern w:val="0"/>
                <w:sz w:val="24"/>
              </w:rPr>
              <w:t>，用于处理鄂尔多斯市隆基光伏科技股份有限公司年产30GW单晶电池项目和鄂尔多斯市隆基硅材料有限公司年产46GW单晶硅棒和切片项目预处理后废水，一套4万</w:t>
            </w:r>
            <w:r>
              <w:rPr>
                <w:rFonts w:hint="eastAsia"/>
                <w:bCs/>
                <w:color w:val="auto"/>
                <w:kern w:val="0"/>
                <w:sz w:val="24"/>
                <w:lang w:val="en-US" w:eastAsia="zh-CN"/>
              </w:rPr>
              <w:t>m</w:t>
            </w:r>
            <w:r>
              <w:rPr>
                <w:rFonts w:hint="eastAsia"/>
                <w:bCs/>
                <w:color w:val="auto"/>
                <w:kern w:val="0"/>
                <w:sz w:val="24"/>
                <w:vertAlign w:val="superscript"/>
                <w:lang w:val="en-US" w:eastAsia="zh-CN"/>
              </w:rPr>
              <w:t>3</w:t>
            </w:r>
            <w:r>
              <w:rPr>
                <w:rFonts w:hint="eastAsia"/>
                <w:bCs/>
                <w:color w:val="auto"/>
                <w:kern w:val="0"/>
                <w:sz w:val="24"/>
              </w:rPr>
              <w:t>/</w:t>
            </w:r>
            <w:r>
              <w:rPr>
                <w:rFonts w:hint="eastAsia"/>
                <w:bCs/>
                <w:color w:val="auto"/>
                <w:kern w:val="0"/>
                <w:sz w:val="24"/>
                <w:lang w:val="en-US" w:eastAsia="zh-CN"/>
              </w:rPr>
              <w:t>d</w:t>
            </w:r>
            <w:r>
              <w:rPr>
                <w:rFonts w:hint="eastAsia"/>
                <w:bCs/>
                <w:color w:val="auto"/>
                <w:kern w:val="0"/>
                <w:sz w:val="24"/>
              </w:rPr>
              <w:t>，用于处理园区其他企业废水。</w:t>
            </w:r>
            <w:r>
              <w:rPr>
                <w:rFonts w:hint="eastAsia"/>
                <w:bCs/>
                <w:color w:val="auto"/>
                <w:kern w:val="0"/>
                <w:sz w:val="24"/>
                <w:lang w:val="en-US" w:eastAsia="zh-CN"/>
              </w:rPr>
              <w:t>该污水处理系统可处理浓盐水。</w:t>
            </w:r>
            <w:r>
              <w:rPr>
                <w:rFonts w:hint="eastAsia"/>
                <w:bCs/>
                <w:color w:val="auto"/>
                <w:kern w:val="0"/>
                <w:sz w:val="24"/>
                <w:highlight w:val="none"/>
                <w:lang w:val="en-US" w:eastAsia="zh-CN"/>
              </w:rPr>
              <w:t>2024</w:t>
            </w:r>
            <w:r>
              <w:rPr>
                <w:rFonts w:hint="eastAsia" w:eastAsia="宋体"/>
                <w:bCs/>
                <w:color w:val="auto"/>
                <w:kern w:val="0"/>
                <w:sz w:val="24"/>
                <w:highlight w:val="none"/>
                <w:lang w:val="en-US" w:eastAsia="zh-CN"/>
              </w:rPr>
              <w:t>年</w:t>
            </w:r>
            <w:r>
              <w:rPr>
                <w:rFonts w:hint="eastAsia"/>
                <w:bCs/>
                <w:color w:val="auto"/>
                <w:kern w:val="0"/>
                <w:sz w:val="24"/>
                <w:highlight w:val="none"/>
                <w:lang w:val="en-US" w:eastAsia="zh-CN"/>
              </w:rPr>
              <w:t>12</w:t>
            </w:r>
            <w:r>
              <w:rPr>
                <w:rFonts w:hint="eastAsia" w:eastAsia="宋体"/>
                <w:bCs/>
                <w:color w:val="auto"/>
                <w:kern w:val="0"/>
                <w:sz w:val="24"/>
                <w:highlight w:val="none"/>
                <w:lang w:val="en-US" w:eastAsia="zh-CN"/>
              </w:rPr>
              <w:t>月</w:t>
            </w:r>
            <w:r>
              <w:rPr>
                <w:rFonts w:hint="eastAsia"/>
                <w:bCs/>
                <w:color w:val="auto"/>
                <w:kern w:val="0"/>
                <w:sz w:val="24"/>
                <w:highlight w:val="none"/>
                <w:lang w:val="en-US" w:eastAsia="zh-CN"/>
              </w:rPr>
              <w:t>27</w:t>
            </w:r>
            <w:r>
              <w:rPr>
                <w:rFonts w:hint="eastAsia" w:eastAsia="宋体"/>
                <w:bCs/>
                <w:color w:val="auto"/>
                <w:kern w:val="0"/>
                <w:sz w:val="24"/>
                <w:highlight w:val="none"/>
                <w:lang w:val="en-US" w:eastAsia="zh-CN"/>
              </w:rPr>
              <w:t>日</w:t>
            </w:r>
            <w:r>
              <w:rPr>
                <w:rFonts w:hint="eastAsia"/>
                <w:bCs/>
                <w:color w:val="auto"/>
                <w:kern w:val="0"/>
                <w:sz w:val="24"/>
                <w:highlight w:val="none"/>
                <w:lang w:val="en-US" w:eastAsia="zh-CN"/>
              </w:rPr>
              <w:t>对6万</w:t>
            </w:r>
            <w:r>
              <w:rPr>
                <w:rFonts w:hint="eastAsia" w:ascii="Times New Roman" w:eastAsia="宋体"/>
                <w:bCs/>
                <w:color w:val="auto"/>
                <w:kern w:val="0"/>
                <w:sz w:val="24"/>
                <w:lang w:val="en-US" w:eastAsia="zh-CN"/>
              </w:rPr>
              <w:t>m</w:t>
            </w:r>
            <w:r>
              <w:rPr>
                <w:rFonts w:hint="eastAsia" w:ascii="Times New Roman" w:eastAsia="宋体"/>
                <w:bCs/>
                <w:color w:val="auto"/>
                <w:kern w:val="0"/>
                <w:sz w:val="24"/>
                <w:vertAlign w:val="superscript"/>
                <w:lang w:val="en-US" w:eastAsia="zh-CN"/>
              </w:rPr>
              <w:t>3</w:t>
            </w:r>
            <w:r>
              <w:rPr>
                <w:rFonts w:hint="eastAsia"/>
                <w:bCs/>
                <w:color w:val="auto"/>
                <w:kern w:val="0"/>
                <w:sz w:val="24"/>
              </w:rPr>
              <w:t>/</w:t>
            </w:r>
            <w:r>
              <w:rPr>
                <w:rFonts w:hint="eastAsia" w:ascii="Times New Roman" w:eastAsia="宋体"/>
                <w:bCs/>
                <w:color w:val="auto"/>
                <w:kern w:val="0"/>
                <w:sz w:val="24"/>
                <w:lang w:val="en-US" w:eastAsia="zh-CN"/>
              </w:rPr>
              <w:t>d</w:t>
            </w:r>
            <w:r>
              <w:rPr>
                <w:rFonts w:hint="eastAsia"/>
                <w:bCs/>
                <w:color w:val="auto"/>
                <w:kern w:val="0"/>
                <w:sz w:val="24"/>
                <w:highlight w:val="none"/>
                <w:lang w:val="en-US" w:eastAsia="zh-CN"/>
              </w:rPr>
              <w:t>吨隆基专用废水处理系统工程</w:t>
            </w:r>
            <w:r>
              <w:rPr>
                <w:rFonts w:hint="eastAsia" w:eastAsia="宋体"/>
                <w:bCs/>
                <w:color w:val="auto"/>
                <w:kern w:val="0"/>
                <w:sz w:val="24"/>
                <w:highlight w:val="none"/>
                <w:lang w:val="en-US" w:eastAsia="zh-CN"/>
              </w:rPr>
              <w:t>进行了项目竣工环境保护自主验收。</w:t>
            </w:r>
            <w:r>
              <w:rPr>
                <w:rFonts w:hint="eastAsia"/>
                <w:bCs/>
                <w:color w:val="auto"/>
                <w:kern w:val="0"/>
                <w:sz w:val="24"/>
              </w:rPr>
              <w:t>4万</w:t>
            </w:r>
            <w:r>
              <w:rPr>
                <w:rFonts w:hint="eastAsia" w:ascii="Times New Roman" w:eastAsia="宋体"/>
                <w:bCs/>
                <w:color w:val="auto"/>
                <w:kern w:val="0"/>
                <w:sz w:val="24"/>
                <w:lang w:val="en-US" w:eastAsia="zh-CN"/>
              </w:rPr>
              <w:t>m</w:t>
            </w:r>
            <w:r>
              <w:rPr>
                <w:rFonts w:hint="eastAsia" w:ascii="Times New Roman" w:eastAsia="宋体"/>
                <w:bCs/>
                <w:color w:val="auto"/>
                <w:kern w:val="0"/>
                <w:sz w:val="24"/>
                <w:vertAlign w:val="superscript"/>
                <w:lang w:val="en-US" w:eastAsia="zh-CN"/>
              </w:rPr>
              <w:t>3</w:t>
            </w:r>
            <w:r>
              <w:rPr>
                <w:rFonts w:hint="eastAsia"/>
                <w:bCs/>
                <w:color w:val="auto"/>
                <w:kern w:val="0"/>
                <w:sz w:val="24"/>
              </w:rPr>
              <w:t>/</w:t>
            </w:r>
            <w:r>
              <w:rPr>
                <w:rFonts w:hint="eastAsia" w:ascii="Times New Roman" w:eastAsia="宋体"/>
                <w:bCs/>
                <w:color w:val="auto"/>
                <w:kern w:val="0"/>
                <w:sz w:val="24"/>
                <w:lang w:val="en-US" w:eastAsia="zh-CN"/>
              </w:rPr>
              <w:t>d园区其他企业废水处理系统工程</w:t>
            </w:r>
            <w:r>
              <w:rPr>
                <w:rFonts w:hint="eastAsia"/>
                <w:bCs/>
                <w:color w:val="auto"/>
                <w:kern w:val="0"/>
                <w:sz w:val="24"/>
                <w:lang w:val="en-US" w:eastAsia="zh-CN"/>
              </w:rPr>
              <w:t>已建设完成，并在试运行中，近期将组织自主验收。</w:t>
            </w:r>
          </w:p>
          <w:p w14:paraId="3624C3D0">
            <w:pPr>
              <w:adjustRightInd w:val="0"/>
              <w:snapToGrid w:val="0"/>
              <w:spacing w:line="360" w:lineRule="auto"/>
              <w:ind w:firstLine="480" w:firstLineChars="200"/>
              <w:jc w:val="left"/>
              <w:rPr>
                <w:rFonts w:hint="default"/>
                <w:bCs/>
                <w:color w:val="auto"/>
                <w:kern w:val="0"/>
                <w:sz w:val="24"/>
                <w:lang w:val="en-US" w:eastAsia="zh-CN"/>
              </w:rPr>
            </w:pPr>
            <w:r>
              <w:rPr>
                <w:rFonts w:hint="eastAsia"/>
                <w:bCs/>
                <w:color w:val="auto"/>
                <w:kern w:val="0"/>
                <w:sz w:val="24"/>
                <w:lang w:val="en-US" w:eastAsia="zh-CN"/>
              </w:rPr>
              <w:t>根据《鄂尔多斯蒙苏经济开发区零碳产业园工业污水处理厂及水资源再生利用项目环境影响报告书》，</w:t>
            </w:r>
            <w:r>
              <w:rPr>
                <w:rFonts w:hint="eastAsia"/>
                <w:bCs/>
                <w:color w:val="auto"/>
                <w:kern w:val="0"/>
                <w:sz w:val="24"/>
              </w:rPr>
              <w:t>隆基企业废水最大排放量为6万</w:t>
            </w:r>
            <w:r>
              <w:rPr>
                <w:rFonts w:hint="eastAsia"/>
                <w:bCs/>
                <w:color w:val="auto"/>
                <w:kern w:val="0"/>
                <w:sz w:val="24"/>
                <w:vertAlign w:val="baseline"/>
                <w:lang w:eastAsia="zh-CN"/>
              </w:rPr>
              <w:t>m</w:t>
            </w:r>
            <w:r>
              <w:rPr>
                <w:rFonts w:hint="eastAsia"/>
                <w:bCs/>
                <w:color w:val="auto"/>
                <w:kern w:val="0"/>
                <w:sz w:val="24"/>
              </w:rPr>
              <w:t>³/d</w:t>
            </w:r>
            <w:r>
              <w:rPr>
                <w:rFonts w:hint="eastAsia"/>
                <w:bCs/>
                <w:color w:val="auto"/>
                <w:kern w:val="0"/>
                <w:sz w:val="24"/>
                <w:lang w:eastAsia="zh-CN"/>
              </w:rPr>
              <w:t>、其他企业废水量共计1.51万</w:t>
            </w:r>
            <w:r>
              <w:rPr>
                <w:rFonts w:hint="eastAsia"/>
                <w:bCs/>
                <w:color w:val="auto"/>
                <w:kern w:val="0"/>
                <w:sz w:val="24"/>
                <w:vertAlign w:val="baseline"/>
                <w:lang w:eastAsia="zh-CN"/>
              </w:rPr>
              <w:t>m</w:t>
            </w:r>
            <w:r>
              <w:rPr>
                <w:rFonts w:hint="eastAsia"/>
                <w:bCs/>
                <w:color w:val="auto"/>
                <w:kern w:val="0"/>
                <w:sz w:val="24"/>
                <w:lang w:eastAsia="zh-CN"/>
              </w:rPr>
              <w:t>³/d，</w:t>
            </w:r>
            <w:r>
              <w:rPr>
                <w:rFonts w:hint="eastAsia"/>
                <w:bCs/>
                <w:color w:val="auto"/>
                <w:kern w:val="0"/>
                <w:sz w:val="24"/>
                <w:lang w:val="en-US" w:eastAsia="zh-CN"/>
              </w:rPr>
              <w:t>故有足够的剩余处理污水的能力接纳本项目。同时，建设单位与伊金霍洛旗澎源供水有限责任公司（蒙苏经济开发区零碳产业园工业污水处理厂运营单位）已签订《污水处理协议》，同意接收处理本项目废水。本项目酸菜发酵废水量较小，前期可由</w:t>
            </w:r>
            <w:r>
              <w:rPr>
                <w:rFonts w:hint="eastAsia" w:ascii="Times New Roman" w:eastAsia="宋体"/>
                <w:bCs/>
                <w:color w:val="auto"/>
                <w:kern w:val="0"/>
                <w:sz w:val="24"/>
                <w:highlight w:val="none"/>
                <w:lang w:val="en-US" w:eastAsia="zh-CN"/>
              </w:rPr>
              <w:t>6万</w:t>
            </w:r>
            <w:r>
              <w:rPr>
                <w:rFonts w:hint="eastAsia" w:ascii="Times New Roman" w:eastAsia="宋体"/>
                <w:bCs/>
                <w:color w:val="auto"/>
                <w:kern w:val="0"/>
                <w:sz w:val="24"/>
                <w:lang w:val="en-US" w:eastAsia="zh-CN"/>
              </w:rPr>
              <w:t>m</w:t>
            </w:r>
            <w:r>
              <w:rPr>
                <w:rFonts w:hint="eastAsia" w:ascii="Times New Roman" w:eastAsia="宋体"/>
                <w:bCs/>
                <w:color w:val="auto"/>
                <w:kern w:val="0"/>
                <w:sz w:val="24"/>
                <w:vertAlign w:val="superscript"/>
                <w:lang w:val="en-US" w:eastAsia="zh-CN"/>
              </w:rPr>
              <w:t>3</w:t>
            </w:r>
            <w:r>
              <w:rPr>
                <w:rFonts w:hint="eastAsia"/>
                <w:bCs/>
                <w:color w:val="auto"/>
                <w:kern w:val="0"/>
                <w:sz w:val="24"/>
              </w:rPr>
              <w:t>/</w:t>
            </w:r>
            <w:r>
              <w:rPr>
                <w:rFonts w:hint="eastAsia" w:ascii="Times New Roman" w:eastAsia="宋体"/>
                <w:bCs/>
                <w:color w:val="auto"/>
                <w:kern w:val="0"/>
                <w:sz w:val="24"/>
                <w:lang w:val="en-US" w:eastAsia="zh-CN"/>
              </w:rPr>
              <w:t>d</w:t>
            </w:r>
            <w:r>
              <w:rPr>
                <w:rFonts w:hint="eastAsia"/>
                <w:bCs/>
                <w:color w:val="auto"/>
                <w:kern w:val="0"/>
                <w:sz w:val="24"/>
                <w:lang w:val="en-US" w:eastAsia="zh-CN"/>
              </w:rPr>
              <w:t>隆基废水处理系统处理，待</w:t>
            </w:r>
            <w:r>
              <w:rPr>
                <w:rFonts w:hint="eastAsia"/>
                <w:bCs/>
                <w:color w:val="auto"/>
                <w:kern w:val="0"/>
                <w:sz w:val="24"/>
                <w:highlight w:val="none"/>
                <w:lang w:val="en-US" w:eastAsia="zh-CN"/>
              </w:rPr>
              <w:t>4</w:t>
            </w:r>
            <w:r>
              <w:rPr>
                <w:rFonts w:hint="eastAsia" w:ascii="Times New Roman" w:eastAsia="宋体"/>
                <w:bCs/>
                <w:color w:val="auto"/>
                <w:kern w:val="0"/>
                <w:sz w:val="24"/>
                <w:highlight w:val="none"/>
                <w:lang w:val="en-US" w:eastAsia="zh-CN"/>
              </w:rPr>
              <w:t>万</w:t>
            </w:r>
            <w:r>
              <w:rPr>
                <w:rFonts w:hint="eastAsia" w:ascii="Times New Roman" w:eastAsia="宋体"/>
                <w:bCs/>
                <w:color w:val="auto"/>
                <w:kern w:val="0"/>
                <w:sz w:val="24"/>
                <w:lang w:val="en-US" w:eastAsia="zh-CN"/>
              </w:rPr>
              <w:t>m</w:t>
            </w:r>
            <w:r>
              <w:rPr>
                <w:rFonts w:hint="eastAsia"/>
                <w:bCs/>
                <w:color w:val="auto"/>
                <w:kern w:val="0"/>
                <w:sz w:val="24"/>
                <w:vertAlign w:val="superscript"/>
                <w:lang w:val="en-US" w:eastAsia="zh-CN"/>
              </w:rPr>
              <w:t>4</w:t>
            </w:r>
            <w:r>
              <w:rPr>
                <w:rFonts w:hint="eastAsia"/>
                <w:bCs/>
                <w:color w:val="auto"/>
                <w:kern w:val="0"/>
                <w:sz w:val="24"/>
              </w:rPr>
              <w:t>/</w:t>
            </w:r>
            <w:r>
              <w:rPr>
                <w:rFonts w:hint="eastAsia" w:ascii="Times New Roman" w:eastAsia="宋体"/>
                <w:bCs/>
                <w:color w:val="auto"/>
                <w:kern w:val="0"/>
                <w:sz w:val="24"/>
                <w:lang w:val="en-US" w:eastAsia="zh-CN"/>
              </w:rPr>
              <w:t>d园区其他企业废水处理系统工程</w:t>
            </w:r>
            <w:r>
              <w:rPr>
                <w:rFonts w:hint="eastAsia"/>
                <w:bCs/>
                <w:color w:val="auto"/>
                <w:kern w:val="0"/>
                <w:sz w:val="24"/>
                <w:lang w:val="en-US" w:eastAsia="zh-CN"/>
              </w:rPr>
              <w:t>完成验收后，进入该系统处理。</w:t>
            </w:r>
          </w:p>
          <w:p w14:paraId="72242D1D">
            <w:pPr>
              <w:adjustRightInd w:val="0"/>
              <w:snapToGrid w:val="0"/>
              <w:spacing w:line="360" w:lineRule="auto"/>
              <w:ind w:firstLine="480" w:firstLineChars="200"/>
              <w:jc w:val="left"/>
              <w:rPr>
                <w:rFonts w:hint="default" w:eastAsia="宋体"/>
                <w:bCs/>
                <w:color w:val="auto"/>
                <w:kern w:val="0"/>
                <w:sz w:val="24"/>
                <w:lang w:val="en-US" w:eastAsia="zh-CN"/>
              </w:rPr>
            </w:pPr>
            <w:r>
              <w:rPr>
                <w:rFonts w:hint="eastAsia"/>
                <w:bCs/>
                <w:color w:val="auto"/>
                <w:kern w:val="0"/>
                <w:sz w:val="24"/>
                <w:lang w:val="en-US" w:eastAsia="zh-CN"/>
              </w:rPr>
              <w:t>综上所述，酸菜发酵废水进入蒙苏经济开发区零碳产业园工业污水处理厂可行。</w:t>
            </w:r>
          </w:p>
          <w:p w14:paraId="46A6EC91">
            <w:pPr>
              <w:adjustRightInd w:val="0"/>
              <w:snapToGrid w:val="0"/>
              <w:spacing w:line="360" w:lineRule="auto"/>
              <w:rPr>
                <w:b/>
                <w:color w:val="auto"/>
                <w:kern w:val="0"/>
                <w:sz w:val="24"/>
              </w:rPr>
            </w:pPr>
            <w:r>
              <w:rPr>
                <w:b/>
                <w:color w:val="auto"/>
                <w:kern w:val="0"/>
                <w:sz w:val="24"/>
              </w:rPr>
              <w:t>3</w:t>
            </w:r>
            <w:r>
              <w:rPr>
                <w:rFonts w:hint="eastAsia"/>
                <w:b/>
                <w:color w:val="auto"/>
                <w:kern w:val="0"/>
                <w:sz w:val="24"/>
              </w:rPr>
              <w:t>.</w:t>
            </w:r>
            <w:r>
              <w:rPr>
                <w:b/>
                <w:color w:val="auto"/>
                <w:kern w:val="0"/>
                <w:sz w:val="24"/>
              </w:rPr>
              <w:t>噪声</w:t>
            </w:r>
          </w:p>
          <w:p w14:paraId="0CCE497A">
            <w:pPr>
              <w:adjustRightInd w:val="0"/>
              <w:snapToGrid w:val="0"/>
              <w:spacing w:line="360" w:lineRule="auto"/>
              <w:rPr>
                <w:b/>
                <w:bCs/>
                <w:color w:val="auto"/>
                <w:sz w:val="24"/>
              </w:rPr>
            </w:pPr>
            <w:r>
              <w:rPr>
                <w:b/>
                <w:bCs/>
                <w:color w:val="auto"/>
                <w:sz w:val="24"/>
              </w:rPr>
              <w:t>3.1噪声源强及治理措施</w:t>
            </w:r>
          </w:p>
          <w:p w14:paraId="60E575C8">
            <w:pPr>
              <w:spacing w:line="360" w:lineRule="auto"/>
              <w:ind w:firstLine="480" w:firstLineChars="200"/>
              <w:rPr>
                <w:bCs/>
                <w:color w:val="auto"/>
                <w:sz w:val="24"/>
              </w:rPr>
            </w:pPr>
            <w:r>
              <w:rPr>
                <w:bCs/>
                <w:color w:val="auto"/>
                <w:sz w:val="24"/>
              </w:rPr>
              <w:t>项目噪声主要来源于</w:t>
            </w:r>
            <w:r>
              <w:rPr>
                <w:rFonts w:hint="eastAsia"/>
                <w:bCs/>
                <w:color w:val="auto"/>
                <w:sz w:val="24"/>
                <w:lang w:val="en-US" w:eastAsia="zh-CN"/>
              </w:rPr>
              <w:t>提升机</w:t>
            </w:r>
            <w:r>
              <w:rPr>
                <w:bCs/>
                <w:color w:val="auto"/>
                <w:sz w:val="24"/>
              </w:rPr>
              <w:t>、</w:t>
            </w:r>
            <w:r>
              <w:rPr>
                <w:rFonts w:hint="eastAsia"/>
                <w:bCs/>
                <w:color w:val="auto"/>
                <w:sz w:val="24"/>
                <w:lang w:val="en-US" w:eastAsia="zh-CN"/>
              </w:rPr>
              <w:t>洗菜机、水泵</w:t>
            </w:r>
            <w:r>
              <w:rPr>
                <w:rFonts w:hint="eastAsia"/>
                <w:bCs/>
                <w:color w:val="auto"/>
                <w:sz w:val="24"/>
              </w:rPr>
              <w:t>等</w:t>
            </w:r>
            <w:r>
              <w:rPr>
                <w:rFonts w:hint="eastAsia"/>
                <w:bCs/>
                <w:color w:val="auto"/>
                <w:sz w:val="24"/>
                <w:lang w:val="en-US" w:eastAsia="zh-CN"/>
              </w:rPr>
              <w:t>设备</w:t>
            </w:r>
            <w:r>
              <w:rPr>
                <w:bCs/>
                <w:color w:val="auto"/>
                <w:sz w:val="24"/>
              </w:rPr>
              <w:t>产生的噪声。根据设计，项目各噪声设备采取的降噪措施，对噪声有一定衰减</w:t>
            </w:r>
            <w:r>
              <w:rPr>
                <w:rFonts w:hint="eastAsia"/>
                <w:bCs/>
                <w:color w:val="auto"/>
                <w:sz w:val="24"/>
                <w:lang w:eastAsia="zh-CN"/>
              </w:rPr>
              <w:t>。</w:t>
            </w:r>
            <w:r>
              <w:rPr>
                <w:bCs/>
                <w:color w:val="auto"/>
                <w:sz w:val="24"/>
              </w:rPr>
              <w:t>详见表4-</w:t>
            </w:r>
            <w:r>
              <w:rPr>
                <w:rFonts w:hint="eastAsia"/>
                <w:bCs/>
                <w:color w:val="auto"/>
                <w:sz w:val="24"/>
                <w:lang w:val="en-US" w:eastAsia="zh-CN"/>
              </w:rPr>
              <w:t>3</w:t>
            </w:r>
            <w:r>
              <w:rPr>
                <w:bCs/>
                <w:color w:val="auto"/>
                <w:sz w:val="24"/>
              </w:rPr>
              <w:t>。</w:t>
            </w:r>
          </w:p>
          <w:p w14:paraId="004BCCB0">
            <w:pPr>
              <w:spacing w:line="360" w:lineRule="auto"/>
              <w:ind w:firstLine="480" w:firstLineChars="200"/>
              <w:rPr>
                <w:bCs/>
                <w:color w:val="auto"/>
                <w:sz w:val="24"/>
              </w:rPr>
            </w:pPr>
          </w:p>
          <w:p w14:paraId="5A9A11C7">
            <w:pPr>
              <w:pStyle w:val="26"/>
              <w:jc w:val="center"/>
              <w:rPr>
                <w:color w:val="auto"/>
              </w:rPr>
            </w:pPr>
            <w:r>
              <w:rPr>
                <w:color w:val="auto"/>
              </w:rPr>
              <w:t>表4-</w:t>
            </w:r>
            <w:r>
              <w:rPr>
                <w:rFonts w:hint="eastAsia"/>
                <w:color w:val="auto"/>
                <w:lang w:val="en-US" w:eastAsia="zh-CN"/>
              </w:rPr>
              <w:t xml:space="preserve">3 </w:t>
            </w:r>
            <w:r>
              <w:rPr>
                <w:color w:val="auto"/>
              </w:rPr>
              <w:t>各声源设备的噪声级</w:t>
            </w:r>
          </w:p>
          <w:tbl>
            <w:tblPr>
              <w:tblStyle w:val="17"/>
              <w:tblW w:w="80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1"/>
              <w:gridCol w:w="1577"/>
              <w:gridCol w:w="1577"/>
              <w:gridCol w:w="1746"/>
              <w:gridCol w:w="1767"/>
            </w:tblGrid>
            <w:tr w14:paraId="3934E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1" w:type="dxa"/>
                  <w:vAlign w:val="center"/>
                </w:tcPr>
                <w:p w14:paraId="63A8DE00">
                  <w:pPr>
                    <w:adjustRightInd w:val="0"/>
                    <w:spacing w:before="80" w:after="80"/>
                    <w:jc w:val="center"/>
                    <w:textAlignment w:val="baseline"/>
                    <w:rPr>
                      <w:b/>
                      <w:bCs/>
                      <w:color w:val="auto"/>
                      <w:kern w:val="0"/>
                      <w:szCs w:val="21"/>
                    </w:rPr>
                  </w:pPr>
                  <w:r>
                    <w:rPr>
                      <w:b/>
                      <w:bCs/>
                      <w:color w:val="auto"/>
                      <w:kern w:val="0"/>
                      <w:szCs w:val="21"/>
                    </w:rPr>
                    <w:t>设备名称</w:t>
                  </w:r>
                </w:p>
              </w:tc>
              <w:tc>
                <w:tcPr>
                  <w:tcW w:w="1577" w:type="dxa"/>
                  <w:shd w:val="clear" w:color="auto" w:fill="auto"/>
                  <w:vAlign w:val="center"/>
                </w:tcPr>
                <w:p w14:paraId="76164A53">
                  <w:pPr>
                    <w:adjustRightInd w:val="0"/>
                    <w:spacing w:before="80" w:after="80"/>
                    <w:jc w:val="center"/>
                    <w:textAlignment w:val="baseline"/>
                    <w:rPr>
                      <w:rFonts w:hint="default" w:ascii="Times New Roman" w:hAnsi="Times New Roman" w:eastAsia="宋体" w:cs="Times New Roman"/>
                      <w:b/>
                      <w:bCs/>
                      <w:color w:val="auto"/>
                      <w:kern w:val="0"/>
                      <w:sz w:val="21"/>
                      <w:szCs w:val="21"/>
                      <w:lang w:val="en-US" w:eastAsia="zh-CN" w:bidi="ar-SA"/>
                    </w:rPr>
                  </w:pPr>
                  <w:r>
                    <w:rPr>
                      <w:rFonts w:hint="eastAsia" w:cs="Times New Roman"/>
                      <w:b/>
                      <w:bCs/>
                      <w:color w:val="auto"/>
                      <w:kern w:val="0"/>
                      <w:sz w:val="21"/>
                      <w:szCs w:val="21"/>
                      <w:lang w:val="en-US" w:eastAsia="zh-CN" w:bidi="ar-SA"/>
                    </w:rPr>
                    <w:t>数量/台</w:t>
                  </w:r>
                </w:p>
              </w:tc>
              <w:tc>
                <w:tcPr>
                  <w:tcW w:w="1577" w:type="dxa"/>
                  <w:shd w:val="clear" w:color="auto" w:fill="auto"/>
                  <w:vAlign w:val="center"/>
                </w:tcPr>
                <w:p w14:paraId="09CC1A0C">
                  <w:pPr>
                    <w:adjustRightInd w:val="0"/>
                    <w:spacing w:before="80" w:after="80"/>
                    <w:jc w:val="center"/>
                    <w:textAlignment w:val="baseline"/>
                    <w:rPr>
                      <w:b/>
                      <w:bCs/>
                      <w:color w:val="auto"/>
                      <w:kern w:val="0"/>
                      <w:szCs w:val="21"/>
                    </w:rPr>
                  </w:pPr>
                  <w:r>
                    <w:rPr>
                      <w:b/>
                      <w:bCs/>
                      <w:color w:val="auto"/>
                      <w:kern w:val="0"/>
                      <w:szCs w:val="21"/>
                    </w:rPr>
                    <w:t>声级值</w:t>
                  </w:r>
                </w:p>
                <w:p w14:paraId="63D82B12">
                  <w:pPr>
                    <w:adjustRightInd w:val="0"/>
                    <w:spacing w:before="80" w:after="80"/>
                    <w:jc w:val="center"/>
                    <w:textAlignment w:val="baseline"/>
                    <w:rPr>
                      <w:rFonts w:ascii="Times New Roman" w:hAnsi="Times New Roman" w:eastAsia="宋体" w:cs="Times New Roman"/>
                      <w:b/>
                      <w:bCs/>
                      <w:color w:val="auto"/>
                      <w:kern w:val="0"/>
                      <w:sz w:val="21"/>
                      <w:szCs w:val="21"/>
                      <w:lang w:val="en-US" w:eastAsia="zh-CN" w:bidi="ar-SA"/>
                    </w:rPr>
                  </w:pPr>
                  <w:r>
                    <w:rPr>
                      <w:b/>
                      <w:bCs/>
                      <w:color w:val="auto"/>
                      <w:kern w:val="0"/>
                      <w:szCs w:val="21"/>
                    </w:rPr>
                    <w:t>dB</w:t>
                  </w:r>
                  <w:r>
                    <w:rPr>
                      <w:rFonts w:hint="eastAsia"/>
                      <w:b/>
                      <w:bCs/>
                      <w:color w:val="auto"/>
                      <w:kern w:val="0"/>
                      <w:szCs w:val="21"/>
                    </w:rPr>
                    <w:t>（</w:t>
                  </w:r>
                  <w:r>
                    <w:rPr>
                      <w:b/>
                      <w:bCs/>
                      <w:color w:val="auto"/>
                      <w:kern w:val="0"/>
                      <w:szCs w:val="21"/>
                    </w:rPr>
                    <w:t>A</w:t>
                  </w:r>
                  <w:r>
                    <w:rPr>
                      <w:rFonts w:hint="eastAsia"/>
                      <w:b/>
                      <w:bCs/>
                      <w:color w:val="auto"/>
                      <w:kern w:val="0"/>
                      <w:szCs w:val="21"/>
                    </w:rPr>
                    <w:t>）</w:t>
                  </w:r>
                </w:p>
              </w:tc>
              <w:tc>
                <w:tcPr>
                  <w:tcW w:w="1746" w:type="dxa"/>
                  <w:vAlign w:val="center"/>
                </w:tcPr>
                <w:p w14:paraId="17826672">
                  <w:pPr>
                    <w:adjustRightInd w:val="0"/>
                    <w:spacing w:before="80" w:after="80"/>
                    <w:jc w:val="center"/>
                    <w:textAlignment w:val="baseline"/>
                    <w:rPr>
                      <w:b/>
                      <w:bCs/>
                      <w:color w:val="auto"/>
                      <w:kern w:val="0"/>
                      <w:szCs w:val="21"/>
                    </w:rPr>
                  </w:pPr>
                  <w:r>
                    <w:rPr>
                      <w:b/>
                      <w:bCs/>
                      <w:color w:val="auto"/>
                      <w:kern w:val="0"/>
                      <w:szCs w:val="21"/>
                    </w:rPr>
                    <w:t>降噪措施</w:t>
                  </w:r>
                </w:p>
              </w:tc>
              <w:tc>
                <w:tcPr>
                  <w:tcW w:w="1767" w:type="dxa"/>
                  <w:vAlign w:val="center"/>
                </w:tcPr>
                <w:p w14:paraId="00A0F072">
                  <w:pPr>
                    <w:adjustRightInd w:val="0"/>
                    <w:spacing w:before="80" w:after="80"/>
                    <w:jc w:val="center"/>
                    <w:textAlignment w:val="baseline"/>
                    <w:rPr>
                      <w:b/>
                      <w:bCs/>
                      <w:color w:val="auto"/>
                      <w:kern w:val="0"/>
                      <w:szCs w:val="21"/>
                    </w:rPr>
                  </w:pPr>
                  <w:r>
                    <w:rPr>
                      <w:b/>
                      <w:bCs/>
                      <w:color w:val="auto"/>
                      <w:kern w:val="0"/>
                      <w:szCs w:val="21"/>
                    </w:rPr>
                    <w:t>采取措施后源强dB</w:t>
                  </w:r>
                  <w:r>
                    <w:rPr>
                      <w:rFonts w:hint="eastAsia"/>
                      <w:b/>
                      <w:bCs/>
                      <w:color w:val="auto"/>
                      <w:kern w:val="0"/>
                      <w:szCs w:val="21"/>
                    </w:rPr>
                    <w:t>（</w:t>
                  </w:r>
                  <w:r>
                    <w:rPr>
                      <w:b/>
                      <w:bCs/>
                      <w:color w:val="auto"/>
                      <w:kern w:val="0"/>
                      <w:szCs w:val="21"/>
                    </w:rPr>
                    <w:t>A</w:t>
                  </w:r>
                  <w:r>
                    <w:rPr>
                      <w:rFonts w:hint="eastAsia"/>
                      <w:b/>
                      <w:bCs/>
                      <w:color w:val="auto"/>
                      <w:kern w:val="0"/>
                      <w:szCs w:val="21"/>
                    </w:rPr>
                    <w:t>）</w:t>
                  </w:r>
                </w:p>
              </w:tc>
            </w:tr>
            <w:tr w14:paraId="29D52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1" w:type="dxa"/>
                  <w:vAlign w:val="center"/>
                </w:tcPr>
                <w:p w14:paraId="3EAAA69B">
                  <w:pPr>
                    <w:snapToGrid w:val="0"/>
                    <w:jc w:val="center"/>
                    <w:rPr>
                      <w:color w:val="auto"/>
                      <w:szCs w:val="21"/>
                    </w:rPr>
                  </w:pPr>
                  <w:r>
                    <w:rPr>
                      <w:rFonts w:hint="eastAsia"/>
                      <w:color w:val="auto"/>
                      <w:szCs w:val="21"/>
                      <w:lang w:val="en-US" w:eastAsia="zh-CN"/>
                    </w:rPr>
                    <w:t>提升机</w:t>
                  </w:r>
                </w:p>
              </w:tc>
              <w:tc>
                <w:tcPr>
                  <w:tcW w:w="1577" w:type="dxa"/>
                  <w:shd w:val="clear" w:color="auto" w:fill="auto"/>
                  <w:vAlign w:val="center"/>
                </w:tcPr>
                <w:p w14:paraId="25D30878">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p>
              </w:tc>
              <w:tc>
                <w:tcPr>
                  <w:tcW w:w="1577" w:type="dxa"/>
                  <w:shd w:val="clear" w:color="auto" w:fill="auto"/>
                  <w:vAlign w:val="center"/>
                </w:tcPr>
                <w:p w14:paraId="2DD4C6F4">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80</w:t>
                  </w:r>
                </w:p>
              </w:tc>
              <w:tc>
                <w:tcPr>
                  <w:tcW w:w="1746" w:type="dxa"/>
                  <w:vMerge w:val="restart"/>
                  <w:vAlign w:val="center"/>
                </w:tcPr>
                <w:p w14:paraId="5E9027E1">
                  <w:pPr>
                    <w:snapToGrid w:val="0"/>
                    <w:jc w:val="center"/>
                    <w:rPr>
                      <w:color w:val="auto"/>
                      <w:szCs w:val="21"/>
                    </w:rPr>
                  </w:pPr>
                  <w:r>
                    <w:rPr>
                      <w:rFonts w:hint="eastAsia"/>
                      <w:color w:val="auto"/>
                      <w:szCs w:val="21"/>
                      <w:lang w:val="en-US" w:eastAsia="zh-CN"/>
                    </w:rPr>
                    <w:t>合理布局，基础减震，选择低噪声设备，建筑隔声。</w:t>
                  </w:r>
                </w:p>
              </w:tc>
              <w:tc>
                <w:tcPr>
                  <w:tcW w:w="1767" w:type="dxa"/>
                  <w:vAlign w:val="center"/>
                </w:tcPr>
                <w:p w14:paraId="5B56BE73">
                  <w:pPr>
                    <w:snapToGrid w:val="0"/>
                    <w:jc w:val="center"/>
                    <w:rPr>
                      <w:rFonts w:hint="default" w:eastAsia="宋体"/>
                      <w:color w:val="auto"/>
                      <w:szCs w:val="21"/>
                      <w:lang w:val="en-US" w:eastAsia="zh-CN"/>
                    </w:rPr>
                  </w:pPr>
                  <w:r>
                    <w:rPr>
                      <w:rFonts w:hint="eastAsia"/>
                      <w:color w:val="auto"/>
                      <w:szCs w:val="21"/>
                      <w:lang w:val="en-US" w:eastAsia="zh-CN"/>
                    </w:rPr>
                    <w:t>60</w:t>
                  </w:r>
                </w:p>
              </w:tc>
            </w:tr>
            <w:tr w14:paraId="6CB4E0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1" w:type="dxa"/>
                  <w:vAlign w:val="center"/>
                </w:tcPr>
                <w:p w14:paraId="71743857">
                  <w:pPr>
                    <w:snapToGrid w:val="0"/>
                    <w:jc w:val="center"/>
                    <w:rPr>
                      <w:color w:val="auto"/>
                      <w:szCs w:val="21"/>
                    </w:rPr>
                  </w:pPr>
                  <w:r>
                    <w:rPr>
                      <w:rFonts w:hint="eastAsia"/>
                      <w:color w:val="auto"/>
                      <w:szCs w:val="21"/>
                      <w:lang w:val="en-US" w:eastAsia="zh-CN"/>
                    </w:rPr>
                    <w:t>洗菜机</w:t>
                  </w:r>
                </w:p>
              </w:tc>
              <w:tc>
                <w:tcPr>
                  <w:tcW w:w="1577" w:type="dxa"/>
                  <w:shd w:val="clear" w:color="auto" w:fill="auto"/>
                  <w:vAlign w:val="center"/>
                </w:tcPr>
                <w:p w14:paraId="757A582E">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p>
              </w:tc>
              <w:tc>
                <w:tcPr>
                  <w:tcW w:w="1577" w:type="dxa"/>
                  <w:shd w:val="clear" w:color="auto" w:fill="auto"/>
                  <w:vAlign w:val="center"/>
                </w:tcPr>
                <w:p w14:paraId="6AC681C0">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75</w:t>
                  </w:r>
                </w:p>
              </w:tc>
              <w:tc>
                <w:tcPr>
                  <w:tcW w:w="1746" w:type="dxa"/>
                  <w:vMerge w:val="continue"/>
                  <w:vAlign w:val="center"/>
                </w:tcPr>
                <w:p w14:paraId="55176520">
                  <w:pPr>
                    <w:snapToGrid w:val="0"/>
                    <w:jc w:val="center"/>
                    <w:rPr>
                      <w:color w:val="auto"/>
                      <w:szCs w:val="21"/>
                    </w:rPr>
                  </w:pPr>
                </w:p>
              </w:tc>
              <w:tc>
                <w:tcPr>
                  <w:tcW w:w="1767" w:type="dxa"/>
                  <w:vAlign w:val="center"/>
                </w:tcPr>
                <w:p w14:paraId="71BCA28D">
                  <w:pPr>
                    <w:snapToGrid w:val="0"/>
                    <w:jc w:val="center"/>
                    <w:rPr>
                      <w:rFonts w:hint="default" w:eastAsia="宋体"/>
                      <w:color w:val="auto"/>
                      <w:szCs w:val="21"/>
                      <w:lang w:val="en-US" w:eastAsia="zh-CN"/>
                    </w:rPr>
                  </w:pPr>
                  <w:r>
                    <w:rPr>
                      <w:rFonts w:hint="eastAsia"/>
                      <w:color w:val="auto"/>
                      <w:szCs w:val="21"/>
                      <w:lang w:val="en-US" w:eastAsia="zh-CN"/>
                    </w:rPr>
                    <w:t>55</w:t>
                  </w:r>
                </w:p>
              </w:tc>
            </w:tr>
            <w:tr w14:paraId="230B20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1" w:type="dxa"/>
                  <w:vAlign w:val="center"/>
                </w:tcPr>
                <w:p w14:paraId="721384E6">
                  <w:pPr>
                    <w:snapToGrid w:val="0"/>
                    <w:jc w:val="center"/>
                    <w:rPr>
                      <w:color w:val="auto"/>
                      <w:szCs w:val="21"/>
                    </w:rPr>
                  </w:pPr>
                  <w:r>
                    <w:rPr>
                      <w:rFonts w:hint="eastAsia"/>
                      <w:color w:val="auto"/>
                      <w:szCs w:val="21"/>
                      <w:lang w:val="en-US" w:eastAsia="zh-CN"/>
                    </w:rPr>
                    <w:t>切菜机</w:t>
                  </w:r>
                </w:p>
              </w:tc>
              <w:tc>
                <w:tcPr>
                  <w:tcW w:w="1577" w:type="dxa"/>
                  <w:shd w:val="clear" w:color="auto" w:fill="auto"/>
                  <w:vAlign w:val="center"/>
                </w:tcPr>
                <w:p w14:paraId="735D84D6">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p>
              </w:tc>
              <w:tc>
                <w:tcPr>
                  <w:tcW w:w="1577" w:type="dxa"/>
                  <w:shd w:val="clear" w:color="auto" w:fill="auto"/>
                  <w:vAlign w:val="center"/>
                </w:tcPr>
                <w:p w14:paraId="7D97999D">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75</w:t>
                  </w:r>
                </w:p>
              </w:tc>
              <w:tc>
                <w:tcPr>
                  <w:tcW w:w="1746" w:type="dxa"/>
                  <w:vMerge w:val="continue"/>
                  <w:vAlign w:val="center"/>
                </w:tcPr>
                <w:p w14:paraId="041213A1">
                  <w:pPr>
                    <w:snapToGrid w:val="0"/>
                    <w:jc w:val="center"/>
                    <w:rPr>
                      <w:color w:val="auto"/>
                      <w:szCs w:val="21"/>
                    </w:rPr>
                  </w:pPr>
                </w:p>
              </w:tc>
              <w:tc>
                <w:tcPr>
                  <w:tcW w:w="1767" w:type="dxa"/>
                  <w:vAlign w:val="center"/>
                </w:tcPr>
                <w:p w14:paraId="2CC52AE3">
                  <w:pPr>
                    <w:snapToGrid w:val="0"/>
                    <w:jc w:val="center"/>
                    <w:rPr>
                      <w:rFonts w:hint="default" w:eastAsia="宋体"/>
                      <w:color w:val="auto"/>
                      <w:szCs w:val="21"/>
                      <w:lang w:val="en-US" w:eastAsia="zh-CN"/>
                    </w:rPr>
                  </w:pPr>
                  <w:r>
                    <w:rPr>
                      <w:rFonts w:hint="eastAsia"/>
                      <w:color w:val="auto"/>
                      <w:szCs w:val="21"/>
                      <w:lang w:val="en-US" w:eastAsia="zh-CN"/>
                    </w:rPr>
                    <w:t>55</w:t>
                  </w:r>
                </w:p>
              </w:tc>
            </w:tr>
            <w:tr w14:paraId="0A1663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1" w:type="dxa"/>
                  <w:vAlign w:val="center"/>
                </w:tcPr>
                <w:p w14:paraId="7CD7A286">
                  <w:pPr>
                    <w:snapToGrid w:val="0"/>
                    <w:jc w:val="center"/>
                    <w:rPr>
                      <w:color w:val="auto"/>
                      <w:szCs w:val="21"/>
                    </w:rPr>
                  </w:pPr>
                  <w:r>
                    <w:rPr>
                      <w:rFonts w:hint="eastAsia"/>
                      <w:color w:val="auto"/>
                      <w:szCs w:val="21"/>
                      <w:lang w:val="en-US" w:eastAsia="zh-CN"/>
                    </w:rPr>
                    <w:t>包装机</w:t>
                  </w:r>
                </w:p>
              </w:tc>
              <w:tc>
                <w:tcPr>
                  <w:tcW w:w="1577" w:type="dxa"/>
                  <w:shd w:val="clear" w:color="auto" w:fill="auto"/>
                  <w:vAlign w:val="center"/>
                </w:tcPr>
                <w:p w14:paraId="148856E8">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p>
              </w:tc>
              <w:tc>
                <w:tcPr>
                  <w:tcW w:w="1577" w:type="dxa"/>
                  <w:shd w:val="clear" w:color="auto" w:fill="auto"/>
                  <w:vAlign w:val="center"/>
                </w:tcPr>
                <w:p w14:paraId="1DFE61AE">
                  <w:pPr>
                    <w:snapToGrid w:val="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w:t>
                  </w:r>
                  <w:r>
                    <w:rPr>
                      <w:rFonts w:hint="eastAsia" w:cs="Times New Roman"/>
                      <w:color w:val="auto"/>
                      <w:kern w:val="2"/>
                      <w:sz w:val="21"/>
                      <w:szCs w:val="21"/>
                      <w:lang w:val="en-US" w:eastAsia="zh-CN" w:bidi="ar-SA"/>
                    </w:rPr>
                    <w:t>0</w:t>
                  </w:r>
                </w:p>
              </w:tc>
              <w:tc>
                <w:tcPr>
                  <w:tcW w:w="1746" w:type="dxa"/>
                  <w:vMerge w:val="continue"/>
                  <w:vAlign w:val="center"/>
                </w:tcPr>
                <w:p w14:paraId="4F2A32E7">
                  <w:pPr>
                    <w:snapToGrid w:val="0"/>
                    <w:jc w:val="center"/>
                    <w:rPr>
                      <w:color w:val="auto"/>
                      <w:szCs w:val="21"/>
                    </w:rPr>
                  </w:pPr>
                </w:p>
              </w:tc>
              <w:tc>
                <w:tcPr>
                  <w:tcW w:w="1767" w:type="dxa"/>
                  <w:vAlign w:val="center"/>
                </w:tcPr>
                <w:p w14:paraId="1CA892DA">
                  <w:pPr>
                    <w:snapToGrid w:val="0"/>
                    <w:jc w:val="center"/>
                    <w:rPr>
                      <w:rFonts w:hint="default" w:eastAsia="宋体"/>
                      <w:color w:val="auto"/>
                      <w:szCs w:val="21"/>
                      <w:lang w:val="en-US" w:eastAsia="zh-CN"/>
                    </w:rPr>
                  </w:pPr>
                  <w:r>
                    <w:rPr>
                      <w:rFonts w:hint="eastAsia"/>
                      <w:color w:val="auto"/>
                      <w:szCs w:val="21"/>
                      <w:lang w:val="en-US" w:eastAsia="zh-CN"/>
                    </w:rPr>
                    <w:t>50</w:t>
                  </w:r>
                </w:p>
              </w:tc>
            </w:tr>
            <w:tr w14:paraId="5ED08B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11" w:type="dxa"/>
                  <w:vAlign w:val="center"/>
                </w:tcPr>
                <w:p w14:paraId="1C3C6D8E">
                  <w:pPr>
                    <w:snapToGrid w:val="0"/>
                    <w:jc w:val="center"/>
                    <w:rPr>
                      <w:rFonts w:hint="default"/>
                      <w:color w:val="auto"/>
                      <w:szCs w:val="21"/>
                      <w:lang w:val="en-US" w:eastAsia="zh-CN"/>
                    </w:rPr>
                  </w:pPr>
                  <w:r>
                    <w:rPr>
                      <w:rFonts w:hint="eastAsia"/>
                      <w:color w:val="auto"/>
                      <w:szCs w:val="21"/>
                      <w:lang w:val="en-US" w:eastAsia="zh-CN"/>
                    </w:rPr>
                    <w:t>水泵</w:t>
                  </w:r>
                </w:p>
              </w:tc>
              <w:tc>
                <w:tcPr>
                  <w:tcW w:w="1577" w:type="dxa"/>
                  <w:shd w:val="clear" w:color="auto" w:fill="auto"/>
                  <w:vAlign w:val="center"/>
                </w:tcPr>
                <w:p w14:paraId="0A506FF1">
                  <w:pPr>
                    <w:snapToGrid w:val="0"/>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3</w:t>
                  </w:r>
                </w:p>
              </w:tc>
              <w:tc>
                <w:tcPr>
                  <w:tcW w:w="1577" w:type="dxa"/>
                  <w:shd w:val="clear" w:color="auto" w:fill="auto"/>
                  <w:vAlign w:val="center"/>
                </w:tcPr>
                <w:p w14:paraId="732FDC1E">
                  <w:pPr>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85</w:t>
                  </w:r>
                </w:p>
              </w:tc>
              <w:tc>
                <w:tcPr>
                  <w:tcW w:w="1746" w:type="dxa"/>
                  <w:vMerge w:val="continue"/>
                  <w:vAlign w:val="center"/>
                </w:tcPr>
                <w:p w14:paraId="43D8F0C1">
                  <w:pPr>
                    <w:snapToGrid w:val="0"/>
                    <w:jc w:val="center"/>
                    <w:rPr>
                      <w:color w:val="auto"/>
                      <w:szCs w:val="21"/>
                    </w:rPr>
                  </w:pPr>
                </w:p>
              </w:tc>
              <w:tc>
                <w:tcPr>
                  <w:tcW w:w="1767" w:type="dxa"/>
                  <w:vAlign w:val="center"/>
                </w:tcPr>
                <w:p w14:paraId="1106466A">
                  <w:pPr>
                    <w:snapToGrid w:val="0"/>
                    <w:jc w:val="center"/>
                    <w:rPr>
                      <w:rFonts w:hint="default"/>
                      <w:color w:val="auto"/>
                      <w:szCs w:val="21"/>
                      <w:lang w:val="en-US" w:eastAsia="zh-CN"/>
                    </w:rPr>
                  </w:pPr>
                  <w:r>
                    <w:rPr>
                      <w:rFonts w:hint="eastAsia"/>
                      <w:color w:val="auto"/>
                      <w:szCs w:val="21"/>
                      <w:lang w:val="en-US" w:eastAsia="zh-CN"/>
                    </w:rPr>
                    <w:t>60</w:t>
                  </w:r>
                </w:p>
              </w:tc>
            </w:tr>
          </w:tbl>
          <w:p w14:paraId="1C9BD3E3">
            <w:pPr>
              <w:spacing w:line="360" w:lineRule="auto"/>
              <w:ind w:firstLine="420" w:firstLineChars="200"/>
              <w:rPr>
                <w:bCs/>
                <w:color w:val="auto"/>
                <w:szCs w:val="21"/>
              </w:rPr>
            </w:pPr>
          </w:p>
          <w:p w14:paraId="19C6C394">
            <w:pPr>
              <w:adjustRightInd w:val="0"/>
              <w:snapToGrid w:val="0"/>
              <w:spacing w:line="360" w:lineRule="auto"/>
              <w:rPr>
                <w:b/>
                <w:bCs/>
                <w:color w:val="auto"/>
                <w:sz w:val="24"/>
              </w:rPr>
            </w:pPr>
            <w:r>
              <w:rPr>
                <w:b/>
                <w:bCs/>
                <w:color w:val="auto"/>
                <w:sz w:val="24"/>
              </w:rPr>
              <w:t>3.2噪声预测及达标情况</w:t>
            </w:r>
          </w:p>
          <w:p w14:paraId="59B53962">
            <w:pPr>
              <w:snapToGrid w:val="0"/>
              <w:spacing w:line="360" w:lineRule="auto"/>
              <w:ind w:firstLine="480" w:firstLineChars="200"/>
              <w:rPr>
                <w:snapToGrid w:val="0"/>
                <w:color w:val="auto"/>
                <w:sz w:val="24"/>
              </w:rPr>
            </w:pPr>
            <w:r>
              <w:rPr>
                <w:snapToGrid w:val="0"/>
                <w:color w:val="auto"/>
                <w:sz w:val="24"/>
              </w:rPr>
              <w:t>声源在预测位置的声压级计算公式为：</w:t>
            </w:r>
          </w:p>
          <w:p w14:paraId="1867457D">
            <w:pPr>
              <w:snapToGrid w:val="0"/>
              <w:spacing w:line="360" w:lineRule="auto"/>
              <w:jc w:val="center"/>
              <w:rPr>
                <w:snapToGrid w:val="0"/>
                <w:color w:val="auto"/>
                <w:sz w:val="24"/>
              </w:rPr>
            </w:pPr>
            <w:r>
              <w:rPr>
                <w:snapToGrid w:val="0"/>
                <w:color w:val="auto"/>
                <w:sz w:val="24"/>
              </w:rPr>
              <w:t>L</w:t>
            </w:r>
            <w:r>
              <w:rPr>
                <w:snapToGrid w:val="0"/>
                <w:color w:val="auto"/>
                <w:sz w:val="24"/>
                <w:vertAlign w:val="subscript"/>
              </w:rPr>
              <w:t>p</w:t>
            </w:r>
            <w:r>
              <w:rPr>
                <w:snapToGrid w:val="0"/>
                <w:color w:val="auto"/>
                <w:sz w:val="24"/>
              </w:rPr>
              <w:t>（r）=L</w:t>
            </w:r>
            <w:r>
              <w:rPr>
                <w:snapToGrid w:val="0"/>
                <w:color w:val="auto"/>
                <w:sz w:val="24"/>
                <w:vertAlign w:val="subscript"/>
              </w:rPr>
              <w:t>w</w:t>
            </w:r>
            <w:r>
              <w:rPr>
                <w:snapToGrid w:val="0"/>
                <w:color w:val="auto"/>
                <w:sz w:val="24"/>
              </w:rPr>
              <w:t>+Dc-（A</w:t>
            </w:r>
            <w:r>
              <w:rPr>
                <w:snapToGrid w:val="0"/>
                <w:color w:val="auto"/>
                <w:sz w:val="24"/>
                <w:vertAlign w:val="subscript"/>
              </w:rPr>
              <w:t>div</w:t>
            </w:r>
            <w:r>
              <w:rPr>
                <w:snapToGrid w:val="0"/>
                <w:color w:val="auto"/>
                <w:sz w:val="24"/>
              </w:rPr>
              <w:t>+A</w:t>
            </w:r>
            <w:r>
              <w:rPr>
                <w:snapToGrid w:val="0"/>
                <w:color w:val="auto"/>
                <w:sz w:val="24"/>
                <w:vertAlign w:val="subscript"/>
              </w:rPr>
              <w:t>at</w:t>
            </w:r>
            <w:r>
              <w:rPr>
                <w:rFonts w:hint="eastAsia"/>
                <w:snapToGrid w:val="0"/>
                <w:color w:val="auto"/>
                <w:sz w:val="24"/>
                <w:vertAlign w:val="baseline"/>
                <w:lang w:eastAsia="zh-CN"/>
              </w:rPr>
              <w:t>m</w:t>
            </w:r>
            <w:r>
              <w:rPr>
                <w:snapToGrid w:val="0"/>
                <w:color w:val="auto"/>
                <w:sz w:val="24"/>
              </w:rPr>
              <w:t>+A</w:t>
            </w:r>
            <w:r>
              <w:rPr>
                <w:snapToGrid w:val="0"/>
                <w:color w:val="auto"/>
                <w:sz w:val="24"/>
                <w:vertAlign w:val="subscript"/>
              </w:rPr>
              <w:t>gr</w:t>
            </w:r>
            <w:r>
              <w:rPr>
                <w:snapToGrid w:val="0"/>
                <w:color w:val="auto"/>
                <w:sz w:val="24"/>
              </w:rPr>
              <w:t>+A</w:t>
            </w:r>
            <w:r>
              <w:rPr>
                <w:snapToGrid w:val="0"/>
                <w:color w:val="auto"/>
                <w:sz w:val="24"/>
                <w:vertAlign w:val="subscript"/>
              </w:rPr>
              <w:t>bar</w:t>
            </w:r>
            <w:r>
              <w:rPr>
                <w:snapToGrid w:val="0"/>
                <w:color w:val="auto"/>
                <w:sz w:val="24"/>
              </w:rPr>
              <w:t>+A</w:t>
            </w:r>
            <w:r>
              <w:rPr>
                <w:rFonts w:hint="eastAsia"/>
                <w:snapToGrid w:val="0"/>
                <w:color w:val="auto"/>
                <w:sz w:val="24"/>
                <w:vertAlign w:val="baseline"/>
                <w:lang w:eastAsia="zh-CN"/>
              </w:rPr>
              <w:t>m</w:t>
            </w:r>
            <w:r>
              <w:rPr>
                <w:snapToGrid w:val="0"/>
                <w:color w:val="auto"/>
                <w:sz w:val="24"/>
                <w:vertAlign w:val="subscript"/>
              </w:rPr>
              <w:t>isc</w:t>
            </w:r>
            <w:r>
              <w:rPr>
                <w:snapToGrid w:val="0"/>
                <w:color w:val="auto"/>
                <w:sz w:val="24"/>
              </w:rPr>
              <w:t>）</w:t>
            </w:r>
          </w:p>
          <w:p w14:paraId="4CE17A91">
            <w:pPr>
              <w:snapToGrid w:val="0"/>
              <w:spacing w:line="360" w:lineRule="auto"/>
              <w:ind w:firstLine="480" w:firstLineChars="200"/>
              <w:rPr>
                <w:snapToGrid w:val="0"/>
                <w:color w:val="auto"/>
                <w:sz w:val="24"/>
              </w:rPr>
            </w:pPr>
            <w:r>
              <w:rPr>
                <w:snapToGrid w:val="0"/>
                <w:color w:val="auto"/>
                <w:sz w:val="24"/>
              </w:rPr>
              <w:t>式中：L</w:t>
            </w:r>
            <w:r>
              <w:rPr>
                <w:snapToGrid w:val="0"/>
                <w:color w:val="auto"/>
                <w:sz w:val="24"/>
                <w:vertAlign w:val="subscript"/>
              </w:rPr>
              <w:t>p</w:t>
            </w:r>
            <w:r>
              <w:rPr>
                <w:snapToGrid w:val="0"/>
                <w:color w:val="auto"/>
                <w:sz w:val="24"/>
              </w:rPr>
              <w:t>（r）----预测点处声压级，dB;</w:t>
            </w:r>
          </w:p>
          <w:p w14:paraId="0127E253">
            <w:pPr>
              <w:snapToGrid w:val="0"/>
              <w:spacing w:line="360" w:lineRule="auto"/>
              <w:ind w:firstLine="1200" w:firstLineChars="500"/>
              <w:rPr>
                <w:snapToGrid w:val="0"/>
                <w:color w:val="auto"/>
                <w:sz w:val="24"/>
              </w:rPr>
            </w:pPr>
            <w:r>
              <w:rPr>
                <w:snapToGrid w:val="0"/>
                <w:color w:val="auto"/>
                <w:sz w:val="24"/>
              </w:rPr>
              <w:t>Lw----由点声源产生的声功率级（A计权或倍频带），dB；</w:t>
            </w:r>
          </w:p>
          <w:p w14:paraId="72222EDD">
            <w:pPr>
              <w:snapToGrid w:val="0"/>
              <w:spacing w:line="360" w:lineRule="auto"/>
              <w:ind w:firstLine="1200" w:firstLineChars="500"/>
              <w:rPr>
                <w:snapToGrid w:val="0"/>
                <w:color w:val="auto"/>
                <w:sz w:val="24"/>
              </w:rPr>
            </w:pPr>
            <w:r>
              <w:rPr>
                <w:snapToGrid w:val="0"/>
                <w:color w:val="auto"/>
                <w:sz w:val="24"/>
              </w:rPr>
              <w:t>Dc----指向性校正，它描述点声源的等效连续声压级与产生声功率级Lw的全向点声源在规定方向的声级的偏差程度</w:t>
            </w:r>
            <w:r>
              <w:rPr>
                <w:rFonts w:hint="eastAsia"/>
                <w:snapToGrid w:val="0"/>
                <w:color w:val="auto"/>
                <w:sz w:val="24"/>
                <w:lang w:eastAsia="zh-CN"/>
              </w:rPr>
              <w:t>；</w:t>
            </w:r>
            <w:r>
              <w:rPr>
                <w:snapToGrid w:val="0"/>
                <w:color w:val="auto"/>
                <w:sz w:val="24"/>
              </w:rPr>
              <w:t>dB</w:t>
            </w:r>
            <w:r>
              <w:rPr>
                <w:rFonts w:hint="eastAsia"/>
                <w:snapToGrid w:val="0"/>
                <w:color w:val="auto"/>
                <w:sz w:val="24"/>
              </w:rPr>
              <w:t>；</w:t>
            </w:r>
          </w:p>
          <w:p w14:paraId="246CD4A4">
            <w:pPr>
              <w:snapToGrid w:val="0"/>
              <w:spacing w:line="360" w:lineRule="auto"/>
              <w:ind w:firstLine="1200" w:firstLineChars="500"/>
              <w:rPr>
                <w:snapToGrid w:val="0"/>
                <w:color w:val="auto"/>
                <w:sz w:val="24"/>
              </w:rPr>
            </w:pPr>
            <w:r>
              <w:rPr>
                <w:snapToGrid w:val="0"/>
                <w:color w:val="auto"/>
                <w:sz w:val="24"/>
              </w:rPr>
              <w:t>A</w:t>
            </w:r>
            <w:r>
              <w:rPr>
                <w:snapToGrid w:val="0"/>
                <w:color w:val="auto"/>
                <w:sz w:val="24"/>
                <w:vertAlign w:val="subscript"/>
              </w:rPr>
              <w:t>div</w:t>
            </w:r>
            <w:r>
              <w:rPr>
                <w:snapToGrid w:val="0"/>
                <w:color w:val="auto"/>
                <w:sz w:val="24"/>
              </w:rPr>
              <w:t>----几何发散引起的衰减</w:t>
            </w:r>
            <w:r>
              <w:rPr>
                <w:rFonts w:hint="eastAsia"/>
                <w:snapToGrid w:val="0"/>
                <w:color w:val="auto"/>
                <w:sz w:val="24"/>
                <w:lang w:eastAsia="zh-CN"/>
              </w:rPr>
              <w:t>；</w:t>
            </w:r>
            <w:r>
              <w:rPr>
                <w:snapToGrid w:val="0"/>
                <w:color w:val="auto"/>
                <w:sz w:val="24"/>
              </w:rPr>
              <w:t>dB；</w:t>
            </w:r>
          </w:p>
          <w:p w14:paraId="7E265C6F">
            <w:pPr>
              <w:snapToGrid w:val="0"/>
              <w:spacing w:line="360" w:lineRule="auto"/>
              <w:ind w:firstLine="1200" w:firstLineChars="500"/>
              <w:rPr>
                <w:snapToGrid w:val="0"/>
                <w:color w:val="auto"/>
                <w:sz w:val="24"/>
              </w:rPr>
            </w:pPr>
            <w:r>
              <w:rPr>
                <w:snapToGrid w:val="0"/>
                <w:color w:val="auto"/>
                <w:sz w:val="24"/>
              </w:rPr>
              <w:t>A</w:t>
            </w:r>
            <w:r>
              <w:rPr>
                <w:snapToGrid w:val="0"/>
                <w:color w:val="auto"/>
                <w:sz w:val="24"/>
                <w:vertAlign w:val="subscript"/>
              </w:rPr>
              <w:t>at</w:t>
            </w:r>
            <w:r>
              <w:rPr>
                <w:rFonts w:hint="eastAsia"/>
                <w:snapToGrid w:val="0"/>
                <w:color w:val="auto"/>
                <w:sz w:val="24"/>
                <w:vertAlign w:val="baseline"/>
                <w:lang w:eastAsia="zh-CN"/>
              </w:rPr>
              <w:t>m</w:t>
            </w:r>
            <w:r>
              <w:rPr>
                <w:b/>
                <w:bCs/>
                <w:snapToGrid w:val="0"/>
                <w:color w:val="auto"/>
                <w:sz w:val="24"/>
              </w:rPr>
              <w:t>---</w:t>
            </w:r>
            <w:r>
              <w:rPr>
                <w:snapToGrid w:val="0"/>
                <w:color w:val="auto"/>
                <w:sz w:val="24"/>
              </w:rPr>
              <w:t>-大气吸收引起的衰减</w:t>
            </w:r>
            <w:r>
              <w:rPr>
                <w:rFonts w:hint="eastAsia"/>
                <w:snapToGrid w:val="0"/>
                <w:color w:val="auto"/>
                <w:sz w:val="24"/>
                <w:lang w:eastAsia="zh-CN"/>
              </w:rPr>
              <w:t>；</w:t>
            </w:r>
            <w:r>
              <w:rPr>
                <w:snapToGrid w:val="0"/>
                <w:color w:val="auto"/>
                <w:sz w:val="24"/>
              </w:rPr>
              <w:t>dB；</w:t>
            </w:r>
          </w:p>
          <w:p w14:paraId="20B50BC2">
            <w:pPr>
              <w:snapToGrid w:val="0"/>
              <w:spacing w:line="360" w:lineRule="auto"/>
              <w:ind w:firstLine="1200" w:firstLineChars="500"/>
              <w:rPr>
                <w:snapToGrid w:val="0"/>
                <w:color w:val="auto"/>
                <w:sz w:val="24"/>
              </w:rPr>
            </w:pPr>
            <w:r>
              <w:rPr>
                <w:snapToGrid w:val="0"/>
                <w:color w:val="auto"/>
                <w:sz w:val="24"/>
              </w:rPr>
              <w:t>A</w:t>
            </w:r>
            <w:r>
              <w:rPr>
                <w:snapToGrid w:val="0"/>
                <w:color w:val="auto"/>
                <w:sz w:val="24"/>
                <w:vertAlign w:val="subscript"/>
              </w:rPr>
              <w:t>gr</w:t>
            </w:r>
            <w:r>
              <w:rPr>
                <w:snapToGrid w:val="0"/>
                <w:color w:val="auto"/>
                <w:sz w:val="24"/>
              </w:rPr>
              <w:t>-----地面效应引起的衰减</w:t>
            </w:r>
            <w:r>
              <w:rPr>
                <w:rFonts w:hint="eastAsia"/>
                <w:snapToGrid w:val="0"/>
                <w:color w:val="auto"/>
                <w:sz w:val="24"/>
                <w:lang w:eastAsia="zh-CN"/>
              </w:rPr>
              <w:t>；</w:t>
            </w:r>
            <w:r>
              <w:rPr>
                <w:snapToGrid w:val="0"/>
                <w:color w:val="auto"/>
                <w:sz w:val="24"/>
              </w:rPr>
              <w:t>dB；</w:t>
            </w:r>
          </w:p>
          <w:p w14:paraId="5C90C7A6">
            <w:pPr>
              <w:snapToGrid w:val="0"/>
              <w:spacing w:line="360" w:lineRule="auto"/>
              <w:ind w:firstLine="1200" w:firstLineChars="500"/>
              <w:rPr>
                <w:snapToGrid w:val="0"/>
                <w:color w:val="auto"/>
                <w:sz w:val="24"/>
              </w:rPr>
            </w:pPr>
            <w:r>
              <w:rPr>
                <w:snapToGrid w:val="0"/>
                <w:color w:val="auto"/>
                <w:sz w:val="24"/>
              </w:rPr>
              <w:t>A</w:t>
            </w:r>
            <w:r>
              <w:rPr>
                <w:snapToGrid w:val="0"/>
                <w:color w:val="auto"/>
                <w:sz w:val="24"/>
                <w:vertAlign w:val="subscript"/>
              </w:rPr>
              <w:t>bar</w:t>
            </w:r>
            <w:r>
              <w:rPr>
                <w:snapToGrid w:val="0"/>
                <w:color w:val="auto"/>
                <w:sz w:val="24"/>
              </w:rPr>
              <w:t>----障碍物屏蔽引起的衰减</w:t>
            </w:r>
            <w:r>
              <w:rPr>
                <w:rFonts w:hint="eastAsia"/>
                <w:snapToGrid w:val="0"/>
                <w:color w:val="auto"/>
                <w:sz w:val="24"/>
                <w:lang w:eastAsia="zh-CN"/>
              </w:rPr>
              <w:t>；</w:t>
            </w:r>
            <w:r>
              <w:rPr>
                <w:snapToGrid w:val="0"/>
                <w:color w:val="auto"/>
                <w:sz w:val="24"/>
              </w:rPr>
              <w:t>dB；</w:t>
            </w:r>
          </w:p>
          <w:p w14:paraId="394811A8">
            <w:pPr>
              <w:snapToGrid w:val="0"/>
              <w:spacing w:line="360" w:lineRule="auto"/>
              <w:ind w:firstLine="1200" w:firstLineChars="500"/>
              <w:rPr>
                <w:snapToGrid w:val="0"/>
                <w:color w:val="auto"/>
                <w:sz w:val="24"/>
              </w:rPr>
            </w:pPr>
            <w:r>
              <w:rPr>
                <w:snapToGrid w:val="0"/>
                <w:color w:val="auto"/>
                <w:sz w:val="24"/>
              </w:rPr>
              <w:t>A</w:t>
            </w:r>
            <w:r>
              <w:rPr>
                <w:rFonts w:hint="eastAsia"/>
                <w:snapToGrid w:val="0"/>
                <w:color w:val="auto"/>
                <w:sz w:val="24"/>
                <w:vertAlign w:val="baseline"/>
                <w:lang w:eastAsia="zh-CN"/>
              </w:rPr>
              <w:t>m</w:t>
            </w:r>
            <w:r>
              <w:rPr>
                <w:snapToGrid w:val="0"/>
                <w:color w:val="auto"/>
                <w:sz w:val="24"/>
                <w:vertAlign w:val="subscript"/>
              </w:rPr>
              <w:t>isc</w:t>
            </w:r>
            <w:r>
              <w:rPr>
                <w:snapToGrid w:val="0"/>
                <w:color w:val="auto"/>
                <w:sz w:val="24"/>
              </w:rPr>
              <w:t>----其他多方面引起的衰减</w:t>
            </w:r>
            <w:r>
              <w:rPr>
                <w:rFonts w:hint="eastAsia"/>
                <w:snapToGrid w:val="0"/>
                <w:color w:val="auto"/>
                <w:sz w:val="24"/>
                <w:lang w:eastAsia="zh-CN"/>
              </w:rPr>
              <w:t>；</w:t>
            </w:r>
            <w:r>
              <w:rPr>
                <w:snapToGrid w:val="0"/>
                <w:color w:val="auto"/>
                <w:sz w:val="24"/>
              </w:rPr>
              <w:t>dB；</w:t>
            </w:r>
          </w:p>
          <w:p w14:paraId="1CDA3885">
            <w:pPr>
              <w:snapToGrid w:val="0"/>
              <w:spacing w:line="360" w:lineRule="auto"/>
              <w:ind w:firstLine="480" w:firstLineChars="200"/>
              <w:rPr>
                <w:snapToGrid w:val="0"/>
                <w:color w:val="auto"/>
                <w:sz w:val="24"/>
              </w:rPr>
            </w:pPr>
            <w:r>
              <w:rPr>
                <w:snapToGrid w:val="0"/>
                <w:color w:val="auto"/>
                <w:sz w:val="24"/>
              </w:rPr>
              <w:t>本项目</w:t>
            </w:r>
            <w:r>
              <w:rPr>
                <w:rFonts w:hint="eastAsia"/>
                <w:snapToGrid w:val="0"/>
                <w:color w:val="auto"/>
                <w:sz w:val="24"/>
                <w:lang w:eastAsia="zh-CN"/>
              </w:rPr>
              <w:t>将</w:t>
            </w:r>
            <w:r>
              <w:rPr>
                <w:snapToGrid w:val="0"/>
                <w:color w:val="auto"/>
                <w:sz w:val="24"/>
              </w:rPr>
              <w:t>声源概化为点声源进行预测，不考虑指向性校正、大气吸收引起的衰减、地面效应及其他方面引起的衰减，障碍物屏蔽引起的衰减取20dB，几何发散引起的衰减按照30</w:t>
            </w:r>
            <w:r>
              <w:rPr>
                <w:rFonts w:hint="eastAsia"/>
                <w:snapToGrid w:val="0"/>
                <w:color w:val="auto"/>
                <w:sz w:val="24"/>
                <w:vertAlign w:val="baseline"/>
                <w:lang w:eastAsia="zh-CN"/>
              </w:rPr>
              <w:t>m</w:t>
            </w:r>
            <w:r>
              <w:rPr>
                <w:snapToGrid w:val="0"/>
                <w:color w:val="auto"/>
                <w:sz w:val="24"/>
              </w:rPr>
              <w:t>计算。</w:t>
            </w:r>
          </w:p>
          <w:p w14:paraId="7AB6FBA9">
            <w:pPr>
              <w:snapToGrid w:val="0"/>
              <w:spacing w:line="360" w:lineRule="auto"/>
              <w:ind w:firstLine="480" w:firstLineChars="200"/>
              <w:rPr>
                <w:snapToGrid w:val="0"/>
                <w:color w:val="auto"/>
                <w:sz w:val="24"/>
              </w:rPr>
            </w:pPr>
            <w:r>
              <w:rPr>
                <w:snapToGrid w:val="0"/>
                <w:color w:val="auto"/>
                <w:sz w:val="24"/>
              </w:rPr>
              <w:t>噪声贡献值（Leqg）计算公式为：</w:t>
            </w:r>
          </w:p>
          <w:p w14:paraId="58E18F2F">
            <w:pPr>
              <w:snapToGrid w:val="0"/>
              <w:spacing w:line="360" w:lineRule="auto"/>
              <w:jc w:val="center"/>
              <w:rPr>
                <w:snapToGrid w:val="0"/>
                <w:color w:val="auto"/>
                <w:sz w:val="24"/>
              </w:rPr>
            </w:pPr>
            <w:r>
              <w:rPr>
                <w:snapToGrid w:val="0"/>
                <w:color w:val="auto"/>
                <w:sz w:val="24"/>
              </w:rPr>
              <w:drawing>
                <wp:inline distT="0" distB="0" distL="0" distR="0">
                  <wp:extent cx="1943100" cy="542925"/>
                  <wp:effectExtent l="0" t="0" r="0" b="9525"/>
                  <wp:docPr id="157702090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20903"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943100" cy="542925"/>
                          </a:xfrm>
                          <a:prstGeom prst="rect">
                            <a:avLst/>
                          </a:prstGeom>
                          <a:noFill/>
                          <a:ln>
                            <a:noFill/>
                          </a:ln>
                        </pic:spPr>
                      </pic:pic>
                    </a:graphicData>
                  </a:graphic>
                </wp:inline>
              </w:drawing>
            </w:r>
          </w:p>
          <w:p w14:paraId="603EE39A">
            <w:pPr>
              <w:snapToGrid w:val="0"/>
              <w:spacing w:line="360" w:lineRule="auto"/>
              <w:ind w:firstLine="480" w:firstLineChars="200"/>
              <w:rPr>
                <w:snapToGrid w:val="0"/>
                <w:color w:val="auto"/>
                <w:sz w:val="24"/>
              </w:rPr>
            </w:pPr>
            <w:r>
              <w:rPr>
                <w:snapToGrid w:val="0"/>
                <w:color w:val="auto"/>
                <w:sz w:val="24"/>
              </w:rPr>
              <w:t>式中：Leqg----噪声贡献值</w:t>
            </w:r>
            <w:r>
              <w:rPr>
                <w:rFonts w:hint="eastAsia"/>
                <w:snapToGrid w:val="0"/>
                <w:color w:val="auto"/>
                <w:sz w:val="24"/>
                <w:lang w:eastAsia="zh-CN"/>
              </w:rPr>
              <w:t>；</w:t>
            </w:r>
            <w:r>
              <w:rPr>
                <w:snapToGrid w:val="0"/>
                <w:color w:val="auto"/>
                <w:sz w:val="24"/>
              </w:rPr>
              <w:t>dB；</w:t>
            </w:r>
          </w:p>
          <w:p w14:paraId="67AE6981">
            <w:pPr>
              <w:snapToGrid w:val="0"/>
              <w:spacing w:line="360" w:lineRule="auto"/>
              <w:ind w:firstLine="480" w:firstLineChars="200"/>
              <w:rPr>
                <w:snapToGrid w:val="0"/>
                <w:color w:val="auto"/>
                <w:sz w:val="24"/>
              </w:rPr>
            </w:pPr>
            <w:r>
              <w:rPr>
                <w:snapToGrid w:val="0"/>
                <w:color w:val="auto"/>
                <w:sz w:val="24"/>
              </w:rPr>
              <w:t xml:space="preserve">      T----预测计算的时间段</w:t>
            </w:r>
            <w:r>
              <w:rPr>
                <w:rFonts w:hint="eastAsia"/>
                <w:snapToGrid w:val="0"/>
                <w:color w:val="auto"/>
                <w:sz w:val="24"/>
                <w:lang w:eastAsia="zh-CN"/>
              </w:rPr>
              <w:t>；</w:t>
            </w:r>
            <w:r>
              <w:rPr>
                <w:snapToGrid w:val="0"/>
                <w:color w:val="auto"/>
                <w:sz w:val="24"/>
              </w:rPr>
              <w:t>S；</w:t>
            </w:r>
          </w:p>
          <w:p w14:paraId="29125C8C">
            <w:pPr>
              <w:snapToGrid w:val="0"/>
              <w:spacing w:line="360" w:lineRule="auto"/>
              <w:ind w:firstLine="480" w:firstLineChars="200"/>
              <w:rPr>
                <w:snapToGrid w:val="0"/>
                <w:color w:val="auto"/>
                <w:sz w:val="24"/>
              </w:rPr>
            </w:pPr>
            <w:r>
              <w:rPr>
                <w:snapToGrid w:val="0"/>
                <w:color w:val="auto"/>
                <w:sz w:val="24"/>
              </w:rPr>
              <w:t xml:space="preserve">      t</w:t>
            </w:r>
            <w:r>
              <w:rPr>
                <w:snapToGrid w:val="0"/>
                <w:color w:val="auto"/>
                <w:sz w:val="24"/>
                <w:vertAlign w:val="subscript"/>
              </w:rPr>
              <w:t>i</w:t>
            </w:r>
            <w:r>
              <w:rPr>
                <w:snapToGrid w:val="0"/>
                <w:color w:val="auto"/>
                <w:sz w:val="24"/>
              </w:rPr>
              <w:t>----i声源在T时段内的运行时间</w:t>
            </w:r>
            <w:r>
              <w:rPr>
                <w:rFonts w:hint="eastAsia"/>
                <w:snapToGrid w:val="0"/>
                <w:color w:val="auto"/>
                <w:sz w:val="24"/>
                <w:lang w:eastAsia="zh-CN"/>
              </w:rPr>
              <w:t>；</w:t>
            </w:r>
            <w:r>
              <w:rPr>
                <w:snapToGrid w:val="0"/>
                <w:color w:val="auto"/>
                <w:sz w:val="24"/>
              </w:rPr>
              <w:t>S；</w:t>
            </w:r>
          </w:p>
          <w:p w14:paraId="407522CD">
            <w:pPr>
              <w:snapToGrid w:val="0"/>
              <w:spacing w:line="360" w:lineRule="auto"/>
              <w:ind w:firstLine="480" w:firstLineChars="200"/>
              <w:rPr>
                <w:snapToGrid w:val="0"/>
                <w:color w:val="auto"/>
                <w:sz w:val="24"/>
              </w:rPr>
            </w:pPr>
            <w:r>
              <w:rPr>
                <w:snapToGrid w:val="0"/>
                <w:color w:val="auto"/>
                <w:sz w:val="24"/>
              </w:rPr>
              <w:t xml:space="preserve">      L</w:t>
            </w:r>
            <w:r>
              <w:rPr>
                <w:snapToGrid w:val="0"/>
                <w:color w:val="auto"/>
                <w:sz w:val="24"/>
                <w:vertAlign w:val="subscript"/>
              </w:rPr>
              <w:t>Ai</w:t>
            </w:r>
            <w:r>
              <w:rPr>
                <w:snapToGrid w:val="0"/>
                <w:color w:val="auto"/>
                <w:sz w:val="24"/>
              </w:rPr>
              <w:t>----i声源在预测点产生的等效连续A声级</w:t>
            </w:r>
            <w:r>
              <w:rPr>
                <w:rFonts w:hint="eastAsia"/>
                <w:snapToGrid w:val="0"/>
                <w:color w:val="auto"/>
                <w:sz w:val="24"/>
                <w:lang w:eastAsia="zh-CN"/>
              </w:rPr>
              <w:t>；</w:t>
            </w:r>
            <w:r>
              <w:rPr>
                <w:snapToGrid w:val="0"/>
                <w:color w:val="auto"/>
                <w:sz w:val="24"/>
              </w:rPr>
              <w:t>dB。</w:t>
            </w:r>
          </w:p>
          <w:p w14:paraId="6210F8C9">
            <w:pPr>
              <w:spacing w:line="360" w:lineRule="auto"/>
              <w:ind w:firstLine="480" w:firstLineChars="200"/>
              <w:rPr>
                <w:bCs/>
                <w:color w:val="auto"/>
                <w:sz w:val="24"/>
              </w:rPr>
            </w:pPr>
            <w:r>
              <w:rPr>
                <w:bCs/>
                <w:color w:val="auto"/>
                <w:sz w:val="24"/>
              </w:rPr>
              <w:t>根据《环境影响评价技术导则声环境》（HJ2.4-2021）规定，结合项目</w:t>
            </w:r>
            <w:r>
              <w:rPr>
                <w:rFonts w:hint="eastAsia"/>
                <w:bCs/>
                <w:color w:val="auto"/>
                <w:sz w:val="24"/>
                <w:lang w:eastAsia="zh-CN"/>
              </w:rPr>
              <w:t>厂区</w:t>
            </w:r>
            <w:r>
              <w:rPr>
                <w:bCs/>
                <w:color w:val="auto"/>
                <w:sz w:val="24"/>
              </w:rPr>
              <w:t>平面布置图，经噪声衰减，运营期项目主要产噪设备对厂界噪声贡献值的预测结果见表4-</w:t>
            </w:r>
            <w:r>
              <w:rPr>
                <w:rFonts w:hint="eastAsia"/>
                <w:bCs/>
                <w:color w:val="auto"/>
                <w:sz w:val="24"/>
                <w:lang w:val="en-US" w:eastAsia="zh-CN"/>
              </w:rPr>
              <w:t>4</w:t>
            </w:r>
            <w:r>
              <w:rPr>
                <w:rFonts w:hint="eastAsia"/>
                <w:bCs/>
                <w:color w:val="auto"/>
                <w:sz w:val="24"/>
              </w:rPr>
              <w:t>。</w:t>
            </w:r>
          </w:p>
          <w:p w14:paraId="402532F4">
            <w:pPr>
              <w:spacing w:line="360" w:lineRule="auto"/>
              <w:jc w:val="center"/>
              <w:rPr>
                <w:b/>
                <w:color w:val="auto"/>
                <w:sz w:val="24"/>
              </w:rPr>
            </w:pPr>
            <w:r>
              <w:rPr>
                <w:b/>
                <w:color w:val="auto"/>
                <w:sz w:val="24"/>
              </w:rPr>
              <w:t>表4-</w:t>
            </w:r>
            <w:r>
              <w:rPr>
                <w:rFonts w:hint="eastAsia"/>
                <w:b/>
                <w:color w:val="auto"/>
                <w:sz w:val="24"/>
                <w:lang w:val="en-US" w:eastAsia="zh-CN"/>
              </w:rPr>
              <w:t>4</w:t>
            </w:r>
            <w:r>
              <w:rPr>
                <w:b/>
                <w:color w:val="auto"/>
                <w:sz w:val="24"/>
              </w:rPr>
              <w:t xml:space="preserve"> 主要产噪设备对厂界噪声</w:t>
            </w:r>
            <w:r>
              <w:rPr>
                <w:rFonts w:hint="eastAsia"/>
                <w:b/>
                <w:color w:val="auto"/>
                <w:sz w:val="24"/>
              </w:rPr>
              <w:t>的</w:t>
            </w:r>
            <w:r>
              <w:rPr>
                <w:b/>
                <w:color w:val="auto"/>
                <w:sz w:val="24"/>
              </w:rPr>
              <w:t>预测结果一览表</w:t>
            </w:r>
          </w:p>
          <w:tbl>
            <w:tblPr>
              <w:tblStyle w:val="17"/>
              <w:tblW w:w="82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927"/>
              <w:gridCol w:w="1860"/>
              <w:gridCol w:w="2605"/>
              <w:gridCol w:w="1830"/>
            </w:tblGrid>
            <w:tr w14:paraId="7759EA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1171" w:type="pct"/>
                  <w:vAlign w:val="center"/>
                </w:tcPr>
                <w:p w14:paraId="6E207EBF">
                  <w:pPr>
                    <w:spacing w:line="0" w:lineRule="atLeast"/>
                    <w:jc w:val="center"/>
                    <w:rPr>
                      <w:color w:val="auto"/>
                      <w:spacing w:val="-10"/>
                      <w:szCs w:val="21"/>
                    </w:rPr>
                  </w:pPr>
                  <w:r>
                    <w:rPr>
                      <w:color w:val="auto"/>
                      <w:spacing w:val="-10"/>
                      <w:szCs w:val="21"/>
                    </w:rPr>
                    <w:t>预测点位</w:t>
                  </w:r>
                </w:p>
              </w:tc>
              <w:tc>
                <w:tcPr>
                  <w:tcW w:w="1131" w:type="pct"/>
                  <w:vAlign w:val="center"/>
                </w:tcPr>
                <w:p w14:paraId="6FAB69DB">
                  <w:pPr>
                    <w:spacing w:line="0" w:lineRule="atLeast"/>
                    <w:jc w:val="center"/>
                    <w:rPr>
                      <w:color w:val="auto"/>
                      <w:spacing w:val="-10"/>
                      <w:szCs w:val="21"/>
                    </w:rPr>
                  </w:pPr>
                  <w:r>
                    <w:rPr>
                      <w:color w:val="auto"/>
                      <w:spacing w:val="-10"/>
                      <w:szCs w:val="21"/>
                    </w:rPr>
                    <w:t>贡献值/dB</w:t>
                  </w:r>
                  <w:r>
                    <w:rPr>
                      <w:rFonts w:hint="eastAsia"/>
                      <w:color w:val="auto"/>
                      <w:spacing w:val="-10"/>
                      <w:szCs w:val="21"/>
                    </w:rPr>
                    <w:t>（</w:t>
                  </w:r>
                  <w:r>
                    <w:rPr>
                      <w:color w:val="auto"/>
                      <w:spacing w:val="-10"/>
                      <w:szCs w:val="21"/>
                    </w:rPr>
                    <w:t>A</w:t>
                  </w:r>
                  <w:r>
                    <w:rPr>
                      <w:rFonts w:hint="eastAsia"/>
                      <w:color w:val="auto"/>
                      <w:spacing w:val="-10"/>
                      <w:szCs w:val="21"/>
                    </w:rPr>
                    <w:t>）</w:t>
                  </w:r>
                </w:p>
              </w:tc>
              <w:tc>
                <w:tcPr>
                  <w:tcW w:w="1584" w:type="pct"/>
                  <w:vAlign w:val="center"/>
                </w:tcPr>
                <w:p w14:paraId="1E08FC28">
                  <w:pPr>
                    <w:spacing w:line="0" w:lineRule="atLeast"/>
                    <w:jc w:val="center"/>
                    <w:rPr>
                      <w:color w:val="auto"/>
                      <w:spacing w:val="-10"/>
                      <w:szCs w:val="21"/>
                    </w:rPr>
                  </w:pPr>
                  <w:r>
                    <w:rPr>
                      <w:color w:val="auto"/>
                      <w:spacing w:val="-10"/>
                      <w:szCs w:val="21"/>
                    </w:rPr>
                    <w:t>标准值/dB</w:t>
                  </w:r>
                  <w:r>
                    <w:rPr>
                      <w:rFonts w:hint="eastAsia"/>
                      <w:color w:val="auto"/>
                      <w:spacing w:val="-10"/>
                      <w:szCs w:val="21"/>
                    </w:rPr>
                    <w:t>（</w:t>
                  </w:r>
                  <w:r>
                    <w:rPr>
                      <w:color w:val="auto"/>
                      <w:spacing w:val="-10"/>
                      <w:szCs w:val="21"/>
                    </w:rPr>
                    <w:t>A</w:t>
                  </w:r>
                  <w:r>
                    <w:rPr>
                      <w:rFonts w:hint="eastAsia"/>
                      <w:color w:val="auto"/>
                      <w:spacing w:val="-10"/>
                      <w:szCs w:val="21"/>
                    </w:rPr>
                    <w:t>）</w:t>
                  </w:r>
                </w:p>
              </w:tc>
              <w:tc>
                <w:tcPr>
                  <w:tcW w:w="1112" w:type="pct"/>
                  <w:vAlign w:val="center"/>
                </w:tcPr>
                <w:p w14:paraId="59BE5F46">
                  <w:pPr>
                    <w:spacing w:line="0" w:lineRule="atLeast"/>
                    <w:jc w:val="center"/>
                    <w:rPr>
                      <w:color w:val="auto"/>
                      <w:spacing w:val="-10"/>
                      <w:szCs w:val="21"/>
                    </w:rPr>
                  </w:pPr>
                  <w:r>
                    <w:rPr>
                      <w:color w:val="auto"/>
                      <w:spacing w:val="-10"/>
                      <w:szCs w:val="21"/>
                    </w:rPr>
                    <w:t>达标情况</w:t>
                  </w:r>
                </w:p>
              </w:tc>
            </w:tr>
            <w:tr w14:paraId="747EA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1" w:type="pct"/>
                  <w:vAlign w:val="center"/>
                </w:tcPr>
                <w:p w14:paraId="4F985DE6">
                  <w:pPr>
                    <w:spacing w:line="0" w:lineRule="atLeast"/>
                    <w:jc w:val="center"/>
                    <w:rPr>
                      <w:color w:val="auto"/>
                      <w:spacing w:val="-10"/>
                      <w:szCs w:val="21"/>
                    </w:rPr>
                  </w:pPr>
                  <w:r>
                    <w:rPr>
                      <w:color w:val="auto"/>
                      <w:spacing w:val="-10"/>
                      <w:szCs w:val="21"/>
                    </w:rPr>
                    <w:t>东厂界</w:t>
                  </w:r>
                </w:p>
              </w:tc>
              <w:tc>
                <w:tcPr>
                  <w:tcW w:w="1131" w:type="pct"/>
                  <w:vAlign w:val="center"/>
                </w:tcPr>
                <w:p w14:paraId="23571BBF">
                  <w:pPr>
                    <w:spacing w:line="0" w:lineRule="atLeast"/>
                    <w:jc w:val="center"/>
                    <w:rPr>
                      <w:color w:val="auto"/>
                      <w:spacing w:val="-10"/>
                      <w:szCs w:val="21"/>
                    </w:rPr>
                  </w:pPr>
                  <w:r>
                    <w:rPr>
                      <w:rFonts w:hint="eastAsia"/>
                      <w:color w:val="auto"/>
                      <w:spacing w:val="-10"/>
                      <w:szCs w:val="21"/>
                      <w:lang w:val="en-US" w:eastAsia="zh-CN"/>
                    </w:rPr>
                    <w:t>38</w:t>
                  </w:r>
                  <w:r>
                    <w:rPr>
                      <w:color w:val="auto"/>
                      <w:spacing w:val="-10"/>
                      <w:szCs w:val="21"/>
                    </w:rPr>
                    <w:t>.4</w:t>
                  </w:r>
                </w:p>
              </w:tc>
              <w:tc>
                <w:tcPr>
                  <w:tcW w:w="1584" w:type="pct"/>
                  <w:vMerge w:val="restart"/>
                  <w:vAlign w:val="center"/>
                </w:tcPr>
                <w:p w14:paraId="4F034935">
                  <w:pPr>
                    <w:spacing w:line="0" w:lineRule="atLeast"/>
                    <w:jc w:val="center"/>
                    <w:rPr>
                      <w:color w:val="auto"/>
                      <w:spacing w:val="-10"/>
                      <w:szCs w:val="21"/>
                    </w:rPr>
                  </w:pPr>
                  <w:r>
                    <w:rPr>
                      <w:color w:val="auto"/>
                      <w:spacing w:val="-10"/>
                      <w:szCs w:val="21"/>
                    </w:rPr>
                    <w:t>昼间：</w:t>
                  </w:r>
                  <w:r>
                    <w:rPr>
                      <w:rFonts w:hint="eastAsia"/>
                      <w:color w:val="auto"/>
                      <w:spacing w:val="-10"/>
                      <w:szCs w:val="21"/>
                    </w:rPr>
                    <w:t>55</w:t>
                  </w:r>
                </w:p>
              </w:tc>
              <w:tc>
                <w:tcPr>
                  <w:tcW w:w="1112" w:type="pct"/>
                  <w:vAlign w:val="center"/>
                </w:tcPr>
                <w:p w14:paraId="4C1C4B39">
                  <w:pPr>
                    <w:spacing w:line="0" w:lineRule="atLeast"/>
                    <w:jc w:val="center"/>
                    <w:rPr>
                      <w:color w:val="auto"/>
                      <w:spacing w:val="-10"/>
                      <w:szCs w:val="21"/>
                    </w:rPr>
                  </w:pPr>
                  <w:r>
                    <w:rPr>
                      <w:color w:val="auto"/>
                      <w:spacing w:val="-10"/>
                      <w:szCs w:val="21"/>
                    </w:rPr>
                    <w:t>达标</w:t>
                  </w:r>
                </w:p>
              </w:tc>
            </w:tr>
            <w:tr w14:paraId="17DD90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1" w:type="pct"/>
                  <w:vAlign w:val="center"/>
                </w:tcPr>
                <w:p w14:paraId="393844D3">
                  <w:pPr>
                    <w:spacing w:line="0" w:lineRule="atLeast"/>
                    <w:jc w:val="center"/>
                    <w:rPr>
                      <w:color w:val="auto"/>
                      <w:spacing w:val="-10"/>
                      <w:szCs w:val="21"/>
                    </w:rPr>
                  </w:pPr>
                  <w:r>
                    <w:rPr>
                      <w:color w:val="auto"/>
                      <w:spacing w:val="-10"/>
                      <w:szCs w:val="21"/>
                    </w:rPr>
                    <w:t>南厂界</w:t>
                  </w:r>
                </w:p>
              </w:tc>
              <w:tc>
                <w:tcPr>
                  <w:tcW w:w="1131" w:type="pct"/>
                  <w:vAlign w:val="center"/>
                </w:tcPr>
                <w:p w14:paraId="3EB52EE4">
                  <w:pPr>
                    <w:spacing w:line="0" w:lineRule="atLeast"/>
                    <w:jc w:val="center"/>
                    <w:rPr>
                      <w:color w:val="auto"/>
                      <w:spacing w:val="-10"/>
                      <w:szCs w:val="21"/>
                    </w:rPr>
                  </w:pPr>
                  <w:r>
                    <w:rPr>
                      <w:rFonts w:hint="eastAsia"/>
                      <w:color w:val="auto"/>
                      <w:spacing w:val="-10"/>
                      <w:szCs w:val="21"/>
                      <w:lang w:val="en-US" w:eastAsia="zh-CN"/>
                    </w:rPr>
                    <w:t>30</w:t>
                  </w:r>
                  <w:r>
                    <w:rPr>
                      <w:rFonts w:hint="eastAsia"/>
                      <w:color w:val="auto"/>
                      <w:spacing w:val="-10"/>
                      <w:szCs w:val="21"/>
                    </w:rPr>
                    <w:t>.6</w:t>
                  </w:r>
                </w:p>
              </w:tc>
              <w:tc>
                <w:tcPr>
                  <w:tcW w:w="1584" w:type="pct"/>
                  <w:vMerge w:val="continue"/>
                  <w:vAlign w:val="center"/>
                </w:tcPr>
                <w:p w14:paraId="47D4AB4F">
                  <w:pPr>
                    <w:spacing w:line="0" w:lineRule="atLeast"/>
                    <w:jc w:val="center"/>
                    <w:rPr>
                      <w:color w:val="auto"/>
                      <w:spacing w:val="-10"/>
                      <w:szCs w:val="21"/>
                    </w:rPr>
                  </w:pPr>
                </w:p>
              </w:tc>
              <w:tc>
                <w:tcPr>
                  <w:tcW w:w="1112" w:type="pct"/>
                  <w:vAlign w:val="center"/>
                </w:tcPr>
                <w:p w14:paraId="44BCBE4E">
                  <w:pPr>
                    <w:spacing w:line="0" w:lineRule="atLeast"/>
                    <w:jc w:val="center"/>
                    <w:rPr>
                      <w:color w:val="auto"/>
                      <w:spacing w:val="-10"/>
                      <w:szCs w:val="21"/>
                    </w:rPr>
                  </w:pPr>
                  <w:r>
                    <w:rPr>
                      <w:color w:val="auto"/>
                      <w:spacing w:val="-10"/>
                      <w:szCs w:val="21"/>
                    </w:rPr>
                    <w:t>达标</w:t>
                  </w:r>
                </w:p>
              </w:tc>
            </w:tr>
            <w:tr w14:paraId="00F0C9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1" w:type="pct"/>
                  <w:vAlign w:val="center"/>
                </w:tcPr>
                <w:p w14:paraId="29FF3F60">
                  <w:pPr>
                    <w:spacing w:line="0" w:lineRule="atLeast"/>
                    <w:jc w:val="center"/>
                    <w:rPr>
                      <w:color w:val="auto"/>
                      <w:spacing w:val="-10"/>
                      <w:szCs w:val="21"/>
                    </w:rPr>
                  </w:pPr>
                  <w:r>
                    <w:rPr>
                      <w:color w:val="auto"/>
                      <w:spacing w:val="-10"/>
                      <w:szCs w:val="21"/>
                    </w:rPr>
                    <w:t>西厂界</w:t>
                  </w:r>
                </w:p>
              </w:tc>
              <w:tc>
                <w:tcPr>
                  <w:tcW w:w="1131" w:type="pct"/>
                  <w:vAlign w:val="center"/>
                </w:tcPr>
                <w:p w14:paraId="402F0AA9">
                  <w:pPr>
                    <w:spacing w:line="0" w:lineRule="atLeast"/>
                    <w:jc w:val="center"/>
                    <w:rPr>
                      <w:color w:val="auto"/>
                      <w:spacing w:val="-10"/>
                      <w:szCs w:val="21"/>
                    </w:rPr>
                  </w:pPr>
                  <w:r>
                    <w:rPr>
                      <w:color w:val="auto"/>
                      <w:spacing w:val="-10"/>
                      <w:szCs w:val="21"/>
                    </w:rPr>
                    <w:t>3</w:t>
                  </w:r>
                  <w:r>
                    <w:rPr>
                      <w:rFonts w:hint="eastAsia"/>
                      <w:color w:val="auto"/>
                      <w:spacing w:val="-10"/>
                      <w:szCs w:val="21"/>
                      <w:lang w:val="en-US" w:eastAsia="zh-CN"/>
                    </w:rPr>
                    <w:t>4</w:t>
                  </w:r>
                  <w:r>
                    <w:rPr>
                      <w:rFonts w:hint="eastAsia"/>
                      <w:color w:val="auto"/>
                      <w:spacing w:val="-10"/>
                      <w:szCs w:val="21"/>
                    </w:rPr>
                    <w:t>.4</w:t>
                  </w:r>
                </w:p>
              </w:tc>
              <w:tc>
                <w:tcPr>
                  <w:tcW w:w="1584" w:type="pct"/>
                  <w:vMerge w:val="continue"/>
                  <w:vAlign w:val="center"/>
                </w:tcPr>
                <w:p w14:paraId="67B8C57E">
                  <w:pPr>
                    <w:spacing w:line="0" w:lineRule="atLeast"/>
                    <w:jc w:val="center"/>
                    <w:rPr>
                      <w:color w:val="auto"/>
                      <w:spacing w:val="-10"/>
                      <w:szCs w:val="21"/>
                    </w:rPr>
                  </w:pPr>
                </w:p>
              </w:tc>
              <w:tc>
                <w:tcPr>
                  <w:tcW w:w="1112" w:type="pct"/>
                  <w:vAlign w:val="center"/>
                </w:tcPr>
                <w:p w14:paraId="367D5348">
                  <w:pPr>
                    <w:spacing w:line="0" w:lineRule="atLeast"/>
                    <w:jc w:val="center"/>
                    <w:rPr>
                      <w:color w:val="auto"/>
                      <w:spacing w:val="-10"/>
                      <w:szCs w:val="21"/>
                    </w:rPr>
                  </w:pPr>
                  <w:r>
                    <w:rPr>
                      <w:color w:val="auto"/>
                      <w:spacing w:val="-10"/>
                      <w:szCs w:val="21"/>
                    </w:rPr>
                    <w:t>达标</w:t>
                  </w:r>
                </w:p>
              </w:tc>
            </w:tr>
            <w:tr w14:paraId="1F50CF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1" w:type="pct"/>
                  <w:vAlign w:val="center"/>
                </w:tcPr>
                <w:p w14:paraId="30636D6A">
                  <w:pPr>
                    <w:spacing w:line="0" w:lineRule="atLeast"/>
                    <w:jc w:val="center"/>
                    <w:rPr>
                      <w:color w:val="auto"/>
                      <w:spacing w:val="-10"/>
                      <w:szCs w:val="21"/>
                    </w:rPr>
                  </w:pPr>
                  <w:r>
                    <w:rPr>
                      <w:color w:val="auto"/>
                      <w:spacing w:val="-10"/>
                      <w:szCs w:val="21"/>
                    </w:rPr>
                    <w:t>北厂界</w:t>
                  </w:r>
                </w:p>
              </w:tc>
              <w:tc>
                <w:tcPr>
                  <w:tcW w:w="1131" w:type="pct"/>
                  <w:vAlign w:val="center"/>
                </w:tcPr>
                <w:p w14:paraId="716944B6">
                  <w:pPr>
                    <w:spacing w:line="0" w:lineRule="atLeast"/>
                    <w:jc w:val="center"/>
                    <w:rPr>
                      <w:color w:val="auto"/>
                      <w:spacing w:val="-10"/>
                      <w:szCs w:val="21"/>
                    </w:rPr>
                  </w:pPr>
                  <w:r>
                    <w:rPr>
                      <w:rFonts w:hint="eastAsia"/>
                      <w:color w:val="auto"/>
                      <w:spacing w:val="-10"/>
                      <w:szCs w:val="21"/>
                      <w:lang w:val="en-US" w:eastAsia="zh-CN"/>
                    </w:rPr>
                    <w:t>29</w:t>
                  </w:r>
                  <w:r>
                    <w:rPr>
                      <w:color w:val="auto"/>
                      <w:spacing w:val="-10"/>
                      <w:szCs w:val="21"/>
                    </w:rPr>
                    <w:t>.</w:t>
                  </w:r>
                  <w:r>
                    <w:rPr>
                      <w:rFonts w:hint="eastAsia"/>
                      <w:color w:val="auto"/>
                      <w:spacing w:val="-10"/>
                      <w:szCs w:val="21"/>
                    </w:rPr>
                    <w:t>5</w:t>
                  </w:r>
                </w:p>
              </w:tc>
              <w:tc>
                <w:tcPr>
                  <w:tcW w:w="1584" w:type="pct"/>
                  <w:vMerge w:val="continue"/>
                  <w:vAlign w:val="center"/>
                </w:tcPr>
                <w:p w14:paraId="6E7DF137">
                  <w:pPr>
                    <w:spacing w:line="0" w:lineRule="atLeast"/>
                    <w:jc w:val="center"/>
                    <w:rPr>
                      <w:color w:val="auto"/>
                      <w:spacing w:val="-10"/>
                      <w:szCs w:val="21"/>
                    </w:rPr>
                  </w:pPr>
                </w:p>
              </w:tc>
              <w:tc>
                <w:tcPr>
                  <w:tcW w:w="1112" w:type="pct"/>
                  <w:vAlign w:val="center"/>
                </w:tcPr>
                <w:p w14:paraId="709BAD35">
                  <w:pPr>
                    <w:spacing w:line="0" w:lineRule="atLeast"/>
                    <w:jc w:val="center"/>
                    <w:rPr>
                      <w:color w:val="auto"/>
                      <w:spacing w:val="-10"/>
                      <w:szCs w:val="21"/>
                    </w:rPr>
                  </w:pPr>
                  <w:r>
                    <w:rPr>
                      <w:color w:val="auto"/>
                      <w:spacing w:val="-10"/>
                      <w:szCs w:val="21"/>
                    </w:rPr>
                    <w:t>达标</w:t>
                  </w:r>
                </w:p>
              </w:tc>
            </w:tr>
            <w:tr w14:paraId="5BDBB4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1" w:type="pct"/>
                  <w:vAlign w:val="center"/>
                </w:tcPr>
                <w:p w14:paraId="336DAC6F">
                  <w:pPr>
                    <w:spacing w:line="0" w:lineRule="atLeast"/>
                    <w:jc w:val="center"/>
                    <w:rPr>
                      <w:rFonts w:hint="default" w:eastAsia="宋体"/>
                      <w:color w:val="auto"/>
                      <w:spacing w:val="-10"/>
                      <w:szCs w:val="21"/>
                      <w:lang w:val="en-US" w:eastAsia="zh-CN"/>
                    </w:rPr>
                  </w:pPr>
                  <w:r>
                    <w:rPr>
                      <w:rFonts w:hint="eastAsia"/>
                      <w:color w:val="auto"/>
                      <w:spacing w:val="-10"/>
                      <w:szCs w:val="21"/>
                      <w:lang w:val="en-US" w:eastAsia="zh-CN"/>
                    </w:rPr>
                    <w:t>住户1</w:t>
                  </w:r>
                </w:p>
              </w:tc>
              <w:tc>
                <w:tcPr>
                  <w:tcW w:w="1131" w:type="pct"/>
                  <w:vAlign w:val="center"/>
                </w:tcPr>
                <w:p w14:paraId="26852058">
                  <w:pPr>
                    <w:spacing w:line="0" w:lineRule="atLeast"/>
                    <w:jc w:val="center"/>
                    <w:rPr>
                      <w:rFonts w:hint="default"/>
                      <w:color w:val="auto"/>
                      <w:spacing w:val="-10"/>
                      <w:szCs w:val="21"/>
                      <w:lang w:val="en-US" w:eastAsia="zh-CN"/>
                    </w:rPr>
                  </w:pPr>
                  <w:r>
                    <w:rPr>
                      <w:rFonts w:hint="eastAsia"/>
                      <w:color w:val="auto"/>
                      <w:spacing w:val="-10"/>
                      <w:szCs w:val="21"/>
                      <w:lang w:val="en-US" w:eastAsia="zh-CN"/>
                    </w:rPr>
                    <w:t>15.8</w:t>
                  </w:r>
                </w:p>
              </w:tc>
              <w:tc>
                <w:tcPr>
                  <w:tcW w:w="1584" w:type="pct"/>
                  <w:vMerge w:val="continue"/>
                  <w:vAlign w:val="center"/>
                </w:tcPr>
                <w:p w14:paraId="3F960B91">
                  <w:pPr>
                    <w:spacing w:line="0" w:lineRule="atLeast"/>
                    <w:jc w:val="center"/>
                    <w:rPr>
                      <w:color w:val="auto"/>
                      <w:spacing w:val="-10"/>
                      <w:szCs w:val="21"/>
                    </w:rPr>
                  </w:pPr>
                </w:p>
              </w:tc>
              <w:tc>
                <w:tcPr>
                  <w:tcW w:w="1112" w:type="pct"/>
                  <w:vAlign w:val="center"/>
                </w:tcPr>
                <w:p w14:paraId="6982AD2B">
                  <w:pPr>
                    <w:spacing w:line="0" w:lineRule="atLeast"/>
                    <w:jc w:val="center"/>
                    <w:rPr>
                      <w:color w:val="auto"/>
                      <w:spacing w:val="-10"/>
                      <w:szCs w:val="21"/>
                    </w:rPr>
                  </w:pPr>
                  <w:r>
                    <w:rPr>
                      <w:color w:val="auto"/>
                      <w:spacing w:val="-10"/>
                      <w:szCs w:val="21"/>
                    </w:rPr>
                    <w:t>达标</w:t>
                  </w:r>
                </w:p>
              </w:tc>
            </w:tr>
            <w:tr w14:paraId="71DBA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71" w:type="pct"/>
                  <w:vAlign w:val="center"/>
                </w:tcPr>
                <w:p w14:paraId="5E06E71B">
                  <w:pPr>
                    <w:spacing w:line="0" w:lineRule="atLeast"/>
                    <w:jc w:val="center"/>
                    <w:rPr>
                      <w:rFonts w:hint="default"/>
                      <w:color w:val="auto"/>
                      <w:spacing w:val="-10"/>
                      <w:szCs w:val="21"/>
                      <w:lang w:val="en-US" w:eastAsia="zh-CN"/>
                    </w:rPr>
                  </w:pPr>
                  <w:r>
                    <w:rPr>
                      <w:rFonts w:hint="eastAsia"/>
                      <w:color w:val="auto"/>
                      <w:spacing w:val="-10"/>
                      <w:szCs w:val="21"/>
                      <w:lang w:val="en-US" w:eastAsia="zh-CN"/>
                    </w:rPr>
                    <w:t>住户2</w:t>
                  </w:r>
                </w:p>
              </w:tc>
              <w:tc>
                <w:tcPr>
                  <w:tcW w:w="1131" w:type="pct"/>
                  <w:vAlign w:val="center"/>
                </w:tcPr>
                <w:p w14:paraId="7032607F">
                  <w:pPr>
                    <w:spacing w:line="0" w:lineRule="atLeast"/>
                    <w:jc w:val="center"/>
                    <w:rPr>
                      <w:rFonts w:hint="default"/>
                      <w:color w:val="auto"/>
                      <w:spacing w:val="-10"/>
                      <w:szCs w:val="21"/>
                      <w:lang w:val="en-US" w:eastAsia="zh-CN"/>
                    </w:rPr>
                  </w:pPr>
                  <w:r>
                    <w:rPr>
                      <w:rFonts w:hint="eastAsia"/>
                      <w:color w:val="auto"/>
                      <w:spacing w:val="-10"/>
                      <w:szCs w:val="21"/>
                      <w:lang w:val="en-US" w:eastAsia="zh-CN"/>
                    </w:rPr>
                    <w:t>16.0</w:t>
                  </w:r>
                </w:p>
              </w:tc>
              <w:tc>
                <w:tcPr>
                  <w:tcW w:w="1584" w:type="pct"/>
                  <w:vMerge w:val="continue"/>
                  <w:vAlign w:val="center"/>
                </w:tcPr>
                <w:p w14:paraId="640A0B1F">
                  <w:pPr>
                    <w:spacing w:line="0" w:lineRule="atLeast"/>
                    <w:jc w:val="center"/>
                    <w:rPr>
                      <w:color w:val="auto"/>
                      <w:spacing w:val="-10"/>
                      <w:szCs w:val="21"/>
                    </w:rPr>
                  </w:pPr>
                </w:p>
              </w:tc>
              <w:tc>
                <w:tcPr>
                  <w:tcW w:w="1112" w:type="pct"/>
                  <w:vAlign w:val="center"/>
                </w:tcPr>
                <w:p w14:paraId="26F1EDFC">
                  <w:pPr>
                    <w:spacing w:line="0" w:lineRule="atLeast"/>
                    <w:jc w:val="center"/>
                    <w:rPr>
                      <w:color w:val="auto"/>
                      <w:spacing w:val="-10"/>
                      <w:szCs w:val="21"/>
                    </w:rPr>
                  </w:pPr>
                  <w:r>
                    <w:rPr>
                      <w:color w:val="auto"/>
                      <w:spacing w:val="-10"/>
                      <w:szCs w:val="21"/>
                    </w:rPr>
                    <w:t>达标</w:t>
                  </w:r>
                </w:p>
              </w:tc>
            </w:tr>
          </w:tbl>
          <w:p w14:paraId="2AA73D47">
            <w:pPr>
              <w:spacing w:line="360" w:lineRule="auto"/>
              <w:ind w:firstLine="480" w:firstLineChars="200"/>
              <w:rPr>
                <w:bCs/>
                <w:color w:val="auto"/>
                <w:sz w:val="24"/>
              </w:rPr>
            </w:pPr>
          </w:p>
          <w:p w14:paraId="32BDE42D">
            <w:pPr>
              <w:spacing w:line="360" w:lineRule="auto"/>
              <w:ind w:firstLine="480" w:firstLineChars="200"/>
              <w:rPr>
                <w:rFonts w:hint="eastAsia" w:eastAsia="宋体"/>
                <w:bCs/>
                <w:color w:val="auto"/>
                <w:sz w:val="24"/>
                <w:lang w:val="en-US" w:eastAsia="zh-CN"/>
              </w:rPr>
            </w:pPr>
            <w:r>
              <w:rPr>
                <w:bCs/>
                <w:color w:val="auto"/>
                <w:sz w:val="24"/>
              </w:rPr>
              <w:t>设备噪声采取减振、隔声处理等措施后，对厂区各厂界噪声贡献值为</w:t>
            </w:r>
            <w:r>
              <w:rPr>
                <w:rFonts w:hint="eastAsia"/>
                <w:bCs/>
                <w:color w:val="auto"/>
                <w:sz w:val="24"/>
                <w:lang w:val="en-US" w:eastAsia="zh-CN"/>
              </w:rPr>
              <w:t>29.5</w:t>
            </w:r>
            <w:r>
              <w:rPr>
                <w:bCs/>
                <w:color w:val="auto"/>
                <w:sz w:val="24"/>
              </w:rPr>
              <w:t>～</w:t>
            </w:r>
            <w:r>
              <w:rPr>
                <w:rFonts w:hint="eastAsia"/>
                <w:bCs/>
                <w:color w:val="auto"/>
                <w:sz w:val="24"/>
                <w:lang w:val="en-US" w:eastAsia="zh-CN"/>
              </w:rPr>
              <w:t>38.4</w:t>
            </w:r>
            <w:r>
              <w:rPr>
                <w:bCs/>
                <w:color w:val="auto"/>
                <w:sz w:val="24"/>
              </w:rPr>
              <w:t>dB(A)，</w:t>
            </w:r>
            <w:r>
              <w:rPr>
                <w:rFonts w:hint="eastAsia"/>
                <w:bCs/>
                <w:color w:val="auto"/>
                <w:sz w:val="24"/>
                <w:lang w:val="en-US" w:eastAsia="zh-CN"/>
              </w:rPr>
              <w:t>对声环境敏感点的贡献值为15.8～16.0dB(A)，均</w:t>
            </w:r>
            <w:r>
              <w:rPr>
                <w:bCs/>
                <w:color w:val="auto"/>
                <w:sz w:val="24"/>
              </w:rPr>
              <w:t>满足《工业企业厂界环境噪声排放标准》</w:t>
            </w:r>
            <w:r>
              <w:rPr>
                <w:rFonts w:hint="eastAsia"/>
                <w:bCs/>
                <w:color w:val="auto"/>
                <w:sz w:val="24"/>
              </w:rPr>
              <w:t>（</w:t>
            </w:r>
            <w:r>
              <w:rPr>
                <w:bCs/>
                <w:color w:val="auto"/>
                <w:sz w:val="24"/>
              </w:rPr>
              <w:t>GB12348-2008</w:t>
            </w:r>
            <w:r>
              <w:rPr>
                <w:rFonts w:hint="eastAsia"/>
                <w:bCs/>
                <w:color w:val="auto"/>
                <w:sz w:val="24"/>
              </w:rPr>
              <w:t>）</w:t>
            </w:r>
            <w:r>
              <w:rPr>
                <w:bCs/>
                <w:color w:val="auto"/>
                <w:sz w:val="24"/>
              </w:rPr>
              <w:t>1类标准，对环境产生影响较小。</w:t>
            </w:r>
          </w:p>
          <w:p w14:paraId="39E74FB7">
            <w:pPr>
              <w:adjustRightInd w:val="0"/>
              <w:snapToGrid w:val="0"/>
              <w:spacing w:line="360" w:lineRule="auto"/>
              <w:rPr>
                <w:b/>
                <w:bCs/>
                <w:color w:val="auto"/>
                <w:sz w:val="24"/>
              </w:rPr>
            </w:pPr>
            <w:r>
              <w:rPr>
                <w:b/>
                <w:bCs/>
                <w:color w:val="auto"/>
                <w:sz w:val="24"/>
              </w:rPr>
              <w:t>3.3 噪声排放环境监测要求</w:t>
            </w:r>
          </w:p>
          <w:p w14:paraId="79E9F040">
            <w:pPr>
              <w:pStyle w:val="8"/>
              <w:spacing w:after="0" w:line="360" w:lineRule="auto"/>
              <w:ind w:left="0" w:leftChars="0" w:firstLine="480" w:firstLineChars="200"/>
              <w:rPr>
                <w:color w:val="auto"/>
                <w:szCs w:val="24"/>
              </w:rPr>
            </w:pPr>
            <w:r>
              <w:rPr>
                <w:color w:val="auto"/>
                <w:szCs w:val="24"/>
              </w:rPr>
              <w:t>根据</w:t>
            </w:r>
            <w:r>
              <w:rPr>
                <w:rFonts w:hint="eastAsia"/>
                <w:color w:val="auto"/>
                <w:szCs w:val="24"/>
                <w:lang w:val="en-US" w:eastAsia="zh-CN"/>
              </w:rPr>
              <w:t>《排污单位自行监测技术指南 农副食品加工业》（HJ 986-2018）</w:t>
            </w:r>
            <w:r>
              <w:rPr>
                <w:color w:val="auto"/>
                <w:szCs w:val="24"/>
              </w:rPr>
              <w:t>中相关要求</w:t>
            </w:r>
            <w:r>
              <w:rPr>
                <w:rFonts w:hint="eastAsia"/>
                <w:color w:val="auto"/>
                <w:szCs w:val="24"/>
                <w:lang w:eastAsia="zh-CN"/>
              </w:rPr>
              <w:t>，</w:t>
            </w:r>
            <w:r>
              <w:rPr>
                <w:color w:val="auto"/>
                <w:szCs w:val="24"/>
              </w:rPr>
              <w:t>制定了本项目监测计划，具体见下表：</w:t>
            </w:r>
          </w:p>
          <w:p w14:paraId="1EB2C01D">
            <w:pPr>
              <w:pStyle w:val="26"/>
              <w:rPr>
                <w:color w:val="auto"/>
              </w:rPr>
            </w:pPr>
            <w:r>
              <w:rPr>
                <w:color w:val="auto"/>
              </w:rPr>
              <w:t>表4-</w:t>
            </w:r>
            <w:r>
              <w:rPr>
                <w:rFonts w:hint="eastAsia"/>
                <w:color w:val="auto"/>
                <w:lang w:val="en-US" w:eastAsia="zh-CN"/>
              </w:rPr>
              <w:t>5</w:t>
            </w:r>
            <w:r>
              <w:rPr>
                <w:color w:val="auto"/>
              </w:rPr>
              <w:t xml:space="preserve"> 噪声环境监测计划一览表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7"/>
              <w:gridCol w:w="660"/>
              <w:gridCol w:w="1200"/>
              <w:gridCol w:w="1995"/>
              <w:gridCol w:w="1080"/>
              <w:gridCol w:w="2686"/>
            </w:tblGrid>
            <w:tr w14:paraId="270F76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pct"/>
                  <w:gridSpan w:val="2"/>
                  <w:vAlign w:val="center"/>
                </w:tcPr>
                <w:p w14:paraId="4A80CB90">
                  <w:pPr>
                    <w:adjustRightInd w:val="0"/>
                    <w:snapToGrid w:val="0"/>
                    <w:jc w:val="center"/>
                    <w:rPr>
                      <w:b/>
                      <w:color w:val="auto"/>
                      <w:kern w:val="0"/>
                      <w:szCs w:val="21"/>
                    </w:rPr>
                  </w:pPr>
                  <w:r>
                    <w:rPr>
                      <w:b/>
                      <w:color w:val="auto"/>
                      <w:kern w:val="0"/>
                      <w:szCs w:val="21"/>
                    </w:rPr>
                    <w:t>类别</w:t>
                  </w:r>
                </w:p>
              </w:tc>
              <w:tc>
                <w:tcPr>
                  <w:tcW w:w="730" w:type="pct"/>
                  <w:vAlign w:val="center"/>
                </w:tcPr>
                <w:p w14:paraId="4A0E218A">
                  <w:pPr>
                    <w:adjustRightInd w:val="0"/>
                    <w:snapToGrid w:val="0"/>
                    <w:jc w:val="center"/>
                    <w:rPr>
                      <w:b/>
                      <w:color w:val="auto"/>
                      <w:kern w:val="0"/>
                      <w:szCs w:val="21"/>
                    </w:rPr>
                  </w:pPr>
                  <w:r>
                    <w:rPr>
                      <w:b/>
                      <w:color w:val="auto"/>
                      <w:kern w:val="0"/>
                      <w:szCs w:val="21"/>
                    </w:rPr>
                    <w:t>监测项目</w:t>
                  </w:r>
                </w:p>
              </w:tc>
              <w:tc>
                <w:tcPr>
                  <w:tcW w:w="1215" w:type="pct"/>
                  <w:vAlign w:val="center"/>
                </w:tcPr>
                <w:p w14:paraId="1B2976E3">
                  <w:pPr>
                    <w:adjustRightInd w:val="0"/>
                    <w:snapToGrid w:val="0"/>
                    <w:jc w:val="center"/>
                    <w:rPr>
                      <w:b/>
                      <w:color w:val="auto"/>
                      <w:kern w:val="0"/>
                      <w:szCs w:val="21"/>
                    </w:rPr>
                  </w:pPr>
                  <w:r>
                    <w:rPr>
                      <w:b/>
                      <w:color w:val="auto"/>
                      <w:kern w:val="0"/>
                      <w:szCs w:val="21"/>
                    </w:rPr>
                    <w:t>监测点位置</w:t>
                  </w:r>
                </w:p>
              </w:tc>
              <w:tc>
                <w:tcPr>
                  <w:tcW w:w="657" w:type="pct"/>
                  <w:vAlign w:val="center"/>
                </w:tcPr>
                <w:p w14:paraId="20C2AE72">
                  <w:pPr>
                    <w:adjustRightInd w:val="0"/>
                    <w:snapToGrid w:val="0"/>
                    <w:jc w:val="center"/>
                    <w:rPr>
                      <w:b/>
                      <w:color w:val="auto"/>
                      <w:kern w:val="0"/>
                      <w:szCs w:val="21"/>
                    </w:rPr>
                  </w:pPr>
                  <w:r>
                    <w:rPr>
                      <w:b/>
                      <w:color w:val="auto"/>
                      <w:kern w:val="0"/>
                      <w:szCs w:val="21"/>
                    </w:rPr>
                    <w:t>监测频率</w:t>
                  </w:r>
                </w:p>
              </w:tc>
              <w:tc>
                <w:tcPr>
                  <w:tcW w:w="1636" w:type="pct"/>
                  <w:vAlign w:val="center"/>
                </w:tcPr>
                <w:p w14:paraId="67AB05EE">
                  <w:pPr>
                    <w:adjustRightInd w:val="0"/>
                    <w:snapToGrid w:val="0"/>
                    <w:jc w:val="center"/>
                    <w:rPr>
                      <w:b/>
                      <w:color w:val="auto"/>
                      <w:kern w:val="0"/>
                      <w:szCs w:val="21"/>
                    </w:rPr>
                  </w:pPr>
                  <w:r>
                    <w:rPr>
                      <w:b/>
                      <w:color w:val="auto"/>
                      <w:kern w:val="0"/>
                      <w:szCs w:val="21"/>
                    </w:rPr>
                    <w:t>执行标准</w:t>
                  </w:r>
                </w:p>
              </w:tc>
            </w:tr>
            <w:tr w14:paraId="16522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357" w:type="pct"/>
                  <w:vMerge w:val="restart"/>
                  <w:vAlign w:val="center"/>
                </w:tcPr>
                <w:p w14:paraId="173BE39D">
                  <w:pPr>
                    <w:adjustRightInd w:val="0"/>
                    <w:snapToGrid w:val="0"/>
                    <w:jc w:val="center"/>
                    <w:rPr>
                      <w:bCs/>
                      <w:color w:val="auto"/>
                      <w:kern w:val="0"/>
                      <w:szCs w:val="21"/>
                    </w:rPr>
                  </w:pPr>
                  <w:r>
                    <w:rPr>
                      <w:bCs/>
                      <w:color w:val="auto"/>
                      <w:kern w:val="0"/>
                      <w:szCs w:val="21"/>
                    </w:rPr>
                    <w:t>噪声</w:t>
                  </w:r>
                </w:p>
              </w:tc>
              <w:tc>
                <w:tcPr>
                  <w:tcW w:w="402" w:type="pct"/>
                  <w:vMerge w:val="restart"/>
                  <w:vAlign w:val="center"/>
                </w:tcPr>
                <w:p w14:paraId="6F97C91C">
                  <w:pPr>
                    <w:adjustRightInd w:val="0"/>
                    <w:snapToGrid w:val="0"/>
                    <w:jc w:val="center"/>
                    <w:rPr>
                      <w:bCs/>
                      <w:color w:val="auto"/>
                      <w:kern w:val="0"/>
                      <w:szCs w:val="21"/>
                    </w:rPr>
                  </w:pPr>
                  <w:r>
                    <w:rPr>
                      <w:bCs/>
                      <w:color w:val="auto"/>
                      <w:kern w:val="0"/>
                      <w:szCs w:val="21"/>
                    </w:rPr>
                    <w:t>厂界</w:t>
                  </w:r>
                </w:p>
              </w:tc>
              <w:tc>
                <w:tcPr>
                  <w:tcW w:w="730" w:type="pct"/>
                  <w:vMerge w:val="restart"/>
                  <w:vAlign w:val="center"/>
                </w:tcPr>
                <w:p w14:paraId="2D0B3787">
                  <w:pPr>
                    <w:adjustRightInd w:val="0"/>
                    <w:snapToGrid w:val="0"/>
                    <w:jc w:val="center"/>
                    <w:rPr>
                      <w:bCs/>
                      <w:color w:val="auto"/>
                      <w:kern w:val="0"/>
                      <w:szCs w:val="21"/>
                    </w:rPr>
                  </w:pPr>
                  <w:r>
                    <w:rPr>
                      <w:bCs/>
                      <w:color w:val="auto"/>
                      <w:kern w:val="0"/>
                      <w:szCs w:val="21"/>
                    </w:rPr>
                    <w:t>Leq</w:t>
                  </w:r>
                  <w:r>
                    <w:rPr>
                      <w:rFonts w:hint="eastAsia"/>
                      <w:bCs/>
                      <w:color w:val="auto"/>
                      <w:kern w:val="0"/>
                      <w:szCs w:val="21"/>
                    </w:rPr>
                    <w:t>（</w:t>
                  </w:r>
                  <w:r>
                    <w:rPr>
                      <w:bCs/>
                      <w:color w:val="auto"/>
                      <w:kern w:val="0"/>
                      <w:szCs w:val="21"/>
                    </w:rPr>
                    <w:t>A</w:t>
                  </w:r>
                  <w:r>
                    <w:rPr>
                      <w:rFonts w:hint="eastAsia"/>
                      <w:bCs/>
                      <w:color w:val="auto"/>
                      <w:kern w:val="0"/>
                      <w:szCs w:val="21"/>
                    </w:rPr>
                    <w:t>）</w:t>
                  </w:r>
                </w:p>
              </w:tc>
              <w:tc>
                <w:tcPr>
                  <w:tcW w:w="1215" w:type="pct"/>
                  <w:vAlign w:val="center"/>
                </w:tcPr>
                <w:p w14:paraId="225DEF5E">
                  <w:pPr>
                    <w:adjustRightInd w:val="0"/>
                    <w:snapToGrid w:val="0"/>
                    <w:jc w:val="center"/>
                    <w:rPr>
                      <w:rFonts w:hint="eastAsia" w:eastAsia="宋体"/>
                      <w:bCs/>
                      <w:color w:val="auto"/>
                      <w:kern w:val="0"/>
                      <w:szCs w:val="21"/>
                      <w:lang w:eastAsia="zh-CN"/>
                    </w:rPr>
                  </w:pPr>
                  <w:r>
                    <w:rPr>
                      <w:bCs/>
                      <w:color w:val="auto"/>
                      <w:kern w:val="0"/>
                      <w:szCs w:val="21"/>
                    </w:rPr>
                    <w:t>厂界四周</w:t>
                  </w:r>
                  <w:r>
                    <w:rPr>
                      <w:rFonts w:hint="eastAsia"/>
                      <w:bCs/>
                      <w:color w:val="auto"/>
                      <w:kern w:val="0"/>
                      <w:szCs w:val="21"/>
                      <w:lang w:eastAsia="zh-CN"/>
                    </w:rPr>
                    <w:t>，</w:t>
                  </w:r>
                </w:p>
              </w:tc>
              <w:tc>
                <w:tcPr>
                  <w:tcW w:w="657" w:type="pct"/>
                  <w:vMerge w:val="restart"/>
                  <w:vAlign w:val="center"/>
                </w:tcPr>
                <w:p w14:paraId="08B49AE8">
                  <w:pPr>
                    <w:adjustRightInd w:val="0"/>
                    <w:snapToGrid w:val="0"/>
                    <w:jc w:val="center"/>
                    <w:rPr>
                      <w:bCs/>
                      <w:color w:val="auto"/>
                      <w:kern w:val="0"/>
                      <w:szCs w:val="21"/>
                    </w:rPr>
                  </w:pPr>
                  <w:r>
                    <w:rPr>
                      <w:bCs/>
                      <w:color w:val="auto"/>
                      <w:kern w:val="0"/>
                      <w:szCs w:val="21"/>
                    </w:rPr>
                    <w:t>1次/季度</w:t>
                  </w:r>
                </w:p>
              </w:tc>
              <w:tc>
                <w:tcPr>
                  <w:tcW w:w="1636" w:type="pct"/>
                  <w:vAlign w:val="center"/>
                </w:tcPr>
                <w:p w14:paraId="13A75AC6">
                  <w:pPr>
                    <w:adjustRightInd w:val="0"/>
                    <w:snapToGrid w:val="0"/>
                    <w:jc w:val="center"/>
                    <w:rPr>
                      <w:rFonts w:hint="eastAsia" w:eastAsia="宋体"/>
                      <w:bCs/>
                      <w:color w:val="auto"/>
                      <w:kern w:val="0"/>
                      <w:szCs w:val="21"/>
                      <w:lang w:eastAsia="zh-CN"/>
                    </w:rPr>
                  </w:pPr>
                  <w:r>
                    <w:rPr>
                      <w:bCs/>
                      <w:color w:val="auto"/>
                      <w:kern w:val="0"/>
                      <w:szCs w:val="21"/>
                    </w:rPr>
                    <w:t>《工业企业厂界环境噪声排放标准》</w:t>
                  </w:r>
                  <w:r>
                    <w:rPr>
                      <w:rFonts w:hint="eastAsia"/>
                      <w:bCs/>
                      <w:color w:val="auto"/>
                      <w:kern w:val="0"/>
                      <w:szCs w:val="21"/>
                    </w:rPr>
                    <w:t>（</w:t>
                  </w:r>
                  <w:r>
                    <w:rPr>
                      <w:bCs/>
                      <w:color w:val="auto"/>
                      <w:kern w:val="0"/>
                      <w:szCs w:val="21"/>
                    </w:rPr>
                    <w:t>GB12348-2008</w:t>
                  </w:r>
                  <w:r>
                    <w:rPr>
                      <w:rFonts w:hint="eastAsia"/>
                      <w:bCs/>
                      <w:color w:val="auto"/>
                      <w:kern w:val="0"/>
                      <w:szCs w:val="21"/>
                    </w:rPr>
                    <w:t>）1</w:t>
                  </w:r>
                  <w:r>
                    <w:rPr>
                      <w:bCs/>
                      <w:color w:val="auto"/>
                      <w:kern w:val="0"/>
                      <w:szCs w:val="21"/>
                    </w:rPr>
                    <w:t>类标准</w:t>
                  </w:r>
                  <w:r>
                    <w:rPr>
                      <w:rFonts w:hint="eastAsia"/>
                      <w:bCs/>
                      <w:color w:val="auto"/>
                      <w:kern w:val="0"/>
                      <w:szCs w:val="21"/>
                      <w:lang w:eastAsia="zh-CN"/>
                    </w:rPr>
                    <w:t>。</w:t>
                  </w:r>
                </w:p>
              </w:tc>
            </w:tr>
            <w:tr w14:paraId="5FA9A0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765" w:hRule="atLeast"/>
              </w:trPr>
              <w:tc>
                <w:tcPr>
                  <w:tcW w:w="357" w:type="pct"/>
                  <w:vMerge w:val="continue"/>
                  <w:vAlign w:val="center"/>
                </w:tcPr>
                <w:p w14:paraId="53FF6120">
                  <w:pPr>
                    <w:adjustRightInd w:val="0"/>
                    <w:snapToGrid w:val="0"/>
                    <w:jc w:val="center"/>
                    <w:rPr>
                      <w:bCs/>
                      <w:color w:val="auto"/>
                      <w:kern w:val="0"/>
                      <w:szCs w:val="21"/>
                    </w:rPr>
                  </w:pPr>
                </w:p>
              </w:tc>
              <w:tc>
                <w:tcPr>
                  <w:tcW w:w="402" w:type="pct"/>
                  <w:vMerge w:val="continue"/>
                  <w:vAlign w:val="center"/>
                </w:tcPr>
                <w:p w14:paraId="5BC4DCD2">
                  <w:pPr>
                    <w:adjustRightInd w:val="0"/>
                    <w:snapToGrid w:val="0"/>
                    <w:jc w:val="center"/>
                    <w:rPr>
                      <w:bCs/>
                      <w:color w:val="auto"/>
                      <w:kern w:val="0"/>
                      <w:szCs w:val="21"/>
                    </w:rPr>
                  </w:pPr>
                </w:p>
              </w:tc>
              <w:tc>
                <w:tcPr>
                  <w:tcW w:w="730" w:type="pct"/>
                  <w:vMerge w:val="continue"/>
                  <w:vAlign w:val="center"/>
                </w:tcPr>
                <w:p w14:paraId="5296CB4B">
                  <w:pPr>
                    <w:adjustRightInd w:val="0"/>
                    <w:snapToGrid w:val="0"/>
                    <w:jc w:val="center"/>
                    <w:rPr>
                      <w:bCs/>
                      <w:color w:val="auto"/>
                      <w:kern w:val="0"/>
                      <w:szCs w:val="21"/>
                    </w:rPr>
                  </w:pPr>
                </w:p>
              </w:tc>
              <w:tc>
                <w:tcPr>
                  <w:tcW w:w="1215" w:type="pct"/>
                  <w:vAlign w:val="center"/>
                </w:tcPr>
                <w:p w14:paraId="10009C1B">
                  <w:pPr>
                    <w:adjustRightInd w:val="0"/>
                    <w:snapToGrid w:val="0"/>
                    <w:jc w:val="center"/>
                    <w:rPr>
                      <w:bCs/>
                      <w:color w:val="auto"/>
                      <w:kern w:val="0"/>
                      <w:szCs w:val="21"/>
                    </w:rPr>
                  </w:pPr>
                  <w:r>
                    <w:rPr>
                      <w:rFonts w:hint="eastAsia"/>
                      <w:bCs/>
                      <w:color w:val="auto"/>
                      <w:kern w:val="0"/>
                      <w:szCs w:val="21"/>
                      <w:lang w:val="en-US" w:eastAsia="zh-CN"/>
                    </w:rPr>
                    <w:t>声环境敏感点（住户1和住户2）</w:t>
                  </w:r>
                </w:p>
              </w:tc>
              <w:tc>
                <w:tcPr>
                  <w:tcW w:w="657" w:type="pct"/>
                  <w:vMerge w:val="continue"/>
                  <w:vAlign w:val="center"/>
                </w:tcPr>
                <w:p w14:paraId="49FB56E4">
                  <w:pPr>
                    <w:adjustRightInd w:val="0"/>
                    <w:snapToGrid w:val="0"/>
                    <w:jc w:val="center"/>
                    <w:rPr>
                      <w:bCs/>
                      <w:color w:val="auto"/>
                      <w:kern w:val="0"/>
                      <w:szCs w:val="21"/>
                    </w:rPr>
                  </w:pPr>
                </w:p>
              </w:tc>
              <w:tc>
                <w:tcPr>
                  <w:tcW w:w="1636" w:type="pct"/>
                  <w:vAlign w:val="center"/>
                </w:tcPr>
                <w:p w14:paraId="71672137">
                  <w:pPr>
                    <w:adjustRightInd w:val="0"/>
                    <w:snapToGrid w:val="0"/>
                    <w:jc w:val="center"/>
                    <w:rPr>
                      <w:rFonts w:hint="eastAsia" w:eastAsia="宋体"/>
                      <w:bCs/>
                      <w:color w:val="auto"/>
                      <w:kern w:val="0"/>
                      <w:szCs w:val="21"/>
                      <w:lang w:eastAsia="zh-CN"/>
                    </w:rPr>
                  </w:pPr>
                  <w:r>
                    <w:rPr>
                      <w:bCs/>
                      <w:color w:val="auto"/>
                      <w:kern w:val="0"/>
                      <w:szCs w:val="21"/>
                    </w:rPr>
                    <w:t>《声环境质量标准》</w:t>
                  </w:r>
                  <w:r>
                    <w:rPr>
                      <w:rFonts w:hint="eastAsia"/>
                      <w:bCs/>
                      <w:color w:val="auto"/>
                      <w:kern w:val="0"/>
                      <w:szCs w:val="21"/>
                    </w:rPr>
                    <w:t>（</w:t>
                  </w:r>
                  <w:r>
                    <w:rPr>
                      <w:bCs/>
                      <w:color w:val="auto"/>
                      <w:kern w:val="0"/>
                      <w:szCs w:val="21"/>
                    </w:rPr>
                    <w:t>GB3096-2008</w:t>
                  </w:r>
                  <w:r>
                    <w:rPr>
                      <w:rFonts w:hint="eastAsia"/>
                      <w:bCs/>
                      <w:color w:val="auto"/>
                      <w:kern w:val="0"/>
                      <w:szCs w:val="21"/>
                    </w:rPr>
                    <w:t>）</w:t>
                  </w:r>
                  <w:r>
                    <w:rPr>
                      <w:bCs/>
                      <w:color w:val="auto"/>
                      <w:kern w:val="0"/>
                      <w:szCs w:val="21"/>
                    </w:rPr>
                    <w:t>1类标准</w:t>
                  </w:r>
                  <w:r>
                    <w:rPr>
                      <w:rFonts w:hint="eastAsia"/>
                      <w:bCs/>
                      <w:color w:val="auto"/>
                      <w:kern w:val="0"/>
                      <w:szCs w:val="21"/>
                      <w:lang w:eastAsia="zh-CN"/>
                    </w:rPr>
                    <w:t>。</w:t>
                  </w:r>
                </w:p>
              </w:tc>
            </w:tr>
          </w:tbl>
          <w:p w14:paraId="6816160F">
            <w:pPr>
              <w:spacing w:before="240" w:line="360" w:lineRule="auto"/>
              <w:rPr>
                <w:bCs/>
                <w:color w:val="auto"/>
                <w:sz w:val="24"/>
              </w:rPr>
            </w:pPr>
            <w:r>
              <w:rPr>
                <w:b/>
                <w:color w:val="auto"/>
                <w:kern w:val="0"/>
                <w:sz w:val="24"/>
              </w:rPr>
              <w:t>4</w:t>
            </w:r>
            <w:r>
              <w:rPr>
                <w:rFonts w:hint="eastAsia"/>
                <w:b/>
                <w:color w:val="auto"/>
                <w:kern w:val="0"/>
                <w:sz w:val="24"/>
              </w:rPr>
              <w:t>.</w:t>
            </w:r>
            <w:r>
              <w:rPr>
                <w:b/>
                <w:color w:val="auto"/>
                <w:kern w:val="0"/>
                <w:sz w:val="24"/>
              </w:rPr>
              <w:t>固体废物</w:t>
            </w:r>
          </w:p>
          <w:p w14:paraId="38DD161C">
            <w:pPr>
              <w:spacing w:line="360" w:lineRule="auto"/>
              <w:ind w:firstLine="480" w:firstLineChars="200"/>
              <w:rPr>
                <w:rFonts w:hint="default"/>
                <w:color w:val="auto"/>
                <w:sz w:val="24"/>
                <w:lang w:val="en-US" w:eastAsia="zh-CN" w:bidi="ar"/>
              </w:rPr>
            </w:pPr>
            <w:r>
              <w:rPr>
                <w:color w:val="auto"/>
                <w:sz w:val="24"/>
                <w:lang w:bidi="ar"/>
              </w:rPr>
              <w:t>本项目固体废物主要有：</w:t>
            </w:r>
            <w:r>
              <w:rPr>
                <w:rFonts w:hint="eastAsia"/>
                <w:color w:val="auto"/>
                <w:sz w:val="24"/>
                <w:lang w:val="en-US" w:eastAsia="zh-CN" w:bidi="ar"/>
              </w:rPr>
              <w:t>生活垃圾、废菜渣、废包装材料等。</w:t>
            </w:r>
          </w:p>
          <w:p w14:paraId="30BB4FA1">
            <w:pPr>
              <w:spacing w:line="360" w:lineRule="auto"/>
              <w:ind w:firstLine="480" w:firstLineChars="200"/>
              <w:rPr>
                <w:rFonts w:hint="default"/>
                <w:color w:val="auto"/>
                <w:sz w:val="24"/>
                <w:lang w:val="en-US" w:eastAsia="zh-CN" w:bidi="ar"/>
              </w:rPr>
            </w:pPr>
            <w:r>
              <w:rPr>
                <w:rFonts w:hint="eastAsia"/>
                <w:color w:val="auto"/>
                <w:sz w:val="24"/>
                <w:lang w:val="en-US" w:eastAsia="zh-CN" w:bidi="ar"/>
              </w:rPr>
              <w:t>（1）生活垃圾</w:t>
            </w:r>
          </w:p>
          <w:p w14:paraId="6469B2AC">
            <w:pPr>
              <w:spacing w:line="360" w:lineRule="auto"/>
              <w:ind w:firstLine="480" w:firstLineChars="200"/>
              <w:rPr>
                <w:color w:val="auto"/>
                <w:sz w:val="24"/>
                <w:lang w:bidi="ar"/>
              </w:rPr>
            </w:pPr>
            <w:r>
              <w:rPr>
                <w:rFonts w:hint="eastAsia"/>
                <w:color w:val="auto"/>
                <w:sz w:val="24"/>
                <w:lang w:val="en-US" w:eastAsia="zh-CN" w:bidi="ar"/>
              </w:rPr>
              <w:t>本项目运营期夏季收菜、洗菜为3个月，生产期间需雇佣临时工20人，其余运营期共有6名长期工作人员，年工作天数为300天。生活垃圾以</w:t>
            </w:r>
            <w:r>
              <w:rPr>
                <w:rFonts w:hint="default"/>
                <w:color w:val="auto"/>
                <w:sz w:val="24"/>
                <w:lang w:val="en-US" w:eastAsia="zh-CN" w:bidi="ar"/>
              </w:rPr>
              <w:t>0.5kg/</w:t>
            </w:r>
            <w:r>
              <w:rPr>
                <w:rFonts w:hint="eastAsia"/>
                <w:color w:val="auto"/>
                <w:sz w:val="24"/>
                <w:lang w:val="en-US" w:eastAsia="zh-CN" w:bidi="ar"/>
              </w:rPr>
              <w:t>人</w:t>
            </w:r>
            <w:r>
              <w:rPr>
                <w:rFonts w:hint="default"/>
                <w:color w:val="auto"/>
                <w:sz w:val="24"/>
                <w:lang w:val="en-US" w:eastAsia="zh-CN" w:bidi="ar"/>
              </w:rPr>
              <w:t>·d</w:t>
            </w:r>
            <w:r>
              <w:rPr>
                <w:rFonts w:hint="eastAsia"/>
                <w:color w:val="auto"/>
                <w:sz w:val="24"/>
                <w:lang w:val="en-US" w:eastAsia="zh-CN" w:bidi="ar"/>
              </w:rPr>
              <w:t>计，则本项目员工生活垃圾产生量为1.8</w:t>
            </w:r>
            <w:r>
              <w:rPr>
                <w:rFonts w:hint="default"/>
                <w:color w:val="auto"/>
                <w:sz w:val="24"/>
                <w:lang w:val="en-US" w:eastAsia="zh-CN" w:bidi="ar"/>
              </w:rPr>
              <w:t>t/a</w:t>
            </w:r>
            <w:r>
              <w:rPr>
                <w:rFonts w:hint="eastAsia"/>
                <w:color w:val="auto"/>
                <w:sz w:val="24"/>
                <w:lang w:val="en-US" w:eastAsia="zh-CN" w:bidi="ar"/>
              </w:rPr>
              <w:t>，生活垃圾经厂内垃圾箱收集后交由当地环卫部门定期清运处理。</w:t>
            </w:r>
          </w:p>
          <w:p w14:paraId="75AF76CD">
            <w:pPr>
              <w:spacing w:line="360" w:lineRule="auto"/>
              <w:ind w:firstLine="480" w:firstLineChars="200"/>
              <w:rPr>
                <w:rFonts w:hint="eastAsia"/>
                <w:color w:val="auto"/>
                <w:sz w:val="24"/>
                <w:highlight w:val="none"/>
                <w:lang w:val="en-US" w:eastAsia="zh-CN" w:bidi="ar"/>
              </w:rPr>
            </w:pPr>
            <w:r>
              <w:rPr>
                <w:rFonts w:hint="eastAsia"/>
                <w:color w:val="auto"/>
                <w:sz w:val="24"/>
                <w:highlight w:val="none"/>
                <w:lang w:eastAsia="zh-CN" w:bidi="ar"/>
              </w:rPr>
              <w:t>（</w:t>
            </w:r>
            <w:r>
              <w:rPr>
                <w:rFonts w:hint="eastAsia"/>
                <w:color w:val="auto"/>
                <w:sz w:val="24"/>
                <w:highlight w:val="none"/>
                <w:lang w:val="en-US" w:eastAsia="zh-CN" w:bidi="ar"/>
              </w:rPr>
              <w:t>2</w:t>
            </w:r>
            <w:r>
              <w:rPr>
                <w:rFonts w:hint="eastAsia"/>
                <w:color w:val="auto"/>
                <w:sz w:val="24"/>
                <w:highlight w:val="none"/>
                <w:lang w:eastAsia="zh-CN" w:bidi="ar"/>
              </w:rPr>
              <w:t>）</w:t>
            </w:r>
            <w:r>
              <w:rPr>
                <w:rFonts w:hint="eastAsia"/>
                <w:color w:val="auto"/>
                <w:sz w:val="24"/>
                <w:highlight w:val="none"/>
                <w:lang w:val="en-US" w:eastAsia="zh-CN" w:bidi="ar"/>
              </w:rPr>
              <w:t>废菜渣</w:t>
            </w:r>
          </w:p>
          <w:p w14:paraId="6CC60CF5">
            <w:pPr>
              <w:spacing w:line="360" w:lineRule="auto"/>
              <w:ind w:firstLine="480" w:firstLineChars="200"/>
              <w:rPr>
                <w:rFonts w:hint="eastAsia"/>
                <w:color w:val="auto"/>
                <w:sz w:val="24"/>
                <w:highlight w:val="none"/>
                <w:lang w:val="en-US" w:eastAsia="zh-CN" w:bidi="ar"/>
              </w:rPr>
            </w:pPr>
            <w:r>
              <w:rPr>
                <w:rFonts w:hint="eastAsia"/>
                <w:color w:val="auto"/>
                <w:sz w:val="24"/>
                <w:highlight w:val="none"/>
                <w:lang w:val="en-US" w:eastAsia="zh-CN" w:bidi="ar"/>
              </w:rPr>
              <w:t>白菜入场后首先进行人工拣选，选用无腐烂、无虫害、新鲜的蔬菜，去除外面枯黄的叶子和根部。废菜渣产生量约为2t/a，由垃圾桶收集，交由环卫部门处理，日产日清，防止腐烂产生异味。</w:t>
            </w:r>
          </w:p>
          <w:p w14:paraId="68853EDA">
            <w:pPr>
              <w:spacing w:line="360" w:lineRule="auto"/>
              <w:ind w:firstLine="480" w:firstLineChars="200"/>
              <w:rPr>
                <w:rFonts w:hint="eastAsia"/>
                <w:color w:val="auto"/>
                <w:sz w:val="24"/>
                <w:lang w:val="en-US" w:eastAsia="zh-CN" w:bidi="ar"/>
              </w:rPr>
            </w:pPr>
            <w:r>
              <w:rPr>
                <w:rFonts w:hint="eastAsia"/>
                <w:color w:val="auto"/>
                <w:sz w:val="24"/>
                <w:lang w:val="en-US" w:eastAsia="zh-CN" w:bidi="ar"/>
              </w:rPr>
              <w:t>（3）废包装材料</w:t>
            </w:r>
          </w:p>
          <w:p w14:paraId="2F821043">
            <w:pPr>
              <w:spacing w:line="360" w:lineRule="auto"/>
              <w:ind w:firstLine="480" w:firstLineChars="200"/>
              <w:rPr>
                <w:rFonts w:hint="eastAsia"/>
                <w:color w:val="auto"/>
                <w:sz w:val="24"/>
                <w:lang w:val="en-US" w:eastAsia="zh-CN" w:bidi="ar"/>
              </w:rPr>
            </w:pPr>
            <w:r>
              <w:rPr>
                <w:rFonts w:hint="eastAsia"/>
                <w:color w:val="auto"/>
                <w:sz w:val="24"/>
                <w:lang w:val="en-US" w:eastAsia="zh-CN" w:bidi="ar"/>
              </w:rPr>
              <w:t>项目在使用原辅材料及进行产品包装之后，会产生塑料包装袋、包装纸箱等废物。根据企业提供资料，废包装产生量约为1t/a，产生的废包装材料分类收集后外售给废品回收单位。</w:t>
            </w:r>
          </w:p>
          <w:p w14:paraId="65199D19">
            <w:pPr>
              <w:spacing w:line="360" w:lineRule="auto"/>
              <w:ind w:firstLine="480" w:firstLineChars="200"/>
              <w:rPr>
                <w:bCs/>
                <w:color w:val="auto"/>
                <w:kern w:val="28"/>
                <w:sz w:val="24"/>
              </w:rPr>
            </w:pPr>
            <w:r>
              <w:rPr>
                <w:rFonts w:hint="eastAsia"/>
                <w:bCs/>
                <w:color w:val="auto"/>
                <w:kern w:val="28"/>
                <w:sz w:val="24"/>
              </w:rPr>
              <w:t>采取以上措施后，本项目运营期</w:t>
            </w:r>
            <w:r>
              <w:rPr>
                <w:rFonts w:hint="eastAsia"/>
                <w:bCs/>
                <w:color w:val="auto"/>
                <w:kern w:val="28"/>
                <w:sz w:val="24"/>
                <w:lang w:eastAsia="zh-CN"/>
              </w:rPr>
              <w:t>间</w:t>
            </w:r>
            <w:r>
              <w:rPr>
                <w:rFonts w:hint="eastAsia"/>
                <w:bCs/>
                <w:color w:val="auto"/>
                <w:kern w:val="28"/>
                <w:sz w:val="24"/>
              </w:rPr>
              <w:t>固体废物得到</w:t>
            </w:r>
            <w:r>
              <w:rPr>
                <w:rFonts w:hint="eastAsia"/>
                <w:bCs/>
                <w:color w:val="auto"/>
                <w:kern w:val="28"/>
                <w:sz w:val="24"/>
                <w:lang w:eastAsia="zh-CN"/>
              </w:rPr>
              <w:t>了</w:t>
            </w:r>
            <w:r>
              <w:rPr>
                <w:rFonts w:hint="eastAsia"/>
                <w:bCs/>
                <w:color w:val="auto"/>
                <w:kern w:val="28"/>
                <w:sz w:val="24"/>
              </w:rPr>
              <w:t>合理处置</w:t>
            </w:r>
            <w:r>
              <w:rPr>
                <w:bCs/>
                <w:color w:val="auto"/>
                <w:kern w:val="28"/>
                <w:sz w:val="24"/>
              </w:rPr>
              <w:t>。</w:t>
            </w:r>
          </w:p>
          <w:p w14:paraId="22ACADC3">
            <w:pPr>
              <w:adjustRightInd w:val="0"/>
              <w:snapToGrid w:val="0"/>
              <w:spacing w:line="360" w:lineRule="auto"/>
              <w:jc w:val="left"/>
              <w:rPr>
                <w:bCs/>
                <w:color w:val="auto"/>
                <w:kern w:val="28"/>
                <w:sz w:val="24"/>
              </w:rPr>
            </w:pPr>
            <w:r>
              <w:rPr>
                <w:b/>
                <w:bCs/>
                <w:color w:val="auto"/>
                <w:sz w:val="24"/>
              </w:rPr>
              <w:t>5</w:t>
            </w:r>
            <w:r>
              <w:rPr>
                <w:rFonts w:hint="eastAsia"/>
                <w:b/>
                <w:bCs/>
                <w:color w:val="auto"/>
                <w:sz w:val="24"/>
              </w:rPr>
              <w:t>.</w:t>
            </w:r>
            <w:r>
              <w:rPr>
                <w:b/>
                <w:bCs/>
                <w:color w:val="auto"/>
                <w:sz w:val="24"/>
              </w:rPr>
              <w:t>地下水及土壤环境</w:t>
            </w:r>
          </w:p>
          <w:p w14:paraId="500C1FB3">
            <w:pPr>
              <w:adjustRightInd w:val="0"/>
              <w:snapToGrid w:val="0"/>
              <w:spacing w:line="360" w:lineRule="auto"/>
              <w:ind w:firstLine="480" w:firstLineChars="200"/>
              <w:jc w:val="left"/>
              <w:rPr>
                <w:rFonts w:hint="eastAsia"/>
                <w:bCs/>
                <w:color w:val="auto"/>
                <w:kern w:val="28"/>
                <w:sz w:val="24"/>
                <w:lang w:val="en-US" w:eastAsia="zh-CN"/>
              </w:rPr>
            </w:pPr>
            <w:r>
              <w:rPr>
                <w:rFonts w:hint="eastAsia"/>
                <w:bCs/>
                <w:color w:val="auto"/>
                <w:kern w:val="28"/>
                <w:sz w:val="24"/>
                <w:lang w:val="en-US" w:eastAsia="zh-CN"/>
              </w:rPr>
              <w:t>本项目为酱腌菜加工生产项目，运营期废水主要有生活污水和生产废水</w:t>
            </w:r>
            <w:r>
              <w:rPr>
                <w:bCs/>
                <w:color w:val="auto"/>
                <w:kern w:val="28"/>
                <w:sz w:val="24"/>
              </w:rPr>
              <w:t>。生活污水经化粪池收集后，定期拉运至杭锦旗锡尼镇污水处理厂处理。生产废水</w:t>
            </w:r>
            <w:r>
              <w:rPr>
                <w:rFonts w:hint="eastAsia"/>
                <w:bCs/>
                <w:color w:val="auto"/>
                <w:kern w:val="28"/>
                <w:sz w:val="24"/>
                <w:lang w:val="en-US" w:eastAsia="zh-CN"/>
              </w:rPr>
              <w:t>中新鲜蔬菜漂烫清洗废水主要含少量悬浮物，且仅在6-8月份产生，经1#废水储罐收集冷却后，拉运至周边农田，用于农田灌溉；设备清洗废水、地面清洗废水、酸菜清洗废水收集至2#废水储罐，定期拉运至杭锦旗锡尼镇污水处理厂进行处理，不外排；酸菜发酵废水收集至3#废水储罐，定期拉运至蒙苏经济开发区零碳产业园工业污水处理厂处理，不外排。</w:t>
            </w:r>
          </w:p>
          <w:p w14:paraId="7D7445E4">
            <w:pPr>
              <w:adjustRightInd w:val="0"/>
              <w:snapToGrid w:val="0"/>
              <w:spacing w:line="360" w:lineRule="auto"/>
              <w:ind w:firstLine="480" w:firstLineChars="200"/>
              <w:jc w:val="left"/>
              <w:rPr>
                <w:bCs/>
                <w:color w:val="auto"/>
                <w:kern w:val="28"/>
                <w:sz w:val="24"/>
              </w:rPr>
            </w:pPr>
            <w:r>
              <w:rPr>
                <w:bCs/>
                <w:color w:val="auto"/>
                <w:kern w:val="28"/>
                <w:sz w:val="24"/>
              </w:rPr>
              <w:t>本项目周边无地下水集中式饮用水水源和热水、矿泉水、温泉等特殊地下水保护目标</w:t>
            </w:r>
            <w:r>
              <w:rPr>
                <w:rFonts w:hint="eastAsia"/>
                <w:bCs/>
                <w:color w:val="auto"/>
                <w:kern w:val="28"/>
                <w:sz w:val="24"/>
                <w:lang w:eastAsia="zh-CN"/>
              </w:rPr>
              <w:t>。</w:t>
            </w:r>
            <w:r>
              <w:rPr>
                <w:bCs/>
                <w:color w:val="auto"/>
                <w:kern w:val="28"/>
                <w:sz w:val="24"/>
              </w:rPr>
              <w:t>项目使用的原料组分不含有毒</w:t>
            </w:r>
            <w:r>
              <w:rPr>
                <w:rFonts w:hint="eastAsia"/>
                <w:bCs/>
                <w:color w:val="auto"/>
                <w:kern w:val="28"/>
                <w:sz w:val="24"/>
                <w:lang w:eastAsia="zh-CN"/>
              </w:rPr>
              <w:t>、</w:t>
            </w:r>
            <w:r>
              <w:rPr>
                <w:bCs/>
                <w:color w:val="auto"/>
                <w:kern w:val="28"/>
                <w:sz w:val="24"/>
              </w:rPr>
              <w:t>有害的重金属等污染物，不涉及建设用地土壤污染风险筛选值的其他污染物，因此本项目不涉及土壤影响因子。</w:t>
            </w:r>
          </w:p>
          <w:p w14:paraId="70AA453E">
            <w:pPr>
              <w:adjustRightInd w:val="0"/>
              <w:snapToGrid w:val="0"/>
              <w:spacing w:line="360" w:lineRule="auto"/>
              <w:ind w:firstLine="480" w:firstLineChars="200"/>
              <w:jc w:val="left"/>
              <w:rPr>
                <w:color w:val="auto"/>
                <w:sz w:val="24"/>
              </w:rPr>
            </w:pPr>
            <w:r>
              <w:rPr>
                <w:rFonts w:ascii="Times New Roman" w:hAnsi="Times New Roman" w:eastAsia="宋体" w:cs="Times New Roman"/>
                <w:bCs/>
                <w:color w:val="auto"/>
                <w:kern w:val="28"/>
                <w:sz w:val="24"/>
              </w:rPr>
              <w:t>如果项目产生的废水处理设施等防渗措施不到位或发生事故性排放，废水可能会通过下渗对地下水、土壤产生污染。</w:t>
            </w:r>
            <w:r>
              <w:rPr>
                <w:color w:val="auto"/>
                <w:kern w:val="0"/>
                <w:sz w:val="24"/>
              </w:rPr>
              <w:t>项目</w:t>
            </w:r>
            <w:r>
              <w:rPr>
                <w:rFonts w:hint="eastAsia"/>
                <w:color w:val="auto"/>
                <w:kern w:val="0"/>
                <w:sz w:val="24"/>
                <w:lang w:val="en-US" w:eastAsia="zh-CN"/>
              </w:rPr>
              <w:t>对发酵池池底及四周采用铺设钢筋混凝土加防渗剂防渗措施，废水储罐区底部</w:t>
            </w:r>
            <w:r>
              <w:rPr>
                <w:rFonts w:hint="eastAsia"/>
                <w:color w:val="auto"/>
                <w:kern w:val="0"/>
                <w:sz w:val="24"/>
                <w:lang w:eastAsia="zh-CN"/>
              </w:rPr>
              <w:t>、化粪池</w:t>
            </w:r>
            <w:r>
              <w:rPr>
                <w:rFonts w:hint="eastAsia"/>
                <w:color w:val="auto"/>
                <w:kern w:val="0"/>
                <w:sz w:val="24"/>
                <w:lang w:val="en-US" w:eastAsia="zh-CN"/>
              </w:rPr>
              <w:t>池底及四周</w:t>
            </w:r>
            <w:r>
              <w:rPr>
                <w:rFonts w:hint="eastAsia"/>
                <w:color w:val="auto"/>
                <w:kern w:val="0"/>
                <w:sz w:val="24"/>
                <w:lang w:eastAsia="zh-CN"/>
              </w:rPr>
              <w:t>采用</w:t>
            </w:r>
            <w:r>
              <w:rPr>
                <w:rFonts w:hint="eastAsia"/>
                <w:color w:val="auto"/>
                <w:kern w:val="0"/>
                <w:sz w:val="24"/>
                <w:lang w:val="en-US" w:eastAsia="zh-CN"/>
              </w:rPr>
              <w:t>钢筋</w:t>
            </w:r>
            <w:r>
              <w:rPr>
                <w:rFonts w:hint="eastAsia"/>
                <w:color w:val="auto"/>
                <w:kern w:val="0"/>
                <w:sz w:val="24"/>
                <w:lang w:eastAsia="zh-CN"/>
              </w:rPr>
              <w:t>混凝土</w:t>
            </w:r>
            <w:r>
              <w:rPr>
                <w:rFonts w:hint="eastAsia"/>
                <w:color w:val="auto"/>
                <w:kern w:val="0"/>
                <w:sz w:val="24"/>
                <w:lang w:val="en-US" w:eastAsia="zh-CN"/>
              </w:rPr>
              <w:t>浇筑</w:t>
            </w:r>
            <w:r>
              <w:rPr>
                <w:rFonts w:hint="eastAsia"/>
                <w:color w:val="auto"/>
                <w:kern w:val="0"/>
                <w:sz w:val="24"/>
                <w:lang w:eastAsia="zh-CN"/>
              </w:rPr>
              <w:t>，等效黏土防渗层Mb≥1.5</w:t>
            </w:r>
            <w:r>
              <w:rPr>
                <w:rFonts w:hint="eastAsia"/>
                <w:color w:val="auto"/>
                <w:kern w:val="0"/>
                <w:sz w:val="24"/>
                <w:vertAlign w:val="baseline"/>
                <w:lang w:eastAsia="zh-CN"/>
              </w:rPr>
              <w:t>m</w:t>
            </w:r>
            <w:r>
              <w:rPr>
                <w:rFonts w:hint="eastAsia"/>
                <w:color w:val="auto"/>
                <w:kern w:val="0"/>
                <w:sz w:val="24"/>
                <w:lang w:eastAsia="zh-CN"/>
              </w:rPr>
              <w:t>，渗透系数≤1×10</w:t>
            </w:r>
            <w:r>
              <w:rPr>
                <w:rFonts w:hint="eastAsia"/>
                <w:color w:val="auto"/>
                <w:kern w:val="0"/>
                <w:sz w:val="24"/>
                <w:vertAlign w:val="superscript"/>
                <w:lang w:eastAsia="zh-CN"/>
              </w:rPr>
              <w:t>-7</w:t>
            </w:r>
            <w:r>
              <w:rPr>
                <w:rFonts w:hint="eastAsia"/>
                <w:color w:val="auto"/>
                <w:kern w:val="0"/>
                <w:sz w:val="24"/>
                <w:lang w:eastAsia="zh-CN"/>
              </w:rPr>
              <w:t>c</w:t>
            </w:r>
            <w:r>
              <w:rPr>
                <w:rFonts w:hint="eastAsia"/>
                <w:color w:val="auto"/>
                <w:kern w:val="0"/>
                <w:sz w:val="24"/>
                <w:vertAlign w:val="baseline"/>
                <w:lang w:eastAsia="zh-CN"/>
              </w:rPr>
              <w:t>m</w:t>
            </w:r>
            <w:r>
              <w:rPr>
                <w:rFonts w:hint="eastAsia"/>
                <w:color w:val="auto"/>
                <w:kern w:val="0"/>
                <w:sz w:val="24"/>
                <w:lang w:eastAsia="zh-CN"/>
              </w:rPr>
              <w:t>/s。</w:t>
            </w:r>
            <w:r>
              <w:rPr>
                <w:rFonts w:hint="eastAsia"/>
                <w:color w:val="auto"/>
                <w:kern w:val="0"/>
                <w:sz w:val="24"/>
                <w:lang w:val="en-US" w:eastAsia="zh-CN"/>
              </w:rPr>
              <w:t>车间地面、</w:t>
            </w:r>
            <w:r>
              <w:rPr>
                <w:rFonts w:hint="eastAsia"/>
                <w:color w:val="auto"/>
                <w:kern w:val="0"/>
                <w:sz w:val="24"/>
                <w:lang w:eastAsia="zh-CN"/>
              </w:rPr>
              <w:t>室外地面等，</w:t>
            </w:r>
            <w:r>
              <w:rPr>
                <w:rFonts w:hint="eastAsia"/>
                <w:color w:val="auto"/>
                <w:kern w:val="0"/>
                <w:sz w:val="24"/>
                <w:lang w:val="en-US" w:eastAsia="zh-CN"/>
              </w:rPr>
              <w:t>采用混凝土进行</w:t>
            </w:r>
            <w:r>
              <w:rPr>
                <w:rFonts w:hint="eastAsia"/>
                <w:color w:val="auto"/>
                <w:kern w:val="0"/>
                <w:sz w:val="24"/>
                <w:lang w:eastAsia="zh-CN"/>
              </w:rPr>
              <w:t>一般地面硬化。</w:t>
            </w:r>
            <w:r>
              <w:rPr>
                <w:rFonts w:hint="eastAsia"/>
                <w:color w:val="auto"/>
                <w:sz w:val="24"/>
                <w:lang w:val="en-US" w:eastAsia="zh-CN"/>
              </w:rPr>
              <w:t>采取以上措施后，</w:t>
            </w:r>
            <w:r>
              <w:rPr>
                <w:color w:val="auto"/>
                <w:sz w:val="24"/>
              </w:rPr>
              <w:t>对地下水及土壤环境影响较小。</w:t>
            </w:r>
          </w:p>
          <w:p w14:paraId="4F2F60D2">
            <w:pPr>
              <w:pStyle w:val="28"/>
              <w:ind w:firstLine="0" w:firstLineChars="0"/>
              <w:rPr>
                <w:b/>
                <w:bCs/>
                <w:color w:val="auto"/>
              </w:rPr>
            </w:pPr>
            <w:r>
              <w:rPr>
                <w:rFonts w:hint="eastAsia"/>
                <w:b/>
                <w:bCs/>
                <w:color w:val="auto"/>
                <w:lang w:val="en-US" w:eastAsia="zh-CN"/>
              </w:rPr>
              <w:t>6</w:t>
            </w:r>
            <w:r>
              <w:rPr>
                <w:rFonts w:hint="eastAsia"/>
                <w:b/>
                <w:bCs/>
                <w:color w:val="auto"/>
              </w:rPr>
              <w:t>.</w:t>
            </w:r>
            <w:r>
              <w:rPr>
                <w:b/>
                <w:bCs/>
                <w:color w:val="auto"/>
              </w:rPr>
              <w:t>环境风险分析</w:t>
            </w:r>
          </w:p>
          <w:p w14:paraId="67A23785">
            <w:pPr>
              <w:widowControl/>
              <w:adjustRightInd w:val="0"/>
              <w:snapToGrid w:val="0"/>
              <w:spacing w:line="360" w:lineRule="auto"/>
              <w:ind w:firstLine="480" w:firstLineChars="200"/>
              <w:rPr>
                <w:color w:val="auto"/>
                <w:kern w:val="1"/>
                <w:sz w:val="24"/>
              </w:rPr>
            </w:pPr>
            <w:r>
              <w:rPr>
                <w:color w:val="auto"/>
                <w:kern w:val="1"/>
                <w:sz w:val="24"/>
              </w:rPr>
              <w:t>按照《建设项目环境风险评价技术导则》</w:t>
            </w:r>
            <w:r>
              <w:rPr>
                <w:rFonts w:hint="eastAsia"/>
                <w:color w:val="auto"/>
                <w:kern w:val="1"/>
                <w:sz w:val="24"/>
              </w:rPr>
              <w:t>（</w:t>
            </w:r>
            <w:r>
              <w:rPr>
                <w:color w:val="auto"/>
                <w:kern w:val="1"/>
                <w:sz w:val="24"/>
              </w:rPr>
              <w:t>HI/T169-2018</w:t>
            </w:r>
            <w:r>
              <w:rPr>
                <w:rFonts w:hint="eastAsia"/>
                <w:color w:val="auto"/>
                <w:kern w:val="1"/>
                <w:sz w:val="24"/>
              </w:rPr>
              <w:t>）</w:t>
            </w:r>
            <w:r>
              <w:rPr>
                <w:color w:val="auto"/>
                <w:kern w:val="1"/>
                <w:sz w:val="24"/>
              </w:rPr>
              <w:t>的要求，本项目不涉及环境风险物质，故不开展环境风险分析。</w:t>
            </w:r>
          </w:p>
          <w:p w14:paraId="5538E459">
            <w:pPr>
              <w:widowControl/>
              <w:adjustRightInd w:val="0"/>
              <w:snapToGrid w:val="0"/>
              <w:spacing w:line="360" w:lineRule="auto"/>
              <w:rPr>
                <w:color w:val="auto"/>
                <w:kern w:val="1"/>
                <w:sz w:val="24"/>
              </w:rPr>
            </w:pPr>
            <w:r>
              <w:rPr>
                <w:rFonts w:hint="eastAsia"/>
                <w:b/>
                <w:bCs/>
                <w:color w:val="auto"/>
                <w:sz w:val="24"/>
                <w:szCs w:val="32"/>
                <w:lang w:val="en-US" w:eastAsia="zh-CN"/>
              </w:rPr>
              <w:t>7</w:t>
            </w:r>
            <w:r>
              <w:rPr>
                <w:rFonts w:hint="eastAsia"/>
                <w:b/>
                <w:bCs/>
                <w:color w:val="auto"/>
                <w:sz w:val="24"/>
                <w:szCs w:val="32"/>
              </w:rPr>
              <w:t>.</w:t>
            </w:r>
            <w:r>
              <w:rPr>
                <w:rFonts w:hint="eastAsia"/>
                <w:b/>
                <w:bCs/>
                <w:color w:val="auto"/>
                <w:sz w:val="24"/>
                <w:szCs w:val="32"/>
                <w:lang w:eastAsia="zh-CN"/>
              </w:rPr>
              <w:t>“</w:t>
            </w:r>
            <w:r>
              <w:rPr>
                <w:b/>
                <w:bCs/>
                <w:color w:val="auto"/>
                <w:sz w:val="24"/>
                <w:szCs w:val="32"/>
              </w:rPr>
              <w:t>三同时</w:t>
            </w:r>
            <w:r>
              <w:rPr>
                <w:rFonts w:hint="eastAsia"/>
                <w:b/>
                <w:bCs/>
                <w:color w:val="auto"/>
                <w:sz w:val="24"/>
                <w:szCs w:val="32"/>
                <w:lang w:eastAsia="zh-CN"/>
              </w:rPr>
              <w:t>”</w:t>
            </w:r>
            <w:r>
              <w:rPr>
                <w:b/>
                <w:bCs/>
                <w:color w:val="auto"/>
                <w:sz w:val="24"/>
                <w:szCs w:val="32"/>
              </w:rPr>
              <w:t>验收清单</w:t>
            </w:r>
          </w:p>
          <w:p w14:paraId="029D0DEA">
            <w:pPr>
              <w:pStyle w:val="29"/>
              <w:rPr>
                <w:color w:val="auto"/>
              </w:rPr>
            </w:pPr>
            <w:r>
              <w:rPr>
                <w:color w:val="auto"/>
              </w:rPr>
              <w:t>表4-</w:t>
            </w:r>
            <w:r>
              <w:rPr>
                <w:rFonts w:hint="eastAsia"/>
                <w:color w:val="auto"/>
                <w:lang w:val="en-US" w:eastAsia="zh-CN"/>
              </w:rPr>
              <w:t>6</w:t>
            </w:r>
            <w:r>
              <w:rPr>
                <w:color w:val="auto"/>
              </w:rPr>
              <w:t xml:space="preserve"> 建设项目</w:t>
            </w:r>
            <w:r>
              <w:rPr>
                <w:rFonts w:hint="eastAsia"/>
                <w:color w:val="auto"/>
                <w:lang w:eastAsia="zh-CN"/>
              </w:rPr>
              <w:t>“</w:t>
            </w:r>
            <w:r>
              <w:rPr>
                <w:color w:val="auto"/>
              </w:rPr>
              <w:t>三同时</w:t>
            </w:r>
            <w:r>
              <w:rPr>
                <w:rFonts w:hint="eastAsia"/>
                <w:color w:val="auto"/>
                <w:lang w:eastAsia="zh-CN"/>
              </w:rPr>
              <w:t>”</w:t>
            </w:r>
            <w:r>
              <w:rPr>
                <w:color w:val="auto"/>
              </w:rPr>
              <w:t>工程验收一览表</w:t>
            </w:r>
          </w:p>
          <w:tbl>
            <w:tblPr>
              <w:tblStyle w:val="17"/>
              <w:tblW w:w="832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3"/>
              <w:gridCol w:w="1569"/>
              <w:gridCol w:w="3688"/>
              <w:gridCol w:w="2586"/>
            </w:tblGrid>
            <w:tr w14:paraId="1C1018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Align w:val="center"/>
                </w:tcPr>
                <w:p w14:paraId="5E2B8CD8">
                  <w:pPr>
                    <w:adjustRightInd w:val="0"/>
                    <w:snapToGrid w:val="0"/>
                    <w:jc w:val="center"/>
                    <w:rPr>
                      <w:b/>
                      <w:bCs/>
                      <w:color w:val="auto"/>
                    </w:rPr>
                  </w:pPr>
                  <w:r>
                    <w:rPr>
                      <w:b/>
                      <w:bCs/>
                      <w:color w:val="auto"/>
                    </w:rPr>
                    <w:t>类型</w:t>
                  </w:r>
                </w:p>
              </w:tc>
              <w:tc>
                <w:tcPr>
                  <w:tcW w:w="942" w:type="pct"/>
                  <w:vAlign w:val="center"/>
                </w:tcPr>
                <w:p w14:paraId="47C71536">
                  <w:pPr>
                    <w:adjustRightInd w:val="0"/>
                    <w:snapToGrid w:val="0"/>
                    <w:jc w:val="center"/>
                    <w:rPr>
                      <w:b/>
                      <w:bCs/>
                      <w:color w:val="auto"/>
                    </w:rPr>
                  </w:pPr>
                  <w:r>
                    <w:rPr>
                      <w:b/>
                      <w:bCs/>
                      <w:color w:val="auto"/>
                    </w:rPr>
                    <w:t>污染工序</w:t>
                  </w:r>
                </w:p>
              </w:tc>
              <w:tc>
                <w:tcPr>
                  <w:tcW w:w="2214" w:type="pct"/>
                  <w:vAlign w:val="center"/>
                </w:tcPr>
                <w:p w14:paraId="3B8581D3">
                  <w:pPr>
                    <w:adjustRightInd w:val="0"/>
                    <w:snapToGrid w:val="0"/>
                    <w:jc w:val="center"/>
                    <w:rPr>
                      <w:b/>
                      <w:bCs/>
                      <w:color w:val="auto"/>
                    </w:rPr>
                  </w:pPr>
                  <w:r>
                    <w:rPr>
                      <w:b/>
                      <w:bCs/>
                      <w:color w:val="auto"/>
                    </w:rPr>
                    <w:t>环保措施</w:t>
                  </w:r>
                </w:p>
              </w:tc>
              <w:tc>
                <w:tcPr>
                  <w:tcW w:w="1552" w:type="pct"/>
                  <w:vAlign w:val="center"/>
                </w:tcPr>
                <w:p w14:paraId="0BD240E4">
                  <w:pPr>
                    <w:adjustRightInd w:val="0"/>
                    <w:snapToGrid w:val="0"/>
                    <w:jc w:val="center"/>
                    <w:rPr>
                      <w:b/>
                      <w:bCs/>
                      <w:color w:val="auto"/>
                    </w:rPr>
                  </w:pPr>
                  <w:r>
                    <w:rPr>
                      <w:b/>
                      <w:bCs/>
                      <w:color w:val="auto"/>
                    </w:rPr>
                    <w:t>验收标准</w:t>
                  </w:r>
                </w:p>
              </w:tc>
            </w:tr>
            <w:tr w14:paraId="53FF57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restart"/>
                  <w:vAlign w:val="center"/>
                </w:tcPr>
                <w:p w14:paraId="3075F2DF">
                  <w:pPr>
                    <w:adjustRightInd w:val="0"/>
                    <w:snapToGrid w:val="0"/>
                    <w:jc w:val="center"/>
                    <w:rPr>
                      <w:b/>
                      <w:bCs/>
                      <w:color w:val="auto"/>
                    </w:rPr>
                  </w:pPr>
                  <w:r>
                    <w:rPr>
                      <w:color w:val="auto"/>
                    </w:rPr>
                    <w:t>废气</w:t>
                  </w:r>
                </w:p>
              </w:tc>
              <w:tc>
                <w:tcPr>
                  <w:tcW w:w="1569" w:type="dxa"/>
                  <w:vAlign w:val="center"/>
                </w:tcPr>
                <w:p w14:paraId="37F32F4D">
                  <w:pPr>
                    <w:adjustRightInd w:val="0"/>
                    <w:snapToGrid w:val="0"/>
                    <w:jc w:val="center"/>
                    <w:rPr>
                      <w:rFonts w:hint="default" w:eastAsia="宋体"/>
                      <w:b w:val="0"/>
                      <w:bCs w:val="0"/>
                      <w:color w:val="auto"/>
                      <w:lang w:val="en-US" w:eastAsia="zh-CN"/>
                    </w:rPr>
                  </w:pPr>
                  <w:r>
                    <w:rPr>
                      <w:rFonts w:hint="eastAsia"/>
                      <w:b w:val="0"/>
                      <w:bCs w:val="0"/>
                      <w:color w:val="auto"/>
                      <w:lang w:val="en-US" w:eastAsia="zh-CN"/>
                    </w:rPr>
                    <w:t>发酵工序</w:t>
                  </w:r>
                </w:p>
              </w:tc>
              <w:tc>
                <w:tcPr>
                  <w:tcW w:w="2214" w:type="pct"/>
                  <w:vAlign w:val="center"/>
                </w:tcPr>
                <w:p w14:paraId="076A7218">
                  <w:pPr>
                    <w:adjustRightInd w:val="0"/>
                    <w:snapToGrid w:val="0"/>
                    <w:jc w:val="center"/>
                    <w:rPr>
                      <w:b w:val="0"/>
                      <w:bCs w:val="0"/>
                      <w:color w:val="auto"/>
                    </w:rPr>
                  </w:pPr>
                  <w:r>
                    <w:rPr>
                      <w:rFonts w:hint="eastAsia"/>
                      <w:b w:val="0"/>
                      <w:bCs w:val="0"/>
                      <w:color w:val="auto"/>
                      <w:lang w:val="en-US" w:eastAsia="zh-CN"/>
                    </w:rPr>
                    <w:t>封闭车间、地下发酵池塑料膜覆盖封闭、发酵桶加盖密闭。</w:t>
                  </w:r>
                </w:p>
              </w:tc>
              <w:tc>
                <w:tcPr>
                  <w:tcW w:w="1552" w:type="pct"/>
                  <w:vMerge w:val="restart"/>
                  <w:vAlign w:val="center"/>
                </w:tcPr>
                <w:p w14:paraId="19A7C362">
                  <w:pPr>
                    <w:adjustRightInd w:val="0"/>
                    <w:snapToGrid w:val="0"/>
                    <w:jc w:val="center"/>
                    <w:rPr>
                      <w:rFonts w:hint="eastAsia" w:eastAsia="宋体"/>
                      <w:b w:val="0"/>
                      <w:bCs w:val="0"/>
                      <w:color w:val="auto"/>
                      <w:lang w:eastAsia="zh-CN"/>
                    </w:rPr>
                  </w:pPr>
                  <w:r>
                    <w:rPr>
                      <w:rFonts w:hint="eastAsia"/>
                      <w:b w:val="0"/>
                      <w:bCs w:val="0"/>
                      <w:color w:val="auto"/>
                    </w:rPr>
                    <w:t>《恶臭污染物排放标准》</w:t>
                  </w:r>
                  <w:r>
                    <w:rPr>
                      <w:rFonts w:hint="eastAsia"/>
                      <w:b w:val="0"/>
                      <w:bCs w:val="0"/>
                      <w:color w:val="auto"/>
                      <w:lang w:eastAsia="zh-CN"/>
                    </w:rPr>
                    <w:t>（</w:t>
                  </w:r>
                  <w:r>
                    <w:rPr>
                      <w:rFonts w:hint="eastAsia"/>
                      <w:b w:val="0"/>
                      <w:bCs w:val="0"/>
                      <w:color w:val="auto"/>
                    </w:rPr>
                    <w:t>GB14554-93</w:t>
                  </w:r>
                  <w:r>
                    <w:rPr>
                      <w:rFonts w:hint="eastAsia"/>
                      <w:b w:val="0"/>
                      <w:bCs w:val="0"/>
                      <w:color w:val="auto"/>
                      <w:lang w:eastAsia="zh-CN"/>
                    </w:rPr>
                    <w:t>）</w:t>
                  </w:r>
                  <w:r>
                    <w:rPr>
                      <w:b w:val="0"/>
                      <w:bCs w:val="0"/>
                      <w:color w:val="auto"/>
                    </w:rPr>
                    <w:t>表</w:t>
                  </w:r>
                  <w:r>
                    <w:rPr>
                      <w:rFonts w:hint="eastAsia"/>
                      <w:b w:val="0"/>
                      <w:bCs w:val="0"/>
                      <w:color w:val="auto"/>
                      <w:lang w:val="en-US" w:eastAsia="zh-CN"/>
                    </w:rPr>
                    <w:t>1</w:t>
                  </w:r>
                  <w:r>
                    <w:rPr>
                      <w:b w:val="0"/>
                      <w:bCs w:val="0"/>
                      <w:color w:val="auto"/>
                    </w:rPr>
                    <w:t>标准</w:t>
                  </w:r>
                  <w:r>
                    <w:rPr>
                      <w:rFonts w:hint="eastAsia"/>
                      <w:b w:val="0"/>
                      <w:bCs w:val="0"/>
                      <w:color w:val="auto"/>
                      <w:lang w:eastAsia="zh-CN"/>
                    </w:rPr>
                    <w:t>。</w:t>
                  </w:r>
                </w:p>
              </w:tc>
            </w:tr>
            <w:tr w14:paraId="7AC74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68BADD42">
                  <w:pPr>
                    <w:adjustRightInd w:val="0"/>
                    <w:snapToGrid w:val="0"/>
                    <w:jc w:val="center"/>
                    <w:rPr>
                      <w:color w:val="auto"/>
                    </w:rPr>
                  </w:pPr>
                </w:p>
              </w:tc>
              <w:tc>
                <w:tcPr>
                  <w:tcW w:w="1569" w:type="dxa"/>
                  <w:vAlign w:val="center"/>
                </w:tcPr>
                <w:p w14:paraId="50B480B7">
                  <w:pPr>
                    <w:adjustRightInd w:val="0"/>
                    <w:snapToGrid w:val="0"/>
                    <w:jc w:val="center"/>
                    <w:rPr>
                      <w:rFonts w:hint="default"/>
                      <w:b w:val="0"/>
                      <w:bCs w:val="0"/>
                      <w:color w:val="auto"/>
                      <w:lang w:val="en-US" w:eastAsia="zh-CN"/>
                    </w:rPr>
                  </w:pPr>
                  <w:r>
                    <w:rPr>
                      <w:rFonts w:hint="eastAsia"/>
                      <w:b w:val="0"/>
                      <w:bCs w:val="0"/>
                      <w:color w:val="auto"/>
                      <w:lang w:val="en-US" w:eastAsia="zh-CN"/>
                    </w:rPr>
                    <w:t>废水存储及运输</w:t>
                  </w:r>
                </w:p>
              </w:tc>
              <w:tc>
                <w:tcPr>
                  <w:tcW w:w="2214" w:type="pct"/>
                  <w:vAlign w:val="center"/>
                </w:tcPr>
                <w:p w14:paraId="3B96F271">
                  <w:pPr>
                    <w:adjustRightInd w:val="0"/>
                    <w:snapToGrid w:val="0"/>
                    <w:jc w:val="center"/>
                    <w:rPr>
                      <w:rFonts w:hint="eastAsia"/>
                      <w:b w:val="0"/>
                      <w:bCs w:val="0"/>
                      <w:color w:val="auto"/>
                      <w:lang w:val="en-US" w:eastAsia="zh-CN"/>
                    </w:rPr>
                  </w:pPr>
                  <w:r>
                    <w:rPr>
                      <w:rFonts w:hint="eastAsia"/>
                      <w:b w:val="0"/>
                      <w:bCs w:val="0"/>
                      <w:color w:val="auto"/>
                      <w:lang w:val="en-US" w:eastAsia="zh-CN"/>
                    </w:rPr>
                    <w:t>废水储罐加盖密闭、运输车辆污水箱全封闭</w:t>
                  </w:r>
                </w:p>
              </w:tc>
              <w:tc>
                <w:tcPr>
                  <w:tcW w:w="1552" w:type="pct"/>
                  <w:vMerge w:val="continue"/>
                  <w:vAlign w:val="center"/>
                </w:tcPr>
                <w:p w14:paraId="7E8B4C49">
                  <w:pPr>
                    <w:adjustRightInd w:val="0"/>
                    <w:snapToGrid w:val="0"/>
                    <w:jc w:val="center"/>
                    <w:rPr>
                      <w:rFonts w:hint="eastAsia"/>
                      <w:b w:val="0"/>
                      <w:bCs w:val="0"/>
                      <w:color w:val="auto"/>
                    </w:rPr>
                  </w:pPr>
                </w:p>
              </w:tc>
            </w:tr>
            <w:tr w14:paraId="1D74DC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restart"/>
                  <w:vAlign w:val="center"/>
                </w:tcPr>
                <w:p w14:paraId="3C29B57D">
                  <w:pPr>
                    <w:adjustRightInd w:val="0"/>
                    <w:snapToGrid w:val="0"/>
                    <w:jc w:val="center"/>
                    <w:rPr>
                      <w:color w:val="auto"/>
                    </w:rPr>
                  </w:pPr>
                  <w:r>
                    <w:rPr>
                      <w:color w:val="auto"/>
                    </w:rPr>
                    <w:t>废水</w:t>
                  </w:r>
                </w:p>
              </w:tc>
              <w:tc>
                <w:tcPr>
                  <w:tcW w:w="942" w:type="pct"/>
                  <w:shd w:val="clear" w:color="auto" w:fill="auto"/>
                  <w:vAlign w:val="center"/>
                </w:tcPr>
                <w:p w14:paraId="27244504">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bCs/>
                      <w:color w:val="auto"/>
                      <w:kern w:val="0"/>
                      <w:sz w:val="21"/>
                      <w:szCs w:val="21"/>
                      <w:lang w:val="en-US" w:eastAsia="zh-CN" w:bidi="ar-SA"/>
                    </w:rPr>
                  </w:pPr>
                  <w:r>
                    <w:rPr>
                      <w:bCs/>
                      <w:color w:val="auto"/>
                      <w:kern w:val="0"/>
                      <w:szCs w:val="21"/>
                    </w:rPr>
                    <w:t>生活污水</w:t>
                  </w:r>
                </w:p>
              </w:tc>
              <w:tc>
                <w:tcPr>
                  <w:tcW w:w="2214" w:type="pct"/>
                  <w:shd w:val="clear" w:color="auto" w:fill="auto"/>
                  <w:vAlign w:val="center"/>
                </w:tcPr>
                <w:p w14:paraId="357884AB">
                  <w:pPr>
                    <w:numPr>
                      <w:ilvl w:val="3"/>
                      <w:numId w:val="0"/>
                    </w:numPr>
                    <w:tabs>
                      <w:tab w:val="left" w:pos="851"/>
                      <w:tab w:val="left" w:pos="2880"/>
                    </w:tabs>
                    <w:adjustRightInd w:val="0"/>
                    <w:snapToGrid w:val="0"/>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szCs w:val="21"/>
                      <w:lang w:eastAsia="zh-CN"/>
                    </w:rPr>
                    <w:t>生活污水经化粪池收集后</w:t>
                  </w:r>
                  <w:r>
                    <w:rPr>
                      <w:bCs/>
                      <w:color w:val="auto"/>
                      <w:kern w:val="0"/>
                      <w:szCs w:val="21"/>
                    </w:rPr>
                    <w:t>，定期拉运至杭锦旗锡尼镇污水处理厂处理</w:t>
                  </w:r>
                  <w:r>
                    <w:rPr>
                      <w:rFonts w:hint="eastAsia"/>
                      <w:bCs/>
                      <w:color w:val="auto"/>
                      <w:kern w:val="0"/>
                      <w:szCs w:val="21"/>
                      <w:lang w:eastAsia="zh-CN"/>
                    </w:rPr>
                    <w:t>。</w:t>
                  </w:r>
                </w:p>
              </w:tc>
              <w:tc>
                <w:tcPr>
                  <w:tcW w:w="1552" w:type="pct"/>
                  <w:shd w:val="clear" w:color="auto" w:fill="auto"/>
                  <w:vAlign w:val="center"/>
                </w:tcPr>
                <w:p w14:paraId="6B866245">
                  <w:pPr>
                    <w:adjustRightInd w:val="0"/>
                    <w:snapToGrid w:val="0"/>
                    <w:jc w:val="center"/>
                    <w:rPr>
                      <w:rFonts w:hint="eastAsia" w:ascii="Times New Roman" w:hAnsi="Times New Roman" w:eastAsia="宋体" w:cs="Times New Roman"/>
                      <w:color w:val="auto"/>
                      <w:kern w:val="2"/>
                      <w:sz w:val="21"/>
                      <w:szCs w:val="24"/>
                      <w:lang w:val="en-US" w:eastAsia="zh-CN" w:bidi="ar-SA"/>
                    </w:rPr>
                  </w:pPr>
                  <w:r>
                    <w:rPr>
                      <w:rFonts w:hint="eastAsia"/>
                      <w:color w:val="auto"/>
                      <w:lang w:val="en-US" w:eastAsia="zh-CN"/>
                    </w:rPr>
                    <w:t>/</w:t>
                  </w:r>
                </w:p>
              </w:tc>
            </w:tr>
            <w:tr w14:paraId="2814F4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3DACA8A8">
                  <w:pPr>
                    <w:adjustRightInd w:val="0"/>
                    <w:snapToGrid w:val="0"/>
                    <w:jc w:val="center"/>
                    <w:rPr>
                      <w:color w:val="auto"/>
                    </w:rPr>
                  </w:pPr>
                </w:p>
              </w:tc>
              <w:tc>
                <w:tcPr>
                  <w:tcW w:w="942" w:type="pct"/>
                  <w:vAlign w:val="center"/>
                </w:tcPr>
                <w:p w14:paraId="29024621">
                  <w:pPr>
                    <w:numPr>
                      <w:ilvl w:val="3"/>
                      <w:numId w:val="0"/>
                    </w:numPr>
                    <w:tabs>
                      <w:tab w:val="left" w:pos="851"/>
                      <w:tab w:val="left" w:pos="2880"/>
                    </w:tabs>
                    <w:adjustRightInd w:val="0"/>
                    <w:snapToGrid w:val="0"/>
                    <w:jc w:val="center"/>
                    <w:rPr>
                      <w:rFonts w:hint="eastAsia"/>
                      <w:color w:val="auto"/>
                      <w:kern w:val="0"/>
                      <w:szCs w:val="21"/>
                      <w:lang w:val="pt-BR"/>
                    </w:rPr>
                  </w:pPr>
                  <w:r>
                    <w:rPr>
                      <w:rFonts w:hint="eastAsia"/>
                      <w:color w:val="auto"/>
                      <w:kern w:val="0"/>
                      <w:szCs w:val="21"/>
                      <w:lang w:val="pt-BR"/>
                    </w:rPr>
                    <w:t>生产废水</w:t>
                  </w:r>
                </w:p>
              </w:tc>
              <w:tc>
                <w:tcPr>
                  <w:tcW w:w="2214" w:type="pct"/>
                  <w:vAlign w:val="center"/>
                </w:tcPr>
                <w:p w14:paraId="2850610C">
                  <w:pPr>
                    <w:numPr>
                      <w:ilvl w:val="3"/>
                      <w:numId w:val="0"/>
                    </w:numPr>
                    <w:tabs>
                      <w:tab w:val="left" w:pos="851"/>
                      <w:tab w:val="left" w:pos="2880"/>
                    </w:tabs>
                    <w:adjustRightInd w:val="0"/>
                    <w:snapToGrid w:val="0"/>
                    <w:jc w:val="center"/>
                    <w:rPr>
                      <w:rFonts w:hint="eastAsia"/>
                      <w:bCs/>
                      <w:color w:val="auto"/>
                      <w:szCs w:val="21"/>
                      <w:lang w:val="en-US" w:eastAsia="zh-CN"/>
                    </w:rPr>
                  </w:pPr>
                  <w:r>
                    <w:rPr>
                      <w:rFonts w:hint="eastAsia"/>
                      <w:bCs/>
                      <w:color w:val="auto"/>
                      <w:szCs w:val="21"/>
                      <w:lang w:val="en-US" w:eastAsia="zh-CN"/>
                    </w:rPr>
                    <w:t>新鲜蔬菜漂烫清洗仅含少量悬浮物，且仅在6-8月份产生，经1#废水储罐收集冷却后，拉运至周边农田，用于农田灌溉；</w:t>
                  </w:r>
                </w:p>
                <w:p w14:paraId="108AAED2">
                  <w:pPr>
                    <w:numPr>
                      <w:ilvl w:val="3"/>
                      <w:numId w:val="0"/>
                    </w:numPr>
                    <w:tabs>
                      <w:tab w:val="left" w:pos="851"/>
                      <w:tab w:val="left" w:pos="2880"/>
                    </w:tabs>
                    <w:adjustRightInd w:val="0"/>
                    <w:snapToGrid w:val="0"/>
                    <w:jc w:val="center"/>
                    <w:rPr>
                      <w:rFonts w:hint="eastAsia"/>
                      <w:bCs/>
                      <w:color w:val="auto"/>
                      <w:szCs w:val="21"/>
                      <w:lang w:val="en-US" w:eastAsia="zh-CN"/>
                    </w:rPr>
                  </w:pPr>
                  <w:r>
                    <w:rPr>
                      <w:rFonts w:hint="eastAsia"/>
                      <w:bCs/>
                      <w:color w:val="auto"/>
                      <w:szCs w:val="21"/>
                      <w:lang w:val="en-US" w:eastAsia="zh-CN"/>
                    </w:rPr>
                    <w:t>设备清洗废水、地面清洗废水、清洗酸菜废水经2#废水储罐收集后，定期拉运至杭锦旗锡尼镇污水处理厂处理，不外排；</w:t>
                  </w:r>
                </w:p>
                <w:p w14:paraId="4513F9E5">
                  <w:pPr>
                    <w:numPr>
                      <w:ilvl w:val="3"/>
                      <w:numId w:val="0"/>
                    </w:numPr>
                    <w:tabs>
                      <w:tab w:val="left" w:pos="851"/>
                      <w:tab w:val="left" w:pos="2880"/>
                    </w:tabs>
                    <w:adjustRightInd w:val="0"/>
                    <w:snapToGrid w:val="0"/>
                    <w:jc w:val="center"/>
                    <w:rPr>
                      <w:bCs/>
                      <w:color w:val="auto"/>
                      <w:szCs w:val="21"/>
                    </w:rPr>
                  </w:pPr>
                  <w:r>
                    <w:rPr>
                      <w:rFonts w:hint="eastAsia"/>
                      <w:bCs/>
                      <w:color w:val="auto"/>
                      <w:szCs w:val="21"/>
                      <w:lang w:val="en-US" w:eastAsia="zh-CN"/>
                    </w:rPr>
                    <w:t>酸菜发酵废水经3#废水储罐收集后，定期拉运至蒙苏经济开发区零碳产业园工业污水处理厂处理，不</w:t>
                  </w:r>
                  <w:r>
                    <w:rPr>
                      <w:bCs/>
                      <w:color w:val="auto"/>
                      <w:szCs w:val="21"/>
                    </w:rPr>
                    <w:t>外排。</w:t>
                  </w:r>
                </w:p>
              </w:tc>
              <w:tc>
                <w:tcPr>
                  <w:tcW w:w="1552" w:type="pct"/>
                  <w:vAlign w:val="center"/>
                </w:tcPr>
                <w:p w14:paraId="14353F85">
                  <w:pPr>
                    <w:adjustRightInd w:val="0"/>
                    <w:snapToGrid w:val="0"/>
                    <w:jc w:val="center"/>
                    <w:rPr>
                      <w:rFonts w:hint="eastAsia" w:eastAsia="宋体"/>
                      <w:color w:val="auto"/>
                      <w:lang w:val="en-US" w:eastAsia="zh-CN"/>
                    </w:rPr>
                  </w:pPr>
                  <w:r>
                    <w:rPr>
                      <w:rFonts w:hint="eastAsia"/>
                      <w:color w:val="auto"/>
                      <w:lang w:val="en-US" w:eastAsia="zh-CN"/>
                    </w:rPr>
                    <w:t>/</w:t>
                  </w:r>
                </w:p>
              </w:tc>
            </w:tr>
            <w:tr w14:paraId="46F1A5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Align w:val="center"/>
                </w:tcPr>
                <w:p w14:paraId="5C254265">
                  <w:pPr>
                    <w:adjustRightInd w:val="0"/>
                    <w:snapToGrid w:val="0"/>
                    <w:rPr>
                      <w:color w:val="auto"/>
                    </w:rPr>
                  </w:pPr>
                  <w:r>
                    <w:rPr>
                      <w:color w:val="auto"/>
                    </w:rPr>
                    <w:t>噪声</w:t>
                  </w:r>
                </w:p>
              </w:tc>
              <w:tc>
                <w:tcPr>
                  <w:tcW w:w="942" w:type="pct"/>
                  <w:vAlign w:val="center"/>
                </w:tcPr>
                <w:p w14:paraId="1C70F3FC">
                  <w:pPr>
                    <w:adjustRightInd w:val="0"/>
                    <w:snapToGrid w:val="0"/>
                    <w:jc w:val="center"/>
                    <w:rPr>
                      <w:color w:val="auto"/>
                    </w:rPr>
                  </w:pPr>
                  <w:r>
                    <w:rPr>
                      <w:color w:val="auto"/>
                    </w:rPr>
                    <w:t>生产设备</w:t>
                  </w:r>
                </w:p>
              </w:tc>
              <w:tc>
                <w:tcPr>
                  <w:tcW w:w="2214" w:type="pct"/>
                  <w:vAlign w:val="center"/>
                </w:tcPr>
                <w:p w14:paraId="344CD57A">
                  <w:pPr>
                    <w:adjustRightInd w:val="0"/>
                    <w:snapToGrid w:val="0"/>
                    <w:jc w:val="center"/>
                    <w:rPr>
                      <w:color w:val="auto"/>
                    </w:rPr>
                  </w:pPr>
                  <w:r>
                    <w:rPr>
                      <w:rFonts w:hint="eastAsia"/>
                      <w:color w:val="auto"/>
                      <w:lang w:val="en-US" w:eastAsia="zh-CN"/>
                    </w:rPr>
                    <w:t>合理布局，基础减震，选择低噪声设备，建筑隔声。</w:t>
                  </w:r>
                </w:p>
              </w:tc>
              <w:tc>
                <w:tcPr>
                  <w:tcW w:w="1552" w:type="pct"/>
                  <w:vAlign w:val="center"/>
                </w:tcPr>
                <w:p w14:paraId="02A67560">
                  <w:pPr>
                    <w:adjustRightInd w:val="0"/>
                    <w:snapToGrid w:val="0"/>
                    <w:jc w:val="center"/>
                    <w:rPr>
                      <w:rFonts w:hint="eastAsia" w:eastAsia="宋体"/>
                      <w:color w:val="auto"/>
                      <w:lang w:eastAsia="zh-CN"/>
                    </w:rPr>
                  </w:pPr>
                  <w:r>
                    <w:rPr>
                      <w:color w:val="auto"/>
                    </w:rPr>
                    <w:t>《工业企业厂界环境噪声排放标准》</w:t>
                  </w:r>
                  <w:r>
                    <w:rPr>
                      <w:rFonts w:hint="eastAsia"/>
                      <w:color w:val="auto"/>
                    </w:rPr>
                    <w:t>（</w:t>
                  </w:r>
                  <w:r>
                    <w:rPr>
                      <w:color w:val="auto"/>
                    </w:rPr>
                    <w:t>GB12348-2008</w:t>
                  </w:r>
                  <w:r>
                    <w:rPr>
                      <w:rFonts w:hint="eastAsia"/>
                      <w:color w:val="auto"/>
                    </w:rPr>
                    <w:t>）1类标准</w:t>
                  </w:r>
                  <w:r>
                    <w:rPr>
                      <w:color w:val="auto"/>
                    </w:rPr>
                    <w:t>要求</w:t>
                  </w:r>
                  <w:r>
                    <w:rPr>
                      <w:rFonts w:hint="eastAsia"/>
                      <w:color w:val="auto"/>
                      <w:lang w:eastAsia="zh-CN"/>
                    </w:rPr>
                    <w:t>。</w:t>
                  </w:r>
                </w:p>
              </w:tc>
            </w:tr>
            <w:tr w14:paraId="068E39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restart"/>
                  <w:vAlign w:val="center"/>
                </w:tcPr>
                <w:p w14:paraId="3F61B130">
                  <w:pPr>
                    <w:adjustRightInd w:val="0"/>
                    <w:snapToGrid w:val="0"/>
                    <w:rPr>
                      <w:color w:val="auto"/>
                    </w:rPr>
                  </w:pPr>
                  <w:r>
                    <w:rPr>
                      <w:color w:val="auto"/>
                    </w:rPr>
                    <w:t>固废</w:t>
                  </w:r>
                </w:p>
              </w:tc>
              <w:tc>
                <w:tcPr>
                  <w:tcW w:w="942" w:type="pct"/>
                  <w:shd w:val="clear" w:color="auto" w:fill="auto"/>
                  <w:vAlign w:val="center"/>
                </w:tcPr>
                <w:p w14:paraId="21D74519">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bCs/>
                      <w:color w:val="auto"/>
                      <w:kern w:val="0"/>
                      <w:sz w:val="21"/>
                      <w:szCs w:val="21"/>
                      <w:lang w:val="en-US" w:eastAsia="zh-CN" w:bidi="ar-SA"/>
                    </w:rPr>
                  </w:pPr>
                  <w:r>
                    <w:rPr>
                      <w:bCs/>
                      <w:color w:val="auto"/>
                      <w:szCs w:val="21"/>
                    </w:rPr>
                    <w:t>生活垃圾</w:t>
                  </w:r>
                </w:p>
              </w:tc>
              <w:tc>
                <w:tcPr>
                  <w:tcW w:w="2214" w:type="pct"/>
                  <w:shd w:val="clear" w:color="auto" w:fill="auto"/>
                  <w:vAlign w:val="center"/>
                </w:tcPr>
                <w:p w14:paraId="5A828E92">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bCs/>
                      <w:color w:val="auto"/>
                      <w:kern w:val="0"/>
                      <w:sz w:val="21"/>
                      <w:szCs w:val="21"/>
                      <w:lang w:val="en-US" w:eastAsia="zh-CN" w:bidi="ar-SA"/>
                    </w:rPr>
                  </w:pPr>
                  <w:r>
                    <w:rPr>
                      <w:color w:val="auto"/>
                      <w:szCs w:val="21"/>
                    </w:rPr>
                    <w:t>垃圾箱收集</w:t>
                  </w:r>
                  <w:r>
                    <w:rPr>
                      <w:rFonts w:hint="eastAsia"/>
                      <w:color w:val="auto"/>
                      <w:szCs w:val="21"/>
                      <w:lang w:val="en-US" w:eastAsia="zh-CN"/>
                    </w:rPr>
                    <w:t>后交由当地环卫部门定期清运处理</w:t>
                  </w:r>
                  <w:r>
                    <w:rPr>
                      <w:color w:val="auto"/>
                      <w:szCs w:val="21"/>
                    </w:rPr>
                    <w:t>。</w:t>
                  </w:r>
                </w:p>
              </w:tc>
              <w:tc>
                <w:tcPr>
                  <w:tcW w:w="1552" w:type="pct"/>
                  <w:vAlign w:val="center"/>
                </w:tcPr>
                <w:p w14:paraId="5DA4639C">
                  <w:pPr>
                    <w:adjustRightInd w:val="0"/>
                    <w:snapToGrid w:val="0"/>
                    <w:jc w:val="center"/>
                    <w:rPr>
                      <w:rFonts w:hint="eastAsia" w:eastAsia="宋体"/>
                      <w:color w:val="auto"/>
                      <w:lang w:val="en-US" w:eastAsia="zh-CN"/>
                    </w:rPr>
                  </w:pPr>
                  <w:r>
                    <w:rPr>
                      <w:rFonts w:hint="eastAsia"/>
                      <w:color w:val="auto"/>
                      <w:lang w:val="en-US" w:eastAsia="zh-CN"/>
                    </w:rPr>
                    <w:t>妥善处理。</w:t>
                  </w:r>
                </w:p>
              </w:tc>
            </w:tr>
            <w:tr w14:paraId="403B83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6ADE385A">
                  <w:pPr>
                    <w:adjustRightInd w:val="0"/>
                    <w:snapToGrid w:val="0"/>
                    <w:rPr>
                      <w:color w:val="auto"/>
                    </w:rPr>
                  </w:pPr>
                </w:p>
              </w:tc>
              <w:tc>
                <w:tcPr>
                  <w:tcW w:w="942" w:type="pct"/>
                  <w:shd w:val="clear" w:color="auto" w:fill="auto"/>
                  <w:vAlign w:val="center"/>
                </w:tcPr>
                <w:p w14:paraId="39F7AD3B">
                  <w:pPr>
                    <w:numPr>
                      <w:ilvl w:val="3"/>
                      <w:numId w:val="0"/>
                    </w:numPr>
                    <w:tabs>
                      <w:tab w:val="left" w:pos="851"/>
                      <w:tab w:val="left" w:pos="2880"/>
                    </w:tabs>
                    <w:adjustRightInd w:val="0"/>
                    <w:snapToGrid w:val="0"/>
                    <w:ind w:left="0" w:leftChars="0" w:firstLine="0" w:firstLineChars="0"/>
                    <w:jc w:val="center"/>
                    <w:rPr>
                      <w:bCs/>
                      <w:color w:val="auto"/>
                      <w:szCs w:val="21"/>
                    </w:rPr>
                  </w:pPr>
                  <w:r>
                    <w:rPr>
                      <w:rFonts w:hint="eastAsia"/>
                      <w:bCs/>
                      <w:color w:val="auto"/>
                      <w:szCs w:val="21"/>
                      <w:lang w:val="en-US" w:eastAsia="zh-CN"/>
                    </w:rPr>
                    <w:t>废菜渣</w:t>
                  </w:r>
                </w:p>
              </w:tc>
              <w:tc>
                <w:tcPr>
                  <w:tcW w:w="2214" w:type="pct"/>
                  <w:shd w:val="clear" w:color="auto" w:fill="auto"/>
                  <w:vAlign w:val="center"/>
                </w:tcPr>
                <w:p w14:paraId="2C8A5842">
                  <w:pPr>
                    <w:numPr>
                      <w:ilvl w:val="3"/>
                      <w:numId w:val="0"/>
                    </w:numPr>
                    <w:tabs>
                      <w:tab w:val="left" w:pos="851"/>
                      <w:tab w:val="left" w:pos="2880"/>
                    </w:tabs>
                    <w:adjustRightInd w:val="0"/>
                    <w:snapToGrid w:val="0"/>
                    <w:ind w:left="0" w:leftChars="0" w:firstLine="0" w:firstLineChars="0"/>
                    <w:jc w:val="center"/>
                    <w:rPr>
                      <w:b/>
                      <w:bCs/>
                      <w:color w:val="auto"/>
                      <w:szCs w:val="21"/>
                    </w:rPr>
                  </w:pPr>
                  <w:r>
                    <w:rPr>
                      <w:rFonts w:hint="eastAsia"/>
                      <w:b w:val="0"/>
                      <w:bCs w:val="0"/>
                      <w:color w:val="auto"/>
                      <w:szCs w:val="21"/>
                      <w:lang w:val="en-US" w:eastAsia="zh-CN"/>
                    </w:rPr>
                    <w:t>垃圾桶收集，交由环卫部门处理，日产日清。</w:t>
                  </w:r>
                </w:p>
              </w:tc>
              <w:tc>
                <w:tcPr>
                  <w:tcW w:w="1552" w:type="pct"/>
                  <w:vAlign w:val="center"/>
                </w:tcPr>
                <w:p w14:paraId="7AB2C988">
                  <w:pPr>
                    <w:adjustRightInd w:val="0"/>
                    <w:snapToGrid w:val="0"/>
                    <w:jc w:val="center"/>
                    <w:rPr>
                      <w:rFonts w:hint="default"/>
                      <w:color w:val="auto"/>
                      <w:lang w:val="en-US" w:eastAsia="zh-CN"/>
                    </w:rPr>
                  </w:pPr>
                  <w:r>
                    <w:rPr>
                      <w:rFonts w:hint="eastAsia"/>
                      <w:color w:val="auto"/>
                      <w:lang w:val="en-US" w:eastAsia="zh-CN"/>
                    </w:rPr>
                    <w:t>妥善处理。</w:t>
                  </w:r>
                </w:p>
              </w:tc>
            </w:tr>
            <w:tr w14:paraId="5E23F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 w:type="pct"/>
                  <w:vMerge w:val="continue"/>
                  <w:vAlign w:val="center"/>
                </w:tcPr>
                <w:p w14:paraId="7BDEF8FD">
                  <w:pPr>
                    <w:adjustRightInd w:val="0"/>
                    <w:snapToGrid w:val="0"/>
                    <w:rPr>
                      <w:color w:val="auto"/>
                    </w:rPr>
                  </w:pPr>
                </w:p>
              </w:tc>
              <w:tc>
                <w:tcPr>
                  <w:tcW w:w="942" w:type="pct"/>
                  <w:vAlign w:val="center"/>
                </w:tcPr>
                <w:p w14:paraId="1668DC5E">
                  <w:pPr>
                    <w:numPr>
                      <w:ilvl w:val="3"/>
                      <w:numId w:val="0"/>
                    </w:numPr>
                    <w:tabs>
                      <w:tab w:val="left" w:pos="851"/>
                      <w:tab w:val="left" w:pos="2880"/>
                    </w:tabs>
                    <w:adjustRightInd w:val="0"/>
                    <w:snapToGrid w:val="0"/>
                    <w:jc w:val="center"/>
                    <w:rPr>
                      <w:bCs/>
                      <w:color w:val="auto"/>
                      <w:kern w:val="0"/>
                      <w:szCs w:val="21"/>
                    </w:rPr>
                  </w:pPr>
                  <w:r>
                    <w:rPr>
                      <w:rFonts w:hint="eastAsia"/>
                      <w:bCs/>
                      <w:color w:val="auto"/>
                      <w:kern w:val="0"/>
                      <w:szCs w:val="21"/>
                      <w:lang w:val="en-US" w:eastAsia="zh-CN"/>
                    </w:rPr>
                    <w:t>废包装材料</w:t>
                  </w:r>
                </w:p>
              </w:tc>
              <w:tc>
                <w:tcPr>
                  <w:tcW w:w="2214" w:type="pct"/>
                  <w:vAlign w:val="center"/>
                </w:tcPr>
                <w:p w14:paraId="4FDAB3C0">
                  <w:pPr>
                    <w:numPr>
                      <w:ilvl w:val="3"/>
                      <w:numId w:val="0"/>
                    </w:numPr>
                    <w:tabs>
                      <w:tab w:val="left" w:pos="851"/>
                      <w:tab w:val="left" w:pos="2880"/>
                    </w:tabs>
                    <w:adjustRightInd w:val="0"/>
                    <w:snapToGrid w:val="0"/>
                    <w:jc w:val="center"/>
                    <w:rPr>
                      <w:bCs/>
                      <w:color w:val="auto"/>
                      <w:kern w:val="0"/>
                      <w:szCs w:val="21"/>
                    </w:rPr>
                  </w:pPr>
                  <w:r>
                    <w:rPr>
                      <w:rFonts w:hint="eastAsia"/>
                      <w:bCs/>
                      <w:color w:val="auto"/>
                      <w:kern w:val="0"/>
                      <w:szCs w:val="21"/>
                      <w:lang w:val="en-US" w:eastAsia="zh-CN"/>
                    </w:rPr>
                    <w:t>分类收集后外售给废品回收单位。</w:t>
                  </w:r>
                </w:p>
              </w:tc>
              <w:tc>
                <w:tcPr>
                  <w:tcW w:w="1552" w:type="pct"/>
                  <w:vAlign w:val="center"/>
                </w:tcPr>
                <w:p w14:paraId="142EB008">
                  <w:pPr>
                    <w:adjustRightInd w:val="0"/>
                    <w:snapToGrid w:val="0"/>
                    <w:jc w:val="center"/>
                    <w:rPr>
                      <w:rFonts w:hint="default" w:eastAsia="宋体"/>
                      <w:color w:val="auto"/>
                      <w:lang w:val="en-US" w:eastAsia="zh-CN"/>
                    </w:rPr>
                  </w:pPr>
                  <w:r>
                    <w:rPr>
                      <w:rFonts w:hint="eastAsia"/>
                      <w:bCs/>
                      <w:color w:val="auto"/>
                      <w:lang w:val="en-US" w:eastAsia="zh-CN"/>
                    </w:rPr>
                    <w:t>妥善处理。</w:t>
                  </w:r>
                </w:p>
              </w:tc>
            </w:tr>
          </w:tbl>
          <w:p w14:paraId="2F40EE19">
            <w:pPr>
              <w:spacing w:line="360" w:lineRule="auto"/>
              <w:rPr>
                <w:b/>
                <w:bCs/>
                <w:color w:val="auto"/>
                <w:sz w:val="24"/>
              </w:rPr>
            </w:pPr>
            <w:r>
              <w:rPr>
                <w:rFonts w:hint="eastAsia"/>
                <w:b/>
                <w:bCs/>
                <w:color w:val="auto"/>
                <w:sz w:val="24"/>
                <w:lang w:val="en-US" w:eastAsia="zh-CN"/>
              </w:rPr>
              <w:t>8</w:t>
            </w:r>
            <w:r>
              <w:rPr>
                <w:rFonts w:hint="eastAsia"/>
                <w:b/>
                <w:bCs/>
                <w:color w:val="auto"/>
                <w:sz w:val="24"/>
              </w:rPr>
              <w:t>.</w:t>
            </w:r>
            <w:r>
              <w:rPr>
                <w:b/>
                <w:bCs/>
                <w:color w:val="auto"/>
                <w:sz w:val="24"/>
              </w:rPr>
              <w:t>环保治理措施及投资估算</w:t>
            </w:r>
          </w:p>
          <w:p w14:paraId="68FB1177">
            <w:pPr>
              <w:snapToGrid w:val="0"/>
              <w:spacing w:line="360" w:lineRule="auto"/>
              <w:ind w:firstLine="480" w:firstLineChars="200"/>
              <w:jc w:val="left"/>
              <w:rPr>
                <w:color w:val="auto"/>
                <w:sz w:val="24"/>
              </w:rPr>
            </w:pPr>
            <w:r>
              <w:rPr>
                <w:rFonts w:hint="eastAsia"/>
                <w:color w:val="auto"/>
                <w:sz w:val="24"/>
                <w:lang w:val="en-US" w:eastAsia="zh-CN"/>
              </w:rPr>
              <w:t>项目已于2012年建成酱腌菜加工生产车间1座，本次主要埋设废水储罐设施1套。本次</w:t>
            </w:r>
            <w:r>
              <w:rPr>
                <w:color w:val="auto"/>
                <w:sz w:val="24"/>
              </w:rPr>
              <w:t>总投资为</w:t>
            </w:r>
            <w:r>
              <w:rPr>
                <w:rFonts w:hint="eastAsia"/>
                <w:color w:val="auto"/>
                <w:sz w:val="24"/>
              </w:rPr>
              <w:t>20</w:t>
            </w:r>
            <w:r>
              <w:rPr>
                <w:color w:val="auto"/>
                <w:sz w:val="24"/>
              </w:rPr>
              <w:t>万元，</w:t>
            </w:r>
            <w:r>
              <w:rPr>
                <w:rFonts w:hint="eastAsia"/>
                <w:color w:val="auto"/>
                <w:sz w:val="24"/>
                <w:lang w:val="en-US" w:eastAsia="zh-CN"/>
              </w:rPr>
              <w:t>全部为</w:t>
            </w:r>
            <w:r>
              <w:rPr>
                <w:color w:val="auto"/>
                <w:sz w:val="24"/>
              </w:rPr>
              <w:t>环保投资。环保投资估算明细见表4-</w:t>
            </w:r>
            <w:r>
              <w:rPr>
                <w:rFonts w:hint="eastAsia"/>
                <w:color w:val="auto"/>
                <w:sz w:val="24"/>
                <w:lang w:val="en-US" w:eastAsia="zh-CN"/>
              </w:rPr>
              <w:t>7</w:t>
            </w:r>
            <w:r>
              <w:rPr>
                <w:color w:val="auto"/>
                <w:sz w:val="24"/>
              </w:rPr>
              <w:t>。</w:t>
            </w:r>
          </w:p>
          <w:p w14:paraId="02DA0103">
            <w:pPr>
              <w:pStyle w:val="26"/>
              <w:jc w:val="right"/>
              <w:rPr>
                <w:color w:val="auto"/>
              </w:rPr>
            </w:pPr>
            <w:r>
              <w:rPr>
                <w:color w:val="auto"/>
              </w:rPr>
              <w:t>表4-</w:t>
            </w:r>
            <w:r>
              <w:rPr>
                <w:rFonts w:hint="eastAsia"/>
                <w:color w:val="auto"/>
                <w:lang w:val="en-US" w:eastAsia="zh-CN"/>
              </w:rPr>
              <w:t>7</w:t>
            </w:r>
            <w:r>
              <w:rPr>
                <w:color w:val="auto"/>
              </w:rPr>
              <w:t xml:space="preserve"> 拟建工程环境保护投资估算一览表     单位：万元</w:t>
            </w:r>
          </w:p>
          <w:tbl>
            <w:tblPr>
              <w:tblStyle w:val="17"/>
              <w:tblW w:w="8222"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574"/>
              <w:gridCol w:w="1841"/>
              <w:gridCol w:w="4866"/>
              <w:gridCol w:w="941"/>
            </w:tblGrid>
            <w:tr w14:paraId="48163D4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shd w:val="clear" w:color="auto" w:fill="auto"/>
                  <w:vAlign w:val="center"/>
                </w:tcPr>
                <w:p w14:paraId="00659075">
                  <w:pPr>
                    <w:widowControl/>
                    <w:jc w:val="center"/>
                    <w:rPr>
                      <w:color w:val="auto"/>
                      <w:kern w:val="0"/>
                      <w:szCs w:val="21"/>
                    </w:rPr>
                  </w:pPr>
                  <w:bookmarkStart w:id="6" w:name="_Hlk81554350"/>
                  <w:r>
                    <w:rPr>
                      <w:color w:val="auto"/>
                      <w:kern w:val="0"/>
                      <w:szCs w:val="21"/>
                    </w:rPr>
                    <w:t>类别</w:t>
                  </w:r>
                </w:p>
              </w:tc>
              <w:tc>
                <w:tcPr>
                  <w:tcW w:w="1841" w:type="dxa"/>
                  <w:shd w:val="clear" w:color="auto" w:fill="auto"/>
                  <w:vAlign w:val="center"/>
                </w:tcPr>
                <w:p w14:paraId="53638D1B">
                  <w:pPr>
                    <w:widowControl/>
                    <w:jc w:val="center"/>
                    <w:rPr>
                      <w:color w:val="auto"/>
                      <w:kern w:val="0"/>
                      <w:szCs w:val="21"/>
                    </w:rPr>
                  </w:pPr>
                  <w:r>
                    <w:rPr>
                      <w:color w:val="auto"/>
                      <w:kern w:val="0"/>
                      <w:szCs w:val="21"/>
                    </w:rPr>
                    <w:t>污染源</w:t>
                  </w:r>
                </w:p>
              </w:tc>
              <w:tc>
                <w:tcPr>
                  <w:tcW w:w="4866" w:type="dxa"/>
                  <w:shd w:val="clear" w:color="auto" w:fill="auto"/>
                  <w:vAlign w:val="center"/>
                </w:tcPr>
                <w:p w14:paraId="2D2922EA">
                  <w:pPr>
                    <w:widowControl/>
                    <w:jc w:val="center"/>
                    <w:rPr>
                      <w:color w:val="auto"/>
                      <w:kern w:val="0"/>
                      <w:szCs w:val="21"/>
                    </w:rPr>
                  </w:pPr>
                  <w:r>
                    <w:rPr>
                      <w:color w:val="auto"/>
                      <w:kern w:val="0"/>
                      <w:szCs w:val="21"/>
                    </w:rPr>
                    <w:t>治理措施</w:t>
                  </w:r>
                </w:p>
              </w:tc>
              <w:tc>
                <w:tcPr>
                  <w:tcW w:w="941" w:type="dxa"/>
                  <w:shd w:val="clear" w:color="auto" w:fill="auto"/>
                  <w:vAlign w:val="center"/>
                </w:tcPr>
                <w:p w14:paraId="1E2D39FC">
                  <w:pPr>
                    <w:widowControl/>
                    <w:jc w:val="center"/>
                    <w:rPr>
                      <w:color w:val="auto"/>
                      <w:kern w:val="0"/>
                      <w:szCs w:val="21"/>
                    </w:rPr>
                  </w:pPr>
                  <w:r>
                    <w:rPr>
                      <w:color w:val="auto"/>
                      <w:kern w:val="0"/>
                      <w:szCs w:val="21"/>
                    </w:rPr>
                    <w:t>环保投资</w:t>
                  </w:r>
                </w:p>
              </w:tc>
            </w:tr>
            <w:tr w14:paraId="602B3B0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vMerge w:val="restart"/>
                  <w:shd w:val="clear" w:color="auto" w:fill="auto"/>
                  <w:vAlign w:val="center"/>
                </w:tcPr>
                <w:p w14:paraId="1838D61C">
                  <w:pPr>
                    <w:widowControl/>
                    <w:jc w:val="center"/>
                    <w:rPr>
                      <w:color w:val="auto"/>
                      <w:kern w:val="0"/>
                      <w:szCs w:val="21"/>
                    </w:rPr>
                  </w:pPr>
                  <w:r>
                    <w:rPr>
                      <w:color w:val="auto"/>
                      <w:kern w:val="0"/>
                      <w:szCs w:val="21"/>
                    </w:rPr>
                    <w:t>废气</w:t>
                  </w:r>
                </w:p>
              </w:tc>
              <w:tc>
                <w:tcPr>
                  <w:tcW w:w="1841" w:type="dxa"/>
                  <w:shd w:val="clear" w:color="auto" w:fill="auto"/>
                  <w:vAlign w:val="center"/>
                </w:tcPr>
                <w:p w14:paraId="577AAE70">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b w:val="0"/>
                      <w:bCs w:val="0"/>
                      <w:color w:val="auto"/>
                      <w:lang w:val="en-US" w:eastAsia="zh-CN"/>
                    </w:rPr>
                    <w:t>发酵工序</w:t>
                  </w:r>
                </w:p>
              </w:tc>
              <w:tc>
                <w:tcPr>
                  <w:tcW w:w="4866" w:type="dxa"/>
                  <w:shd w:val="clear" w:color="auto" w:fill="auto"/>
                  <w:vAlign w:val="center"/>
                </w:tcPr>
                <w:p w14:paraId="1882D65B">
                  <w:pPr>
                    <w:adjustRightInd w:val="0"/>
                    <w:snapToGrid w:val="0"/>
                    <w:jc w:val="center"/>
                    <w:rPr>
                      <w:rFonts w:hint="eastAsia" w:eastAsia="宋体"/>
                      <w:color w:val="auto"/>
                      <w:kern w:val="0"/>
                      <w:szCs w:val="21"/>
                      <w:lang w:eastAsia="zh-CN"/>
                    </w:rPr>
                  </w:pPr>
                  <w:r>
                    <w:rPr>
                      <w:rFonts w:hint="eastAsia"/>
                      <w:b w:val="0"/>
                      <w:bCs w:val="0"/>
                      <w:color w:val="auto"/>
                      <w:lang w:val="en-US" w:eastAsia="zh-CN"/>
                    </w:rPr>
                    <w:t>封闭车间、地下发酵池塑料膜覆盖封闭、发酵桶加盖密闭。</w:t>
                  </w:r>
                </w:p>
              </w:tc>
              <w:tc>
                <w:tcPr>
                  <w:tcW w:w="941" w:type="dxa"/>
                  <w:shd w:val="clear" w:color="auto" w:fill="auto"/>
                  <w:vAlign w:val="center"/>
                </w:tcPr>
                <w:p w14:paraId="6E662876">
                  <w:pPr>
                    <w:widowControl/>
                    <w:jc w:val="center"/>
                    <w:rPr>
                      <w:rFonts w:hint="default" w:eastAsia="宋体"/>
                      <w:color w:val="auto"/>
                      <w:kern w:val="0"/>
                      <w:szCs w:val="21"/>
                      <w:lang w:val="en-US" w:eastAsia="zh-CN"/>
                    </w:rPr>
                  </w:pPr>
                  <w:r>
                    <w:rPr>
                      <w:rFonts w:hint="eastAsia"/>
                      <w:color w:val="auto"/>
                      <w:kern w:val="0"/>
                      <w:szCs w:val="21"/>
                      <w:lang w:val="en-US" w:eastAsia="zh-CN"/>
                    </w:rPr>
                    <w:t>计入已建工程投资</w:t>
                  </w:r>
                </w:p>
              </w:tc>
            </w:tr>
            <w:tr w14:paraId="3D12064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vMerge w:val="continue"/>
                  <w:shd w:val="clear" w:color="auto" w:fill="auto"/>
                  <w:vAlign w:val="center"/>
                </w:tcPr>
                <w:p w14:paraId="0562E3C9">
                  <w:pPr>
                    <w:widowControl/>
                    <w:jc w:val="center"/>
                    <w:rPr>
                      <w:color w:val="auto"/>
                      <w:kern w:val="0"/>
                      <w:szCs w:val="21"/>
                    </w:rPr>
                  </w:pPr>
                </w:p>
              </w:tc>
              <w:tc>
                <w:tcPr>
                  <w:tcW w:w="1841" w:type="dxa"/>
                  <w:shd w:val="clear" w:color="auto" w:fill="auto"/>
                  <w:vAlign w:val="center"/>
                </w:tcPr>
                <w:p w14:paraId="705DD2E5">
                  <w:pPr>
                    <w:adjustRightInd w:val="0"/>
                    <w:snapToGrid w:val="0"/>
                    <w:jc w:val="center"/>
                    <w:rPr>
                      <w:rFonts w:hint="eastAsia" w:ascii="Times New Roman" w:hAnsi="Times New Roman" w:eastAsia="宋体" w:cs="Times New Roman"/>
                      <w:b w:val="0"/>
                      <w:bCs w:val="0"/>
                      <w:color w:val="auto"/>
                      <w:kern w:val="2"/>
                      <w:sz w:val="21"/>
                      <w:szCs w:val="24"/>
                      <w:lang w:val="en-US" w:eastAsia="zh-CN" w:bidi="ar-SA"/>
                    </w:rPr>
                  </w:pPr>
                  <w:r>
                    <w:rPr>
                      <w:rFonts w:hint="eastAsia"/>
                      <w:b w:val="0"/>
                      <w:bCs w:val="0"/>
                      <w:color w:val="auto"/>
                      <w:lang w:val="en-US" w:eastAsia="zh-CN"/>
                    </w:rPr>
                    <w:t>废水存储及运输</w:t>
                  </w:r>
                </w:p>
              </w:tc>
              <w:tc>
                <w:tcPr>
                  <w:tcW w:w="4866" w:type="dxa"/>
                  <w:shd w:val="clear" w:color="auto" w:fill="auto"/>
                  <w:vAlign w:val="center"/>
                </w:tcPr>
                <w:p w14:paraId="1D2A1377">
                  <w:pPr>
                    <w:adjustRightInd w:val="0"/>
                    <w:snapToGrid w:val="0"/>
                    <w:jc w:val="center"/>
                    <w:rPr>
                      <w:rFonts w:hint="eastAsia" w:ascii="Times New Roman" w:hAnsi="Times New Roman" w:eastAsia="宋体" w:cs="Times New Roman"/>
                      <w:b w:val="0"/>
                      <w:bCs w:val="0"/>
                      <w:color w:val="auto"/>
                      <w:kern w:val="2"/>
                      <w:sz w:val="21"/>
                      <w:szCs w:val="24"/>
                      <w:lang w:val="en-US" w:eastAsia="zh-CN" w:bidi="ar-SA"/>
                    </w:rPr>
                  </w:pPr>
                  <w:r>
                    <w:rPr>
                      <w:rFonts w:hint="eastAsia"/>
                      <w:b w:val="0"/>
                      <w:bCs w:val="0"/>
                      <w:color w:val="auto"/>
                      <w:lang w:val="en-US" w:eastAsia="zh-CN"/>
                    </w:rPr>
                    <w:t>废水储罐加盖密闭、运输车辆污水箱全封闭。</w:t>
                  </w:r>
                </w:p>
              </w:tc>
              <w:tc>
                <w:tcPr>
                  <w:tcW w:w="941" w:type="dxa"/>
                  <w:vMerge w:val="restart"/>
                  <w:shd w:val="clear" w:color="auto" w:fill="auto"/>
                  <w:vAlign w:val="center"/>
                </w:tcPr>
                <w:p w14:paraId="016D4D5F">
                  <w:pPr>
                    <w:widowControl/>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20</w:t>
                  </w:r>
                </w:p>
              </w:tc>
            </w:tr>
            <w:tr w14:paraId="777D13C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vMerge w:val="restart"/>
                  <w:shd w:val="clear" w:color="auto" w:fill="auto"/>
                  <w:vAlign w:val="center"/>
                </w:tcPr>
                <w:p w14:paraId="24F2DD3B">
                  <w:pPr>
                    <w:widowControl/>
                    <w:jc w:val="center"/>
                    <w:rPr>
                      <w:color w:val="auto"/>
                      <w:kern w:val="0"/>
                      <w:szCs w:val="21"/>
                    </w:rPr>
                  </w:pPr>
                  <w:r>
                    <w:rPr>
                      <w:color w:val="auto"/>
                      <w:kern w:val="0"/>
                      <w:szCs w:val="21"/>
                    </w:rPr>
                    <w:t>废水</w:t>
                  </w:r>
                </w:p>
              </w:tc>
              <w:tc>
                <w:tcPr>
                  <w:tcW w:w="1841" w:type="dxa"/>
                  <w:shd w:val="clear" w:color="auto" w:fill="auto"/>
                  <w:vAlign w:val="center"/>
                </w:tcPr>
                <w:p w14:paraId="141DEA51">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color w:val="auto"/>
                      <w:kern w:val="0"/>
                      <w:sz w:val="21"/>
                      <w:szCs w:val="21"/>
                      <w:lang w:val="en-US" w:eastAsia="zh-CN" w:bidi="ar-SA"/>
                    </w:rPr>
                  </w:pPr>
                  <w:r>
                    <w:rPr>
                      <w:rFonts w:hint="eastAsia"/>
                      <w:color w:val="auto"/>
                      <w:kern w:val="0"/>
                      <w:szCs w:val="21"/>
                      <w:lang w:val="pt-BR"/>
                    </w:rPr>
                    <w:t>生产废水</w:t>
                  </w:r>
                </w:p>
              </w:tc>
              <w:tc>
                <w:tcPr>
                  <w:tcW w:w="4866" w:type="dxa"/>
                  <w:shd w:val="clear" w:color="auto" w:fill="auto"/>
                  <w:vAlign w:val="center"/>
                </w:tcPr>
                <w:p w14:paraId="45DDBD95">
                  <w:pPr>
                    <w:numPr>
                      <w:ilvl w:val="3"/>
                      <w:numId w:val="0"/>
                    </w:numPr>
                    <w:tabs>
                      <w:tab w:val="left" w:pos="851"/>
                      <w:tab w:val="left" w:pos="2880"/>
                    </w:tabs>
                    <w:adjustRightInd w:val="0"/>
                    <w:snapToGrid w:val="0"/>
                    <w:jc w:val="center"/>
                    <w:rPr>
                      <w:rFonts w:hint="eastAsia"/>
                      <w:bCs/>
                      <w:color w:val="auto"/>
                      <w:szCs w:val="21"/>
                      <w:lang w:val="en-US" w:eastAsia="zh-CN"/>
                    </w:rPr>
                  </w:pPr>
                  <w:r>
                    <w:rPr>
                      <w:rFonts w:hint="eastAsia"/>
                      <w:bCs/>
                      <w:color w:val="auto"/>
                      <w:szCs w:val="21"/>
                      <w:lang w:val="en-US" w:eastAsia="zh-CN"/>
                    </w:rPr>
                    <w:t>新鲜蔬菜漂烫清洗仅含少量悬浮物，且仅在6-8月份产生，经1#废水储罐收集冷却后，拉运至周边农田，用于农田灌溉；</w:t>
                  </w:r>
                </w:p>
                <w:p w14:paraId="581CAEC6">
                  <w:pPr>
                    <w:numPr>
                      <w:ilvl w:val="3"/>
                      <w:numId w:val="0"/>
                    </w:numPr>
                    <w:tabs>
                      <w:tab w:val="left" w:pos="851"/>
                      <w:tab w:val="left" w:pos="2880"/>
                    </w:tabs>
                    <w:adjustRightInd w:val="0"/>
                    <w:snapToGrid w:val="0"/>
                    <w:jc w:val="center"/>
                    <w:rPr>
                      <w:rFonts w:hint="eastAsia"/>
                      <w:bCs/>
                      <w:color w:val="auto"/>
                      <w:szCs w:val="21"/>
                      <w:lang w:val="en-US" w:eastAsia="zh-CN"/>
                    </w:rPr>
                  </w:pPr>
                  <w:r>
                    <w:rPr>
                      <w:rFonts w:hint="eastAsia"/>
                      <w:bCs/>
                      <w:color w:val="auto"/>
                      <w:szCs w:val="21"/>
                      <w:lang w:val="en-US" w:eastAsia="zh-CN"/>
                    </w:rPr>
                    <w:t>设备清洗废水、地面清洗废水、清洗酸菜废水经2#废水储罐收集后，定期拉运至杭锦旗锡尼镇污水处理厂处理，不外排；</w:t>
                  </w:r>
                </w:p>
                <w:p w14:paraId="3938B2E4">
                  <w:pPr>
                    <w:numPr>
                      <w:ilvl w:val="3"/>
                      <w:numId w:val="0"/>
                    </w:numPr>
                    <w:tabs>
                      <w:tab w:val="left" w:pos="851"/>
                      <w:tab w:val="left" w:pos="2880"/>
                    </w:tabs>
                    <w:adjustRightInd w:val="0"/>
                    <w:snapToGrid w:val="0"/>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bCs/>
                      <w:color w:val="auto"/>
                      <w:szCs w:val="21"/>
                      <w:lang w:val="en-US" w:eastAsia="zh-CN"/>
                    </w:rPr>
                    <w:t>酸菜发酵废水经3#废水储罐收集后，定期拉运至蒙苏经济开发区零碳产业园工业污水处理厂处理，不</w:t>
                  </w:r>
                  <w:r>
                    <w:rPr>
                      <w:bCs/>
                      <w:color w:val="auto"/>
                      <w:szCs w:val="21"/>
                    </w:rPr>
                    <w:t>外排。</w:t>
                  </w:r>
                </w:p>
              </w:tc>
              <w:tc>
                <w:tcPr>
                  <w:tcW w:w="941" w:type="dxa"/>
                  <w:vMerge w:val="continue"/>
                  <w:shd w:val="clear" w:color="auto" w:fill="auto"/>
                  <w:vAlign w:val="center"/>
                </w:tcPr>
                <w:p w14:paraId="1AC7A120">
                  <w:pPr>
                    <w:widowControl/>
                    <w:jc w:val="center"/>
                    <w:rPr>
                      <w:rFonts w:hint="default" w:ascii="Times New Roman" w:hAnsi="Times New Roman" w:eastAsia="宋体" w:cs="Times New Roman"/>
                      <w:color w:val="auto"/>
                      <w:kern w:val="0"/>
                      <w:sz w:val="21"/>
                      <w:szCs w:val="21"/>
                      <w:lang w:val="en-US" w:eastAsia="zh-CN" w:bidi="ar-SA"/>
                    </w:rPr>
                  </w:pPr>
                </w:p>
              </w:tc>
            </w:tr>
            <w:tr w14:paraId="2341740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vMerge w:val="continue"/>
                  <w:shd w:val="clear" w:color="auto" w:fill="auto"/>
                  <w:vAlign w:val="center"/>
                </w:tcPr>
                <w:p w14:paraId="1D6DD8C8">
                  <w:pPr>
                    <w:widowControl/>
                    <w:jc w:val="center"/>
                    <w:rPr>
                      <w:color w:val="auto"/>
                      <w:kern w:val="0"/>
                      <w:szCs w:val="21"/>
                    </w:rPr>
                  </w:pPr>
                </w:p>
              </w:tc>
              <w:tc>
                <w:tcPr>
                  <w:tcW w:w="1841" w:type="dxa"/>
                  <w:shd w:val="clear" w:color="auto" w:fill="auto"/>
                  <w:vAlign w:val="center"/>
                </w:tcPr>
                <w:p w14:paraId="3DCF425B">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color w:val="auto"/>
                      <w:kern w:val="0"/>
                      <w:sz w:val="21"/>
                      <w:szCs w:val="21"/>
                      <w:lang w:val="en-US" w:eastAsia="zh-CN" w:bidi="ar-SA"/>
                    </w:rPr>
                  </w:pPr>
                  <w:r>
                    <w:rPr>
                      <w:bCs/>
                      <w:color w:val="auto"/>
                      <w:kern w:val="0"/>
                      <w:szCs w:val="21"/>
                    </w:rPr>
                    <w:t>生活污水</w:t>
                  </w:r>
                </w:p>
              </w:tc>
              <w:tc>
                <w:tcPr>
                  <w:tcW w:w="4866" w:type="dxa"/>
                  <w:shd w:val="clear" w:color="auto" w:fill="auto"/>
                  <w:vAlign w:val="center"/>
                </w:tcPr>
                <w:p w14:paraId="199D22D9">
                  <w:pPr>
                    <w:numPr>
                      <w:ilvl w:val="3"/>
                      <w:numId w:val="0"/>
                    </w:numPr>
                    <w:tabs>
                      <w:tab w:val="left" w:pos="851"/>
                      <w:tab w:val="left" w:pos="2880"/>
                    </w:tabs>
                    <w:adjustRightInd w:val="0"/>
                    <w:snapToGrid w:val="0"/>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bCs/>
                      <w:color w:val="auto"/>
                      <w:kern w:val="0"/>
                      <w:szCs w:val="21"/>
                      <w:lang w:eastAsia="zh-CN"/>
                    </w:rPr>
                    <w:t>经化粪池收集后</w:t>
                  </w:r>
                  <w:r>
                    <w:rPr>
                      <w:bCs/>
                      <w:color w:val="auto"/>
                      <w:kern w:val="0"/>
                      <w:szCs w:val="21"/>
                    </w:rPr>
                    <w:t>，定期拉运至杭锦旗锡尼镇污水处理厂处理</w:t>
                  </w:r>
                  <w:r>
                    <w:rPr>
                      <w:rFonts w:hint="eastAsia"/>
                      <w:bCs/>
                      <w:color w:val="auto"/>
                      <w:kern w:val="0"/>
                      <w:szCs w:val="21"/>
                      <w:lang w:eastAsia="zh-CN"/>
                    </w:rPr>
                    <w:t>。</w:t>
                  </w:r>
                </w:p>
              </w:tc>
              <w:tc>
                <w:tcPr>
                  <w:tcW w:w="941" w:type="dxa"/>
                  <w:shd w:val="clear" w:color="auto" w:fill="auto"/>
                  <w:vAlign w:val="center"/>
                </w:tcPr>
                <w:p w14:paraId="294835F5">
                  <w:pPr>
                    <w:widowControl/>
                    <w:jc w:val="center"/>
                    <w:rPr>
                      <w:rFonts w:hint="eastAsia" w:ascii="Times New Roman" w:hAnsi="Times New Roman" w:eastAsia="宋体" w:cs="Times New Roman"/>
                      <w:color w:val="auto"/>
                      <w:kern w:val="0"/>
                      <w:sz w:val="21"/>
                      <w:szCs w:val="21"/>
                      <w:lang w:val="en-US" w:eastAsia="zh-CN" w:bidi="ar-SA"/>
                    </w:rPr>
                  </w:pPr>
                  <w:r>
                    <w:rPr>
                      <w:rFonts w:hint="eastAsia"/>
                      <w:color w:val="auto"/>
                      <w:kern w:val="0"/>
                      <w:szCs w:val="21"/>
                      <w:lang w:val="en-US" w:eastAsia="zh-CN"/>
                    </w:rPr>
                    <w:t>计入已建工程投资</w:t>
                  </w:r>
                </w:p>
              </w:tc>
            </w:tr>
            <w:tr w14:paraId="5043374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vMerge w:val="restart"/>
                  <w:shd w:val="clear" w:color="auto" w:fill="auto"/>
                  <w:vAlign w:val="center"/>
                </w:tcPr>
                <w:p w14:paraId="103DA656">
                  <w:pPr>
                    <w:widowControl/>
                    <w:jc w:val="center"/>
                    <w:rPr>
                      <w:color w:val="auto"/>
                      <w:kern w:val="0"/>
                      <w:szCs w:val="21"/>
                    </w:rPr>
                  </w:pPr>
                  <w:r>
                    <w:rPr>
                      <w:color w:val="auto"/>
                      <w:kern w:val="0"/>
                      <w:szCs w:val="21"/>
                    </w:rPr>
                    <w:t>固废</w:t>
                  </w:r>
                </w:p>
              </w:tc>
              <w:tc>
                <w:tcPr>
                  <w:tcW w:w="1841" w:type="dxa"/>
                  <w:shd w:val="clear" w:color="auto" w:fill="auto"/>
                  <w:vAlign w:val="center"/>
                </w:tcPr>
                <w:p w14:paraId="2822F20F">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bCs/>
                      <w:color w:val="auto"/>
                      <w:kern w:val="0"/>
                      <w:sz w:val="21"/>
                      <w:szCs w:val="21"/>
                      <w:lang w:val="en-US" w:eastAsia="zh-CN" w:bidi="ar-SA"/>
                    </w:rPr>
                  </w:pPr>
                  <w:r>
                    <w:rPr>
                      <w:bCs/>
                      <w:color w:val="auto"/>
                      <w:szCs w:val="21"/>
                    </w:rPr>
                    <w:t>生活垃圾</w:t>
                  </w:r>
                </w:p>
              </w:tc>
              <w:tc>
                <w:tcPr>
                  <w:tcW w:w="4866" w:type="dxa"/>
                  <w:shd w:val="clear" w:color="auto" w:fill="auto"/>
                  <w:vAlign w:val="center"/>
                </w:tcPr>
                <w:p w14:paraId="5FACE17E">
                  <w:pPr>
                    <w:numPr>
                      <w:ilvl w:val="3"/>
                      <w:numId w:val="0"/>
                    </w:numPr>
                    <w:tabs>
                      <w:tab w:val="left" w:pos="851"/>
                      <w:tab w:val="left" w:pos="2880"/>
                    </w:tabs>
                    <w:adjustRightInd w:val="0"/>
                    <w:snapToGrid w:val="0"/>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eastAsia"/>
                      <w:color w:val="auto"/>
                      <w:szCs w:val="21"/>
                      <w:lang w:eastAsia="zh-CN"/>
                    </w:rPr>
                    <w:t>经</w:t>
                  </w:r>
                  <w:r>
                    <w:rPr>
                      <w:color w:val="auto"/>
                      <w:szCs w:val="21"/>
                    </w:rPr>
                    <w:t>垃圾箱收集</w:t>
                  </w:r>
                  <w:r>
                    <w:rPr>
                      <w:rFonts w:hint="eastAsia"/>
                      <w:color w:val="auto"/>
                      <w:szCs w:val="21"/>
                      <w:lang w:val="en-US" w:eastAsia="zh-CN"/>
                    </w:rPr>
                    <w:t>后，交由当地环卫部门定期清运处理</w:t>
                  </w:r>
                  <w:r>
                    <w:rPr>
                      <w:color w:val="auto"/>
                      <w:szCs w:val="21"/>
                    </w:rPr>
                    <w:t>。</w:t>
                  </w:r>
                </w:p>
              </w:tc>
              <w:tc>
                <w:tcPr>
                  <w:tcW w:w="941" w:type="dxa"/>
                  <w:shd w:val="clear" w:color="auto" w:fill="auto"/>
                  <w:vAlign w:val="center"/>
                </w:tcPr>
                <w:p w14:paraId="065399E2">
                  <w:pPr>
                    <w:widowControl/>
                    <w:jc w:val="center"/>
                    <w:rPr>
                      <w:color w:val="auto"/>
                      <w:kern w:val="0"/>
                      <w:szCs w:val="21"/>
                    </w:rPr>
                  </w:pPr>
                  <w:r>
                    <w:rPr>
                      <w:rFonts w:hint="eastAsia"/>
                      <w:color w:val="auto"/>
                      <w:kern w:val="0"/>
                      <w:szCs w:val="21"/>
                      <w:lang w:val="en-US" w:eastAsia="zh-CN"/>
                    </w:rPr>
                    <w:t>计入已建工程投资</w:t>
                  </w:r>
                </w:p>
              </w:tc>
            </w:tr>
            <w:tr w14:paraId="69E66FB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vMerge w:val="continue"/>
                  <w:shd w:val="clear" w:color="auto" w:fill="auto"/>
                  <w:vAlign w:val="center"/>
                </w:tcPr>
                <w:p w14:paraId="12297521">
                  <w:pPr>
                    <w:widowControl/>
                    <w:jc w:val="center"/>
                    <w:rPr>
                      <w:color w:val="auto"/>
                      <w:kern w:val="0"/>
                      <w:szCs w:val="21"/>
                    </w:rPr>
                  </w:pPr>
                </w:p>
              </w:tc>
              <w:tc>
                <w:tcPr>
                  <w:tcW w:w="1841" w:type="dxa"/>
                  <w:shd w:val="clear" w:color="auto" w:fill="auto"/>
                  <w:vAlign w:val="center"/>
                </w:tcPr>
                <w:p w14:paraId="78923E0A">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废菜渣</w:t>
                  </w:r>
                </w:p>
              </w:tc>
              <w:tc>
                <w:tcPr>
                  <w:tcW w:w="4866" w:type="dxa"/>
                  <w:shd w:val="clear" w:color="auto" w:fill="auto"/>
                  <w:vAlign w:val="center"/>
                </w:tcPr>
                <w:p w14:paraId="0ACF3AB4">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b/>
                      <w:bCs/>
                      <w:color w:val="auto"/>
                      <w:kern w:val="2"/>
                      <w:sz w:val="21"/>
                      <w:szCs w:val="21"/>
                      <w:lang w:val="en-US" w:eastAsia="zh-CN" w:bidi="ar-SA"/>
                    </w:rPr>
                  </w:pPr>
                  <w:r>
                    <w:rPr>
                      <w:rFonts w:hint="eastAsia"/>
                      <w:b w:val="0"/>
                      <w:bCs w:val="0"/>
                      <w:color w:val="auto"/>
                      <w:szCs w:val="21"/>
                      <w:lang w:val="en-US" w:eastAsia="zh-CN"/>
                    </w:rPr>
                    <w:t>垃圾桶收集，交由环卫部门处理，日产日清。</w:t>
                  </w:r>
                </w:p>
              </w:tc>
              <w:tc>
                <w:tcPr>
                  <w:tcW w:w="941" w:type="dxa"/>
                  <w:shd w:val="clear" w:color="auto" w:fill="auto"/>
                  <w:vAlign w:val="center"/>
                </w:tcPr>
                <w:p w14:paraId="0FE92A45">
                  <w:pPr>
                    <w:widowControl/>
                    <w:jc w:val="center"/>
                    <w:rPr>
                      <w:rFonts w:hint="eastAsia"/>
                      <w:color w:val="auto"/>
                      <w:kern w:val="0"/>
                      <w:szCs w:val="21"/>
                    </w:rPr>
                  </w:pPr>
                  <w:r>
                    <w:rPr>
                      <w:rFonts w:hint="eastAsia"/>
                      <w:color w:val="auto"/>
                      <w:kern w:val="0"/>
                      <w:szCs w:val="21"/>
                      <w:lang w:val="en-US" w:eastAsia="zh-CN"/>
                    </w:rPr>
                    <w:t>计入已建工程投资</w:t>
                  </w:r>
                </w:p>
              </w:tc>
            </w:tr>
            <w:tr w14:paraId="76D47F1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vMerge w:val="continue"/>
                  <w:shd w:val="clear" w:color="auto" w:fill="auto"/>
                  <w:vAlign w:val="center"/>
                </w:tcPr>
                <w:p w14:paraId="388E526F">
                  <w:pPr>
                    <w:widowControl/>
                    <w:jc w:val="center"/>
                    <w:rPr>
                      <w:color w:val="auto"/>
                      <w:kern w:val="0"/>
                      <w:szCs w:val="21"/>
                    </w:rPr>
                  </w:pPr>
                </w:p>
              </w:tc>
              <w:tc>
                <w:tcPr>
                  <w:tcW w:w="1841" w:type="dxa"/>
                  <w:shd w:val="clear" w:color="auto" w:fill="auto"/>
                  <w:vAlign w:val="center"/>
                </w:tcPr>
                <w:p w14:paraId="6591590C">
                  <w:pPr>
                    <w:numPr>
                      <w:ilvl w:val="3"/>
                      <w:numId w:val="0"/>
                    </w:numPr>
                    <w:tabs>
                      <w:tab w:val="left" w:pos="851"/>
                      <w:tab w:val="left" w:pos="2880"/>
                    </w:tabs>
                    <w:adjustRightInd w:val="0"/>
                    <w:snapToGrid w:val="0"/>
                    <w:ind w:left="0" w:leftChars="0" w:firstLine="0" w:firstLineChars="0"/>
                    <w:jc w:val="center"/>
                    <w:rPr>
                      <w:rFonts w:ascii="Times New Roman" w:hAnsi="Times New Roman" w:eastAsia="宋体" w:cs="Times New Roman"/>
                      <w:bCs/>
                      <w:color w:val="auto"/>
                      <w:kern w:val="0"/>
                      <w:sz w:val="21"/>
                      <w:szCs w:val="21"/>
                      <w:lang w:val="en-US" w:eastAsia="zh-CN" w:bidi="ar-SA"/>
                    </w:rPr>
                  </w:pPr>
                  <w:r>
                    <w:rPr>
                      <w:rFonts w:hint="eastAsia"/>
                      <w:bCs/>
                      <w:color w:val="auto"/>
                      <w:kern w:val="0"/>
                      <w:szCs w:val="21"/>
                      <w:lang w:val="en-US" w:eastAsia="zh-CN"/>
                    </w:rPr>
                    <w:t>废包装材料</w:t>
                  </w:r>
                </w:p>
              </w:tc>
              <w:tc>
                <w:tcPr>
                  <w:tcW w:w="4866" w:type="dxa"/>
                  <w:shd w:val="clear" w:color="auto" w:fill="auto"/>
                  <w:vAlign w:val="center"/>
                </w:tcPr>
                <w:p w14:paraId="14121EB8">
                  <w:pPr>
                    <w:numPr>
                      <w:ilvl w:val="3"/>
                      <w:numId w:val="0"/>
                    </w:numPr>
                    <w:tabs>
                      <w:tab w:val="left" w:pos="851"/>
                      <w:tab w:val="left" w:pos="2880"/>
                    </w:tabs>
                    <w:adjustRightInd w:val="0"/>
                    <w:snapToGrid w:val="0"/>
                    <w:ind w:left="0" w:leftChars="0" w:firstLine="0" w:firstLineChars="0"/>
                    <w:jc w:val="center"/>
                    <w:rPr>
                      <w:rFonts w:hint="eastAsia" w:ascii="Times New Roman" w:hAnsi="Times New Roman" w:eastAsia="宋体" w:cs="Times New Roman"/>
                      <w:bCs/>
                      <w:color w:val="auto"/>
                      <w:kern w:val="0"/>
                      <w:sz w:val="21"/>
                      <w:szCs w:val="21"/>
                      <w:lang w:val="en-US" w:eastAsia="zh-CN" w:bidi="ar-SA"/>
                    </w:rPr>
                  </w:pPr>
                  <w:r>
                    <w:rPr>
                      <w:rFonts w:hint="eastAsia"/>
                      <w:bCs/>
                      <w:color w:val="auto"/>
                      <w:kern w:val="0"/>
                      <w:szCs w:val="21"/>
                      <w:lang w:val="en-US" w:eastAsia="zh-CN"/>
                    </w:rPr>
                    <w:t>分类收集后外售给废品回收单位。</w:t>
                  </w:r>
                </w:p>
              </w:tc>
              <w:tc>
                <w:tcPr>
                  <w:tcW w:w="941" w:type="dxa"/>
                  <w:shd w:val="clear" w:color="auto" w:fill="auto"/>
                  <w:vAlign w:val="center"/>
                </w:tcPr>
                <w:p w14:paraId="163127E7">
                  <w:pPr>
                    <w:widowControl/>
                    <w:jc w:val="center"/>
                    <w:rPr>
                      <w:color w:val="auto"/>
                      <w:kern w:val="0"/>
                      <w:szCs w:val="21"/>
                    </w:rPr>
                  </w:pPr>
                  <w:r>
                    <w:rPr>
                      <w:rFonts w:hint="eastAsia"/>
                      <w:color w:val="auto"/>
                      <w:kern w:val="0"/>
                      <w:szCs w:val="21"/>
                      <w:lang w:val="en-US" w:eastAsia="zh-CN"/>
                    </w:rPr>
                    <w:t>计入已建工程投资</w:t>
                  </w:r>
                </w:p>
              </w:tc>
            </w:tr>
            <w:tr w14:paraId="520D538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74" w:type="dxa"/>
                  <w:shd w:val="clear" w:color="auto" w:fill="auto"/>
                  <w:vAlign w:val="center"/>
                </w:tcPr>
                <w:p w14:paraId="511C7BB5">
                  <w:pPr>
                    <w:widowControl/>
                    <w:jc w:val="center"/>
                    <w:rPr>
                      <w:color w:val="auto"/>
                      <w:kern w:val="0"/>
                      <w:szCs w:val="21"/>
                    </w:rPr>
                  </w:pPr>
                  <w:r>
                    <w:rPr>
                      <w:color w:val="auto"/>
                      <w:kern w:val="0"/>
                      <w:szCs w:val="21"/>
                    </w:rPr>
                    <w:t>噪声</w:t>
                  </w:r>
                </w:p>
              </w:tc>
              <w:tc>
                <w:tcPr>
                  <w:tcW w:w="1841" w:type="dxa"/>
                  <w:shd w:val="clear" w:color="auto" w:fill="auto"/>
                  <w:vAlign w:val="center"/>
                </w:tcPr>
                <w:p w14:paraId="4CC2AD63">
                  <w:pPr>
                    <w:widowControl/>
                    <w:jc w:val="center"/>
                    <w:rPr>
                      <w:color w:val="auto"/>
                      <w:kern w:val="0"/>
                      <w:szCs w:val="21"/>
                    </w:rPr>
                  </w:pPr>
                  <w:r>
                    <w:rPr>
                      <w:color w:val="auto"/>
                      <w:kern w:val="0"/>
                      <w:szCs w:val="21"/>
                    </w:rPr>
                    <w:t>设备运转、运输噪声等</w:t>
                  </w:r>
                </w:p>
              </w:tc>
              <w:tc>
                <w:tcPr>
                  <w:tcW w:w="4866" w:type="dxa"/>
                  <w:shd w:val="clear" w:color="auto" w:fill="auto"/>
                  <w:vAlign w:val="center"/>
                </w:tcPr>
                <w:p w14:paraId="6382989D">
                  <w:pPr>
                    <w:widowControl/>
                    <w:jc w:val="center"/>
                    <w:rPr>
                      <w:color w:val="auto"/>
                      <w:kern w:val="0"/>
                      <w:szCs w:val="21"/>
                    </w:rPr>
                  </w:pPr>
                  <w:r>
                    <w:rPr>
                      <w:color w:val="auto"/>
                      <w:kern w:val="0"/>
                      <w:szCs w:val="21"/>
                    </w:rPr>
                    <w:t>采用隔声、减振等措施。</w:t>
                  </w:r>
                </w:p>
              </w:tc>
              <w:tc>
                <w:tcPr>
                  <w:tcW w:w="941" w:type="dxa"/>
                  <w:shd w:val="clear" w:color="auto" w:fill="auto"/>
                  <w:vAlign w:val="center"/>
                </w:tcPr>
                <w:p w14:paraId="24259D39">
                  <w:pPr>
                    <w:widowControl/>
                    <w:jc w:val="center"/>
                    <w:rPr>
                      <w:color w:val="auto"/>
                      <w:kern w:val="0"/>
                      <w:szCs w:val="21"/>
                    </w:rPr>
                  </w:pPr>
                  <w:r>
                    <w:rPr>
                      <w:rFonts w:hint="eastAsia"/>
                      <w:color w:val="auto"/>
                      <w:kern w:val="0"/>
                      <w:szCs w:val="21"/>
                      <w:lang w:val="en-US" w:eastAsia="zh-CN"/>
                    </w:rPr>
                    <w:t>计入已建工程投资</w:t>
                  </w:r>
                </w:p>
              </w:tc>
            </w:tr>
            <w:tr w14:paraId="4FF908F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7281" w:type="dxa"/>
                  <w:gridSpan w:val="3"/>
                  <w:shd w:val="clear" w:color="auto" w:fill="auto"/>
                  <w:vAlign w:val="center"/>
                </w:tcPr>
                <w:p w14:paraId="644AF268">
                  <w:pPr>
                    <w:widowControl/>
                    <w:jc w:val="center"/>
                    <w:rPr>
                      <w:color w:val="auto"/>
                      <w:kern w:val="0"/>
                      <w:szCs w:val="21"/>
                    </w:rPr>
                  </w:pPr>
                  <w:r>
                    <w:rPr>
                      <w:color w:val="auto"/>
                      <w:kern w:val="0"/>
                      <w:szCs w:val="21"/>
                    </w:rPr>
                    <w:t>合计</w:t>
                  </w:r>
                </w:p>
              </w:tc>
              <w:tc>
                <w:tcPr>
                  <w:tcW w:w="941" w:type="dxa"/>
                  <w:shd w:val="clear" w:color="auto" w:fill="auto"/>
                  <w:vAlign w:val="center"/>
                </w:tcPr>
                <w:p w14:paraId="2A4263BD">
                  <w:pPr>
                    <w:widowControl/>
                    <w:jc w:val="center"/>
                    <w:rPr>
                      <w:rFonts w:hint="default" w:eastAsia="宋体"/>
                      <w:color w:val="auto"/>
                      <w:kern w:val="0"/>
                      <w:szCs w:val="21"/>
                      <w:lang w:val="en-US" w:eastAsia="zh-CN"/>
                    </w:rPr>
                  </w:pPr>
                  <w:r>
                    <w:rPr>
                      <w:rFonts w:hint="eastAsia"/>
                      <w:color w:val="auto"/>
                      <w:kern w:val="0"/>
                      <w:szCs w:val="21"/>
                      <w:lang w:val="en-US" w:eastAsia="zh-CN"/>
                    </w:rPr>
                    <w:t>20</w:t>
                  </w:r>
                </w:p>
              </w:tc>
            </w:tr>
            <w:bookmarkEnd w:id="6"/>
          </w:tbl>
          <w:p w14:paraId="386F831B">
            <w:pPr>
              <w:spacing w:line="360" w:lineRule="auto"/>
              <w:rPr>
                <w:bCs/>
                <w:color w:val="auto"/>
                <w:sz w:val="24"/>
              </w:rPr>
            </w:pPr>
          </w:p>
        </w:tc>
      </w:tr>
    </w:tbl>
    <w:p w14:paraId="357BD7C5">
      <w:pPr>
        <w:adjustRightInd w:val="0"/>
        <w:snapToGrid w:val="0"/>
        <w:spacing w:line="360" w:lineRule="auto"/>
        <w:rPr>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2D98F993">
      <w:pPr>
        <w:pStyle w:val="14"/>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t>五、</w:t>
      </w:r>
      <w:bookmarkStart w:id="7" w:name="_Hlk54167917"/>
      <w:r>
        <w:rPr>
          <w:rFonts w:ascii="Times New Roman" w:hAnsi="Times New Roman" w:eastAsia="黑体"/>
          <w:snapToGrid w:val="0"/>
          <w:color w:val="auto"/>
          <w:sz w:val="30"/>
          <w:szCs w:val="30"/>
        </w:rPr>
        <w:t>环境保护措施监督检查清单</w:t>
      </w:r>
      <w:bookmarkEnd w:id="7"/>
    </w:p>
    <w:tbl>
      <w:tblPr>
        <w:tblStyle w:val="17"/>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1701"/>
        <w:gridCol w:w="1275"/>
        <w:gridCol w:w="2384"/>
        <w:gridCol w:w="1902"/>
      </w:tblGrid>
      <w:tr w14:paraId="7C90B4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tcBorders>
              <w:tl2br w:val="single" w:color="auto" w:sz="4" w:space="0"/>
            </w:tcBorders>
          </w:tcPr>
          <w:p w14:paraId="60AB4D9F">
            <w:pPr>
              <w:adjustRightInd w:val="0"/>
              <w:snapToGrid w:val="0"/>
              <w:ind w:firstLine="840"/>
              <w:rPr>
                <w:b/>
                <w:bCs/>
                <w:color w:val="auto"/>
                <w:sz w:val="24"/>
                <w:szCs w:val="24"/>
              </w:rPr>
            </w:pPr>
            <w:r>
              <w:rPr>
                <w:b/>
                <w:bCs/>
                <w:color w:val="auto"/>
                <w:sz w:val="24"/>
                <w:szCs w:val="24"/>
              </w:rPr>
              <w:t>内容</w:t>
            </w:r>
          </w:p>
          <w:p w14:paraId="26CDC912">
            <w:pPr>
              <w:adjustRightInd w:val="0"/>
              <w:snapToGrid w:val="0"/>
              <w:rPr>
                <w:b/>
                <w:bCs/>
                <w:color w:val="auto"/>
                <w:sz w:val="24"/>
                <w:szCs w:val="24"/>
              </w:rPr>
            </w:pPr>
            <w:r>
              <w:rPr>
                <w:b/>
                <w:bCs/>
                <w:color w:val="auto"/>
                <w:sz w:val="24"/>
                <w:szCs w:val="24"/>
              </w:rPr>
              <w:t>要素</w:t>
            </w:r>
          </w:p>
        </w:tc>
        <w:tc>
          <w:tcPr>
            <w:tcW w:w="1701" w:type="dxa"/>
            <w:vAlign w:val="center"/>
          </w:tcPr>
          <w:p w14:paraId="3FA77821">
            <w:pPr>
              <w:adjustRightInd w:val="0"/>
              <w:snapToGrid w:val="0"/>
              <w:jc w:val="center"/>
              <w:rPr>
                <w:b/>
                <w:bCs/>
                <w:color w:val="auto"/>
                <w:sz w:val="24"/>
                <w:szCs w:val="24"/>
              </w:rPr>
            </w:pPr>
            <w:r>
              <w:rPr>
                <w:b/>
                <w:bCs/>
                <w:color w:val="auto"/>
                <w:sz w:val="24"/>
                <w:szCs w:val="24"/>
              </w:rPr>
              <w:t>排放口</w:t>
            </w:r>
            <w:r>
              <w:rPr>
                <w:rFonts w:hint="eastAsia"/>
                <w:b/>
                <w:bCs/>
                <w:color w:val="auto"/>
                <w:sz w:val="24"/>
                <w:szCs w:val="24"/>
                <w:lang w:eastAsia="zh-CN"/>
              </w:rPr>
              <w:t>（</w:t>
            </w:r>
            <w:r>
              <w:rPr>
                <w:b/>
                <w:bCs/>
                <w:color w:val="auto"/>
                <w:sz w:val="24"/>
                <w:szCs w:val="24"/>
              </w:rPr>
              <w:t>编号、</w:t>
            </w:r>
          </w:p>
          <w:p w14:paraId="16B8537F">
            <w:pPr>
              <w:adjustRightInd w:val="0"/>
              <w:snapToGrid w:val="0"/>
              <w:jc w:val="center"/>
              <w:rPr>
                <w:b/>
                <w:bCs/>
                <w:color w:val="auto"/>
                <w:sz w:val="24"/>
                <w:szCs w:val="24"/>
              </w:rPr>
            </w:pPr>
            <w:r>
              <w:rPr>
                <w:b/>
                <w:bCs/>
                <w:color w:val="auto"/>
                <w:sz w:val="24"/>
                <w:szCs w:val="24"/>
              </w:rPr>
              <w:t>名称</w:t>
            </w:r>
            <w:r>
              <w:rPr>
                <w:rFonts w:hint="eastAsia"/>
                <w:b/>
                <w:bCs/>
                <w:color w:val="auto"/>
                <w:sz w:val="24"/>
                <w:szCs w:val="24"/>
                <w:lang w:eastAsia="zh-CN"/>
              </w:rPr>
              <w:t>）</w:t>
            </w:r>
            <w:r>
              <w:rPr>
                <w:rFonts w:hint="eastAsia"/>
                <w:b/>
                <w:bCs/>
                <w:color w:val="auto"/>
                <w:sz w:val="24"/>
                <w:szCs w:val="24"/>
                <w:lang w:val="en-US" w:eastAsia="zh-CN"/>
              </w:rPr>
              <w:t>/</w:t>
            </w:r>
            <w:r>
              <w:rPr>
                <w:b/>
                <w:bCs/>
                <w:color w:val="auto"/>
                <w:sz w:val="24"/>
                <w:szCs w:val="24"/>
              </w:rPr>
              <w:t>污染源</w:t>
            </w:r>
          </w:p>
        </w:tc>
        <w:tc>
          <w:tcPr>
            <w:tcW w:w="1275" w:type="dxa"/>
            <w:vAlign w:val="center"/>
          </w:tcPr>
          <w:p w14:paraId="3867E9E2">
            <w:pPr>
              <w:adjustRightInd w:val="0"/>
              <w:snapToGrid w:val="0"/>
              <w:jc w:val="center"/>
              <w:rPr>
                <w:b/>
                <w:bCs/>
                <w:color w:val="auto"/>
                <w:sz w:val="24"/>
                <w:szCs w:val="24"/>
              </w:rPr>
            </w:pPr>
            <w:r>
              <w:rPr>
                <w:b/>
                <w:bCs/>
                <w:color w:val="auto"/>
                <w:sz w:val="24"/>
                <w:szCs w:val="24"/>
              </w:rPr>
              <w:t>污染物项目</w:t>
            </w:r>
          </w:p>
        </w:tc>
        <w:tc>
          <w:tcPr>
            <w:tcW w:w="2384" w:type="dxa"/>
            <w:vAlign w:val="center"/>
          </w:tcPr>
          <w:p w14:paraId="0584462B">
            <w:pPr>
              <w:adjustRightInd w:val="0"/>
              <w:snapToGrid w:val="0"/>
              <w:jc w:val="center"/>
              <w:rPr>
                <w:b/>
                <w:bCs/>
                <w:color w:val="auto"/>
                <w:sz w:val="24"/>
                <w:szCs w:val="24"/>
              </w:rPr>
            </w:pPr>
            <w:r>
              <w:rPr>
                <w:b/>
                <w:bCs/>
                <w:color w:val="auto"/>
                <w:sz w:val="24"/>
                <w:szCs w:val="24"/>
              </w:rPr>
              <w:t>环境保护措施</w:t>
            </w:r>
          </w:p>
        </w:tc>
        <w:tc>
          <w:tcPr>
            <w:tcW w:w="1902" w:type="dxa"/>
            <w:vAlign w:val="center"/>
          </w:tcPr>
          <w:p w14:paraId="3E84828A">
            <w:pPr>
              <w:adjustRightInd w:val="0"/>
              <w:snapToGrid w:val="0"/>
              <w:jc w:val="center"/>
              <w:rPr>
                <w:b/>
                <w:bCs/>
                <w:color w:val="auto"/>
                <w:sz w:val="24"/>
                <w:szCs w:val="24"/>
              </w:rPr>
            </w:pPr>
            <w:r>
              <w:rPr>
                <w:b/>
                <w:bCs/>
                <w:color w:val="auto"/>
                <w:sz w:val="24"/>
                <w:szCs w:val="24"/>
              </w:rPr>
              <w:t>执行标准</w:t>
            </w:r>
          </w:p>
        </w:tc>
      </w:tr>
      <w:tr w14:paraId="252CA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vMerge w:val="restart"/>
            <w:vAlign w:val="center"/>
          </w:tcPr>
          <w:p w14:paraId="566316AA">
            <w:pPr>
              <w:adjustRightInd w:val="0"/>
              <w:snapToGrid w:val="0"/>
              <w:jc w:val="center"/>
              <w:rPr>
                <w:b/>
                <w:bCs/>
                <w:color w:val="auto"/>
                <w:sz w:val="24"/>
                <w:szCs w:val="24"/>
              </w:rPr>
            </w:pPr>
            <w:r>
              <w:rPr>
                <w:b/>
                <w:bCs/>
                <w:color w:val="auto"/>
                <w:sz w:val="24"/>
                <w:szCs w:val="24"/>
              </w:rPr>
              <w:t>大气环境</w:t>
            </w:r>
          </w:p>
        </w:tc>
        <w:tc>
          <w:tcPr>
            <w:tcW w:w="1701" w:type="dxa"/>
            <w:shd w:val="clear" w:color="auto" w:fill="auto"/>
            <w:vAlign w:val="center"/>
          </w:tcPr>
          <w:p w14:paraId="32696647">
            <w:pPr>
              <w:adjustRightInd w:val="0"/>
              <w:snapToGrid w:val="0"/>
              <w:jc w:val="center"/>
              <w:rPr>
                <w:rFonts w:ascii="Times New Roman" w:hAnsi="Times New Roman" w:eastAsia="宋体" w:cs="Times New Roman"/>
                <w:color w:val="auto"/>
                <w:kern w:val="2"/>
                <w:sz w:val="24"/>
                <w:szCs w:val="24"/>
                <w:lang w:val="en-US" w:eastAsia="zh-CN" w:bidi="ar-SA"/>
              </w:rPr>
            </w:pPr>
            <w:r>
              <w:rPr>
                <w:rFonts w:hint="eastAsia"/>
                <w:b w:val="0"/>
                <w:bCs w:val="0"/>
                <w:color w:val="auto"/>
                <w:sz w:val="24"/>
                <w:szCs w:val="24"/>
                <w:lang w:val="en-US" w:eastAsia="zh-CN"/>
              </w:rPr>
              <w:t>发酵工序</w:t>
            </w:r>
          </w:p>
        </w:tc>
        <w:tc>
          <w:tcPr>
            <w:tcW w:w="1275" w:type="dxa"/>
            <w:vAlign w:val="center"/>
          </w:tcPr>
          <w:p w14:paraId="10858890">
            <w:pPr>
              <w:adjustRightInd w:val="0"/>
              <w:snapToGrid w:val="0"/>
              <w:jc w:val="center"/>
              <w:rPr>
                <w:rFonts w:hint="default"/>
                <w:color w:val="auto"/>
                <w:sz w:val="24"/>
                <w:szCs w:val="24"/>
                <w:lang w:val="en-US"/>
              </w:rPr>
            </w:pPr>
            <w:r>
              <w:rPr>
                <w:rFonts w:hint="eastAsia"/>
                <w:b w:val="0"/>
                <w:bCs w:val="0"/>
                <w:color w:val="auto"/>
                <w:sz w:val="24"/>
                <w:szCs w:val="24"/>
                <w:lang w:val="en-US" w:eastAsia="zh-CN"/>
              </w:rPr>
              <w:t>发酵异味</w:t>
            </w:r>
          </w:p>
        </w:tc>
        <w:tc>
          <w:tcPr>
            <w:tcW w:w="2384" w:type="dxa"/>
            <w:vAlign w:val="center"/>
          </w:tcPr>
          <w:p w14:paraId="6DD4BCD3">
            <w:pPr>
              <w:adjustRightInd w:val="0"/>
              <w:snapToGrid w:val="0"/>
              <w:jc w:val="center"/>
              <w:rPr>
                <w:rFonts w:hint="eastAsia" w:eastAsia="宋体"/>
                <w:color w:val="auto"/>
                <w:sz w:val="24"/>
                <w:szCs w:val="24"/>
                <w:lang w:eastAsia="zh-CN" w:bidi="ar"/>
              </w:rPr>
            </w:pPr>
            <w:r>
              <w:rPr>
                <w:rFonts w:hint="eastAsia"/>
                <w:b w:val="0"/>
                <w:bCs w:val="0"/>
                <w:color w:val="auto"/>
                <w:sz w:val="24"/>
                <w:szCs w:val="24"/>
                <w:lang w:val="en-US" w:eastAsia="zh-CN"/>
              </w:rPr>
              <w:t>封闭车间、地下发酵池用塑料膜覆盖封闭、发酵桶加盖密闭。</w:t>
            </w:r>
          </w:p>
        </w:tc>
        <w:tc>
          <w:tcPr>
            <w:tcW w:w="1902" w:type="dxa"/>
            <w:vMerge w:val="restart"/>
            <w:vAlign w:val="center"/>
          </w:tcPr>
          <w:p w14:paraId="155CD38E">
            <w:pPr>
              <w:adjustRightInd w:val="0"/>
              <w:snapToGrid w:val="0"/>
              <w:jc w:val="center"/>
              <w:rPr>
                <w:color w:val="auto"/>
                <w:sz w:val="24"/>
                <w:szCs w:val="24"/>
              </w:rPr>
            </w:pPr>
            <w:r>
              <w:rPr>
                <w:rFonts w:hint="eastAsia"/>
                <w:color w:val="auto"/>
                <w:sz w:val="24"/>
                <w:szCs w:val="24"/>
              </w:rPr>
              <w:t>《恶臭污染物排放标准》</w:t>
            </w:r>
            <w:r>
              <w:rPr>
                <w:rFonts w:hint="eastAsia"/>
                <w:color w:val="auto"/>
                <w:sz w:val="24"/>
                <w:szCs w:val="24"/>
                <w:lang w:eastAsia="zh-CN"/>
              </w:rPr>
              <w:t>（</w:t>
            </w:r>
            <w:r>
              <w:rPr>
                <w:rFonts w:hint="eastAsia"/>
                <w:color w:val="auto"/>
                <w:sz w:val="24"/>
                <w:szCs w:val="24"/>
              </w:rPr>
              <w:t>GB14554-93</w:t>
            </w:r>
            <w:r>
              <w:rPr>
                <w:rFonts w:hint="eastAsia"/>
                <w:color w:val="auto"/>
                <w:sz w:val="24"/>
                <w:szCs w:val="24"/>
                <w:lang w:eastAsia="zh-CN"/>
              </w:rPr>
              <w:t>）</w:t>
            </w:r>
            <w:r>
              <w:rPr>
                <w:color w:val="auto"/>
                <w:sz w:val="24"/>
                <w:szCs w:val="24"/>
              </w:rPr>
              <w:t>表</w:t>
            </w:r>
            <w:r>
              <w:rPr>
                <w:rFonts w:hint="eastAsia"/>
                <w:color w:val="auto"/>
                <w:sz w:val="24"/>
                <w:szCs w:val="24"/>
                <w:lang w:val="en-US" w:eastAsia="zh-CN"/>
              </w:rPr>
              <w:t>1</w:t>
            </w:r>
            <w:r>
              <w:rPr>
                <w:color w:val="auto"/>
                <w:sz w:val="24"/>
                <w:szCs w:val="24"/>
              </w:rPr>
              <w:t>标准</w:t>
            </w:r>
          </w:p>
        </w:tc>
      </w:tr>
      <w:tr w14:paraId="6CE5C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vMerge w:val="continue"/>
            <w:vAlign w:val="center"/>
          </w:tcPr>
          <w:p w14:paraId="5B507E2A">
            <w:pPr>
              <w:adjustRightInd w:val="0"/>
              <w:snapToGrid w:val="0"/>
              <w:jc w:val="center"/>
              <w:rPr>
                <w:b/>
                <w:bCs/>
                <w:color w:val="auto"/>
                <w:sz w:val="24"/>
                <w:szCs w:val="24"/>
              </w:rPr>
            </w:pPr>
          </w:p>
        </w:tc>
        <w:tc>
          <w:tcPr>
            <w:tcW w:w="1701" w:type="dxa"/>
            <w:shd w:val="clear" w:color="auto" w:fill="auto"/>
            <w:vAlign w:val="center"/>
          </w:tcPr>
          <w:p w14:paraId="51B5F3F6">
            <w:pPr>
              <w:adjustRightInd w:val="0"/>
              <w:snapToGrid w:val="0"/>
              <w:jc w:val="center"/>
              <w:rPr>
                <w:rFonts w:hint="eastAsia" w:ascii="Times New Roman" w:hAnsi="Times New Roman" w:eastAsia="宋体" w:cs="Times New Roman"/>
                <w:b w:val="0"/>
                <w:bCs w:val="0"/>
                <w:color w:val="auto"/>
                <w:kern w:val="2"/>
                <w:sz w:val="24"/>
                <w:szCs w:val="24"/>
                <w:lang w:val="en-US" w:eastAsia="zh-CN" w:bidi="ar-SA"/>
              </w:rPr>
            </w:pPr>
            <w:r>
              <w:rPr>
                <w:rFonts w:hint="eastAsia"/>
                <w:b w:val="0"/>
                <w:bCs w:val="0"/>
                <w:color w:val="auto"/>
                <w:sz w:val="24"/>
                <w:szCs w:val="24"/>
                <w:lang w:val="en-US" w:eastAsia="zh-CN"/>
              </w:rPr>
              <w:t>废水存储及运输</w:t>
            </w:r>
          </w:p>
        </w:tc>
        <w:tc>
          <w:tcPr>
            <w:tcW w:w="1275" w:type="dxa"/>
            <w:shd w:val="clear" w:color="auto" w:fill="auto"/>
            <w:vAlign w:val="center"/>
          </w:tcPr>
          <w:p w14:paraId="7D1B1AE3">
            <w:pPr>
              <w:adjustRightInd w:val="0"/>
              <w:snapToGrid w:val="0"/>
              <w:jc w:val="center"/>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发酵异味</w:t>
            </w:r>
          </w:p>
        </w:tc>
        <w:tc>
          <w:tcPr>
            <w:tcW w:w="2384" w:type="dxa"/>
            <w:vAlign w:val="center"/>
          </w:tcPr>
          <w:p w14:paraId="2D34DCB1">
            <w:pPr>
              <w:adjustRightInd w:val="0"/>
              <w:snapToGrid w:val="0"/>
              <w:jc w:val="center"/>
              <w:rPr>
                <w:rFonts w:hint="eastAsia"/>
                <w:b w:val="0"/>
                <w:bCs w:val="0"/>
                <w:color w:val="auto"/>
                <w:sz w:val="24"/>
                <w:szCs w:val="24"/>
                <w:lang w:val="en-US" w:eastAsia="zh-CN"/>
              </w:rPr>
            </w:pPr>
            <w:r>
              <w:rPr>
                <w:rFonts w:hint="eastAsia"/>
                <w:b w:val="0"/>
                <w:bCs w:val="0"/>
                <w:color w:val="auto"/>
                <w:sz w:val="24"/>
                <w:szCs w:val="24"/>
                <w:lang w:val="en-US" w:eastAsia="zh-CN"/>
              </w:rPr>
              <w:t>废水储罐加盖密闭、运输车辆污水箱全封闭。</w:t>
            </w:r>
          </w:p>
        </w:tc>
        <w:tc>
          <w:tcPr>
            <w:tcW w:w="1902" w:type="dxa"/>
            <w:vMerge w:val="continue"/>
            <w:vAlign w:val="center"/>
          </w:tcPr>
          <w:p w14:paraId="21C50CE0">
            <w:pPr>
              <w:adjustRightInd w:val="0"/>
              <w:snapToGrid w:val="0"/>
              <w:jc w:val="center"/>
              <w:rPr>
                <w:rFonts w:hint="eastAsia"/>
                <w:color w:val="auto"/>
                <w:sz w:val="24"/>
                <w:szCs w:val="24"/>
              </w:rPr>
            </w:pPr>
          </w:p>
        </w:tc>
      </w:tr>
      <w:tr w14:paraId="198780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vMerge w:val="restart"/>
            <w:vAlign w:val="center"/>
          </w:tcPr>
          <w:p w14:paraId="01F1B711">
            <w:pPr>
              <w:adjustRightInd w:val="0"/>
              <w:snapToGrid w:val="0"/>
              <w:jc w:val="center"/>
              <w:rPr>
                <w:b/>
                <w:bCs/>
                <w:color w:val="auto"/>
                <w:sz w:val="24"/>
                <w:szCs w:val="24"/>
              </w:rPr>
            </w:pPr>
            <w:r>
              <w:rPr>
                <w:b/>
                <w:bCs/>
                <w:color w:val="auto"/>
                <w:sz w:val="24"/>
                <w:szCs w:val="24"/>
              </w:rPr>
              <w:t>地表水环境</w:t>
            </w:r>
          </w:p>
        </w:tc>
        <w:tc>
          <w:tcPr>
            <w:tcW w:w="1701" w:type="dxa"/>
            <w:shd w:val="clear" w:color="auto" w:fill="auto"/>
            <w:vAlign w:val="center"/>
          </w:tcPr>
          <w:p w14:paraId="3108A779">
            <w:pPr>
              <w:adjustRightInd w:val="0"/>
              <w:snapToGrid w:val="0"/>
              <w:jc w:val="center"/>
              <w:rPr>
                <w:rFonts w:ascii="Times New Roman" w:hAnsi="Times New Roman" w:eastAsia="宋体" w:cs="Times New Roman"/>
                <w:color w:val="auto"/>
                <w:kern w:val="2"/>
                <w:sz w:val="24"/>
                <w:szCs w:val="24"/>
                <w:lang w:val="en-US" w:eastAsia="zh-CN" w:bidi="ar"/>
              </w:rPr>
            </w:pPr>
            <w:r>
              <w:rPr>
                <w:color w:val="auto"/>
                <w:sz w:val="24"/>
                <w:szCs w:val="24"/>
                <w:lang w:bidi="ar"/>
              </w:rPr>
              <w:t>生活污水</w:t>
            </w:r>
          </w:p>
        </w:tc>
        <w:tc>
          <w:tcPr>
            <w:tcW w:w="1275" w:type="dxa"/>
            <w:shd w:val="clear" w:color="auto" w:fill="auto"/>
            <w:vAlign w:val="center"/>
          </w:tcPr>
          <w:p w14:paraId="340D8B73">
            <w:pPr>
              <w:adjustRightInd w:val="0"/>
              <w:snapToGrid w:val="0"/>
              <w:jc w:val="center"/>
              <w:rPr>
                <w:rFonts w:ascii="Times New Roman" w:hAnsi="Times New Roman" w:eastAsia="宋体" w:cs="Times New Roman"/>
                <w:color w:val="auto"/>
                <w:kern w:val="2"/>
                <w:sz w:val="24"/>
                <w:szCs w:val="24"/>
                <w:lang w:val="en-US" w:eastAsia="zh-CN" w:bidi="ar-SA"/>
              </w:rPr>
            </w:pPr>
            <w:r>
              <w:rPr>
                <w:color w:val="auto"/>
                <w:sz w:val="24"/>
                <w:szCs w:val="24"/>
              </w:rPr>
              <w:t>COD、BOD、SS、NH</w:t>
            </w:r>
            <w:r>
              <w:rPr>
                <w:color w:val="auto"/>
                <w:sz w:val="24"/>
                <w:szCs w:val="24"/>
                <w:vertAlign w:val="subscript"/>
              </w:rPr>
              <w:t>3</w:t>
            </w:r>
            <w:r>
              <w:rPr>
                <w:color w:val="auto"/>
                <w:sz w:val="24"/>
                <w:szCs w:val="24"/>
              </w:rPr>
              <w:t>-N、总氮、总磷、动植物油</w:t>
            </w:r>
          </w:p>
        </w:tc>
        <w:tc>
          <w:tcPr>
            <w:tcW w:w="2384" w:type="dxa"/>
            <w:shd w:val="clear" w:color="auto" w:fill="auto"/>
            <w:vAlign w:val="center"/>
          </w:tcPr>
          <w:p w14:paraId="06AB97FE">
            <w:pPr>
              <w:numPr>
                <w:ilvl w:val="3"/>
                <w:numId w:val="0"/>
              </w:numPr>
              <w:tabs>
                <w:tab w:val="left" w:pos="851"/>
                <w:tab w:val="left" w:pos="2880"/>
              </w:tabs>
              <w:adjustRightInd w:val="0"/>
              <w:snapToGrid w:val="0"/>
              <w:ind w:left="0" w:leftChars="0" w:firstLine="0" w:firstLineChars="0"/>
              <w:jc w:val="center"/>
              <w:rPr>
                <w:rFonts w:hint="eastAsia" w:ascii="Times New Roman" w:hAnsi="Times New Roman" w:eastAsia="宋体" w:cs="Times New Roman"/>
                <w:bCs/>
                <w:color w:val="auto"/>
                <w:kern w:val="0"/>
                <w:sz w:val="24"/>
                <w:szCs w:val="24"/>
                <w:lang w:val="en-US" w:eastAsia="zh-CN" w:bidi="ar-SA"/>
              </w:rPr>
            </w:pPr>
            <w:r>
              <w:rPr>
                <w:rFonts w:hint="eastAsia"/>
                <w:bCs/>
                <w:color w:val="auto"/>
                <w:kern w:val="0"/>
                <w:sz w:val="24"/>
                <w:szCs w:val="24"/>
                <w:lang w:eastAsia="zh-CN"/>
              </w:rPr>
              <w:t>生活污水经化粪池收集后</w:t>
            </w:r>
            <w:r>
              <w:rPr>
                <w:bCs/>
                <w:color w:val="auto"/>
                <w:kern w:val="0"/>
                <w:sz w:val="24"/>
                <w:szCs w:val="24"/>
              </w:rPr>
              <w:t>，定期拉运至杭锦旗锡尼镇污水处理厂处理</w:t>
            </w:r>
            <w:r>
              <w:rPr>
                <w:rFonts w:hint="eastAsia"/>
                <w:bCs/>
                <w:color w:val="auto"/>
                <w:kern w:val="0"/>
                <w:sz w:val="24"/>
                <w:szCs w:val="24"/>
                <w:lang w:eastAsia="zh-CN"/>
              </w:rPr>
              <w:t>。</w:t>
            </w:r>
          </w:p>
        </w:tc>
        <w:tc>
          <w:tcPr>
            <w:tcW w:w="1902" w:type="dxa"/>
            <w:vAlign w:val="center"/>
          </w:tcPr>
          <w:p w14:paraId="7FF29D3F">
            <w:pPr>
              <w:adjustRightInd w:val="0"/>
              <w:snapToGrid w:val="0"/>
              <w:jc w:val="center"/>
              <w:rPr>
                <w:rFonts w:hint="eastAsia" w:eastAsia="宋体"/>
                <w:color w:val="auto"/>
                <w:sz w:val="24"/>
                <w:szCs w:val="24"/>
                <w:lang w:eastAsia="zh-CN"/>
              </w:rPr>
            </w:pPr>
            <w:r>
              <w:rPr>
                <w:rFonts w:hint="eastAsia"/>
                <w:color w:val="auto"/>
                <w:sz w:val="24"/>
                <w:szCs w:val="24"/>
                <w:lang w:val="en-US" w:eastAsia="zh-CN"/>
              </w:rPr>
              <w:t>/</w:t>
            </w:r>
          </w:p>
        </w:tc>
      </w:tr>
      <w:tr w14:paraId="00468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vMerge w:val="continue"/>
            <w:vAlign w:val="center"/>
          </w:tcPr>
          <w:p w14:paraId="7E46ABF5">
            <w:pPr>
              <w:adjustRightInd w:val="0"/>
              <w:snapToGrid w:val="0"/>
              <w:jc w:val="center"/>
              <w:rPr>
                <w:b/>
                <w:bCs/>
                <w:color w:val="auto"/>
                <w:sz w:val="24"/>
                <w:szCs w:val="24"/>
              </w:rPr>
            </w:pPr>
          </w:p>
        </w:tc>
        <w:tc>
          <w:tcPr>
            <w:tcW w:w="1701" w:type="dxa"/>
            <w:vAlign w:val="center"/>
          </w:tcPr>
          <w:p w14:paraId="783FD108">
            <w:pPr>
              <w:adjustRightInd w:val="0"/>
              <w:snapToGrid w:val="0"/>
              <w:jc w:val="center"/>
              <w:rPr>
                <w:rFonts w:hint="default"/>
                <w:color w:val="auto"/>
                <w:sz w:val="24"/>
                <w:szCs w:val="24"/>
                <w:lang w:val="en-US" w:bidi="ar"/>
              </w:rPr>
            </w:pPr>
            <w:r>
              <w:rPr>
                <w:rFonts w:hint="eastAsia"/>
                <w:bCs/>
                <w:color w:val="auto"/>
                <w:sz w:val="24"/>
                <w:szCs w:val="24"/>
                <w:lang w:val="en-US" w:eastAsia="zh-CN"/>
              </w:rPr>
              <w:t>新鲜蔬菜漂烫清洗废水</w:t>
            </w:r>
          </w:p>
        </w:tc>
        <w:tc>
          <w:tcPr>
            <w:tcW w:w="1275" w:type="dxa"/>
            <w:vAlign w:val="center"/>
          </w:tcPr>
          <w:p w14:paraId="43432A00">
            <w:pPr>
              <w:adjustRightInd w:val="0"/>
              <w:snapToGrid w:val="0"/>
              <w:jc w:val="center"/>
              <w:rPr>
                <w:rFonts w:hint="default" w:eastAsia="宋体"/>
                <w:color w:val="auto"/>
                <w:sz w:val="24"/>
                <w:szCs w:val="24"/>
                <w:lang w:val="en-US" w:eastAsia="zh-CN"/>
              </w:rPr>
            </w:pPr>
            <w:r>
              <w:rPr>
                <w:rFonts w:hint="eastAsia"/>
                <w:color w:val="auto"/>
                <w:sz w:val="24"/>
                <w:szCs w:val="24"/>
                <w:lang w:val="en-US" w:eastAsia="zh-CN"/>
              </w:rPr>
              <w:t>SS</w:t>
            </w:r>
          </w:p>
        </w:tc>
        <w:tc>
          <w:tcPr>
            <w:tcW w:w="2384" w:type="dxa"/>
            <w:shd w:val="clear" w:color="auto" w:fill="auto"/>
            <w:vAlign w:val="center"/>
          </w:tcPr>
          <w:p w14:paraId="2790598F">
            <w:pPr>
              <w:numPr>
                <w:ilvl w:val="3"/>
                <w:numId w:val="0"/>
              </w:numPr>
              <w:tabs>
                <w:tab w:val="left" w:pos="851"/>
                <w:tab w:val="left" w:pos="2880"/>
              </w:tabs>
              <w:adjustRightInd w:val="0"/>
              <w:snapToGrid w:val="0"/>
              <w:jc w:val="center"/>
              <w:rPr>
                <w:rFonts w:ascii="Times New Roman" w:hAnsi="Times New Roman" w:eastAsia="宋体" w:cs="Times New Roman"/>
                <w:bCs/>
                <w:color w:val="auto"/>
                <w:kern w:val="2"/>
                <w:sz w:val="24"/>
                <w:szCs w:val="24"/>
                <w:lang w:val="en-US" w:eastAsia="zh-CN" w:bidi="ar-SA"/>
              </w:rPr>
            </w:pPr>
            <w:r>
              <w:rPr>
                <w:rFonts w:hint="eastAsia"/>
                <w:bCs/>
                <w:color w:val="auto"/>
                <w:sz w:val="24"/>
                <w:szCs w:val="24"/>
                <w:lang w:val="en-US" w:eastAsia="zh-CN"/>
              </w:rPr>
              <w:t>经1#废水储罐收集冷却后，拉运至周边农田，用于农田灌溉。</w:t>
            </w:r>
          </w:p>
        </w:tc>
        <w:tc>
          <w:tcPr>
            <w:tcW w:w="1902" w:type="dxa"/>
            <w:vAlign w:val="center"/>
          </w:tcPr>
          <w:p w14:paraId="1172E84D">
            <w:pPr>
              <w:adjustRightInd w:val="0"/>
              <w:snapToGrid w:val="0"/>
              <w:jc w:val="center"/>
              <w:rPr>
                <w:color w:val="auto"/>
                <w:sz w:val="24"/>
                <w:szCs w:val="24"/>
              </w:rPr>
            </w:pPr>
            <w:r>
              <w:rPr>
                <w:color w:val="auto"/>
                <w:sz w:val="24"/>
                <w:szCs w:val="24"/>
              </w:rPr>
              <w:t>/</w:t>
            </w:r>
          </w:p>
        </w:tc>
      </w:tr>
      <w:tr w14:paraId="308B9E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vMerge w:val="continue"/>
            <w:vAlign w:val="center"/>
          </w:tcPr>
          <w:p w14:paraId="3FBB2BD6">
            <w:pPr>
              <w:adjustRightInd w:val="0"/>
              <w:snapToGrid w:val="0"/>
              <w:jc w:val="center"/>
              <w:rPr>
                <w:b/>
                <w:bCs/>
                <w:color w:val="auto"/>
                <w:sz w:val="24"/>
                <w:szCs w:val="24"/>
              </w:rPr>
            </w:pPr>
          </w:p>
        </w:tc>
        <w:tc>
          <w:tcPr>
            <w:tcW w:w="1701" w:type="dxa"/>
            <w:vAlign w:val="center"/>
          </w:tcPr>
          <w:p w14:paraId="708045E9">
            <w:pPr>
              <w:adjustRightInd w:val="0"/>
              <w:snapToGrid w:val="0"/>
              <w:jc w:val="center"/>
              <w:rPr>
                <w:rFonts w:hint="eastAsia"/>
                <w:bCs/>
                <w:color w:val="auto"/>
                <w:sz w:val="24"/>
                <w:szCs w:val="24"/>
                <w:lang w:val="en-US" w:eastAsia="zh-CN"/>
              </w:rPr>
            </w:pPr>
            <w:r>
              <w:rPr>
                <w:rFonts w:hint="eastAsia"/>
                <w:bCs/>
                <w:color w:val="auto"/>
                <w:sz w:val="24"/>
                <w:szCs w:val="24"/>
                <w:lang w:val="en-US" w:eastAsia="zh-CN"/>
              </w:rPr>
              <w:t>设备清洗废水、地面清洗废水、清洗酸菜废水</w:t>
            </w:r>
          </w:p>
        </w:tc>
        <w:tc>
          <w:tcPr>
            <w:tcW w:w="1275" w:type="dxa"/>
            <w:vAlign w:val="center"/>
          </w:tcPr>
          <w:p w14:paraId="5B10754D">
            <w:pPr>
              <w:adjustRightInd w:val="0"/>
              <w:snapToGrid w:val="0"/>
              <w:jc w:val="center"/>
              <w:rPr>
                <w:rFonts w:hint="eastAsia"/>
                <w:color w:val="auto"/>
                <w:sz w:val="24"/>
                <w:szCs w:val="24"/>
                <w:lang w:val="en-US" w:eastAsia="zh-CN"/>
              </w:rPr>
            </w:pPr>
            <w:r>
              <w:rPr>
                <w:rFonts w:hint="eastAsia"/>
                <w:color w:val="auto"/>
                <w:sz w:val="24"/>
                <w:szCs w:val="24"/>
                <w:lang w:val="en-US" w:eastAsia="zh-CN"/>
              </w:rPr>
              <w:t>COD、BOD、SS、NH3-N、总氮、总磷</w:t>
            </w:r>
          </w:p>
        </w:tc>
        <w:tc>
          <w:tcPr>
            <w:tcW w:w="2384" w:type="dxa"/>
            <w:shd w:val="clear" w:color="auto" w:fill="auto"/>
            <w:vAlign w:val="center"/>
          </w:tcPr>
          <w:p w14:paraId="5CE0C1F8">
            <w:pPr>
              <w:numPr>
                <w:ilvl w:val="3"/>
                <w:numId w:val="0"/>
              </w:numPr>
              <w:tabs>
                <w:tab w:val="left" w:pos="851"/>
                <w:tab w:val="left" w:pos="2880"/>
              </w:tabs>
              <w:adjustRightInd w:val="0"/>
              <w:snapToGrid w:val="0"/>
              <w:jc w:val="center"/>
              <w:rPr>
                <w:rFonts w:hint="eastAsia"/>
                <w:bCs/>
                <w:color w:val="auto"/>
                <w:sz w:val="24"/>
                <w:szCs w:val="24"/>
                <w:lang w:val="en-US" w:eastAsia="zh-CN"/>
              </w:rPr>
            </w:pPr>
            <w:r>
              <w:rPr>
                <w:rFonts w:hint="eastAsia"/>
                <w:bCs/>
                <w:color w:val="auto"/>
                <w:sz w:val="24"/>
                <w:szCs w:val="24"/>
                <w:lang w:val="en-US" w:eastAsia="zh-CN"/>
              </w:rPr>
              <w:t>经2#废水储罐收集后，定期拉运至杭锦旗锡尼镇污水处理厂处理，不外排。</w:t>
            </w:r>
          </w:p>
        </w:tc>
        <w:tc>
          <w:tcPr>
            <w:tcW w:w="1902" w:type="dxa"/>
            <w:vAlign w:val="center"/>
          </w:tcPr>
          <w:p w14:paraId="6CDD8354">
            <w:pPr>
              <w:adjustRightInd w:val="0"/>
              <w:snapToGrid w:val="0"/>
              <w:jc w:val="center"/>
              <w:rPr>
                <w:color w:val="auto"/>
                <w:sz w:val="24"/>
                <w:szCs w:val="24"/>
              </w:rPr>
            </w:pPr>
            <w:r>
              <w:rPr>
                <w:color w:val="auto"/>
                <w:sz w:val="24"/>
                <w:szCs w:val="24"/>
              </w:rPr>
              <w:t>/</w:t>
            </w:r>
          </w:p>
        </w:tc>
      </w:tr>
      <w:tr w14:paraId="74BA5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vMerge w:val="continue"/>
            <w:vAlign w:val="center"/>
          </w:tcPr>
          <w:p w14:paraId="1F282055">
            <w:pPr>
              <w:adjustRightInd w:val="0"/>
              <w:snapToGrid w:val="0"/>
              <w:jc w:val="center"/>
              <w:rPr>
                <w:b/>
                <w:bCs/>
                <w:color w:val="auto"/>
                <w:sz w:val="24"/>
                <w:szCs w:val="24"/>
              </w:rPr>
            </w:pPr>
          </w:p>
        </w:tc>
        <w:tc>
          <w:tcPr>
            <w:tcW w:w="1701" w:type="dxa"/>
            <w:vAlign w:val="center"/>
          </w:tcPr>
          <w:p w14:paraId="3BEB0E3F">
            <w:pPr>
              <w:adjustRightInd w:val="0"/>
              <w:snapToGrid w:val="0"/>
              <w:jc w:val="center"/>
              <w:rPr>
                <w:color w:val="auto"/>
                <w:sz w:val="24"/>
                <w:szCs w:val="24"/>
                <w:lang w:bidi="ar"/>
              </w:rPr>
            </w:pPr>
            <w:r>
              <w:rPr>
                <w:rFonts w:hint="eastAsia"/>
                <w:bCs/>
                <w:color w:val="auto"/>
                <w:sz w:val="24"/>
                <w:szCs w:val="24"/>
                <w:lang w:val="en-US" w:eastAsia="zh-CN"/>
              </w:rPr>
              <w:t>酸菜发酵废水</w:t>
            </w:r>
          </w:p>
        </w:tc>
        <w:tc>
          <w:tcPr>
            <w:tcW w:w="1275" w:type="dxa"/>
            <w:vAlign w:val="center"/>
          </w:tcPr>
          <w:p w14:paraId="438E4D18">
            <w:pPr>
              <w:adjustRightInd w:val="0"/>
              <w:snapToGrid w:val="0"/>
              <w:jc w:val="center"/>
              <w:rPr>
                <w:color w:val="auto"/>
                <w:sz w:val="24"/>
                <w:szCs w:val="24"/>
              </w:rPr>
            </w:pPr>
            <w:r>
              <w:rPr>
                <w:rFonts w:hint="eastAsia"/>
                <w:color w:val="auto"/>
                <w:sz w:val="24"/>
                <w:szCs w:val="24"/>
                <w:lang w:val="en-US" w:eastAsia="zh-CN"/>
              </w:rPr>
              <w:t>COD、BOD、SS、NH3-N、总氮、总磷</w:t>
            </w:r>
          </w:p>
        </w:tc>
        <w:tc>
          <w:tcPr>
            <w:tcW w:w="2384" w:type="dxa"/>
            <w:vAlign w:val="center"/>
          </w:tcPr>
          <w:p w14:paraId="45307320">
            <w:pPr>
              <w:adjustRightInd w:val="0"/>
              <w:snapToGrid w:val="0"/>
              <w:jc w:val="center"/>
              <w:rPr>
                <w:rFonts w:hint="eastAsia" w:eastAsia="宋体"/>
                <w:color w:val="auto"/>
                <w:sz w:val="24"/>
                <w:szCs w:val="24"/>
                <w:lang w:eastAsia="zh-CN"/>
              </w:rPr>
            </w:pPr>
            <w:r>
              <w:rPr>
                <w:rFonts w:hint="eastAsia"/>
                <w:bCs/>
                <w:color w:val="auto"/>
                <w:sz w:val="24"/>
                <w:szCs w:val="24"/>
                <w:lang w:val="en-US" w:eastAsia="zh-CN"/>
              </w:rPr>
              <w:t>经3#废水储罐收集后，定期拉运至蒙苏经济开发区零碳产业园工业污水处理厂处理，不</w:t>
            </w:r>
            <w:r>
              <w:rPr>
                <w:bCs/>
                <w:color w:val="auto"/>
                <w:sz w:val="24"/>
                <w:szCs w:val="24"/>
              </w:rPr>
              <w:t>外排</w:t>
            </w:r>
            <w:r>
              <w:rPr>
                <w:rFonts w:hint="eastAsia"/>
                <w:bCs/>
                <w:color w:val="auto"/>
                <w:sz w:val="24"/>
                <w:szCs w:val="24"/>
                <w:lang w:eastAsia="zh-CN"/>
              </w:rPr>
              <w:t>。</w:t>
            </w:r>
          </w:p>
        </w:tc>
        <w:tc>
          <w:tcPr>
            <w:tcW w:w="1902" w:type="dxa"/>
            <w:vAlign w:val="center"/>
          </w:tcPr>
          <w:p w14:paraId="6EBD718E">
            <w:pPr>
              <w:adjustRightInd w:val="0"/>
              <w:snapToGrid w:val="0"/>
              <w:jc w:val="center"/>
              <w:rPr>
                <w:color w:val="auto"/>
                <w:sz w:val="24"/>
                <w:szCs w:val="24"/>
              </w:rPr>
            </w:pPr>
            <w:r>
              <w:rPr>
                <w:color w:val="auto"/>
                <w:sz w:val="24"/>
                <w:szCs w:val="24"/>
              </w:rPr>
              <w:t>/</w:t>
            </w:r>
          </w:p>
        </w:tc>
      </w:tr>
      <w:tr w14:paraId="360A1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vAlign w:val="center"/>
          </w:tcPr>
          <w:p w14:paraId="2C1FB206">
            <w:pPr>
              <w:adjustRightInd w:val="0"/>
              <w:snapToGrid w:val="0"/>
              <w:jc w:val="center"/>
              <w:rPr>
                <w:b/>
                <w:bCs/>
                <w:color w:val="auto"/>
                <w:sz w:val="24"/>
                <w:szCs w:val="24"/>
              </w:rPr>
            </w:pPr>
            <w:r>
              <w:rPr>
                <w:b/>
                <w:bCs/>
                <w:color w:val="auto"/>
                <w:sz w:val="24"/>
                <w:szCs w:val="24"/>
              </w:rPr>
              <w:t>声环境</w:t>
            </w:r>
          </w:p>
        </w:tc>
        <w:tc>
          <w:tcPr>
            <w:tcW w:w="1701" w:type="dxa"/>
            <w:vAlign w:val="center"/>
          </w:tcPr>
          <w:p w14:paraId="56FD5F87">
            <w:pPr>
              <w:adjustRightInd w:val="0"/>
              <w:snapToGrid w:val="0"/>
              <w:jc w:val="center"/>
              <w:rPr>
                <w:color w:val="auto"/>
                <w:sz w:val="24"/>
                <w:szCs w:val="24"/>
              </w:rPr>
            </w:pPr>
            <w:r>
              <w:rPr>
                <w:rFonts w:hint="eastAsia"/>
                <w:color w:val="auto"/>
                <w:sz w:val="24"/>
                <w:szCs w:val="24"/>
                <w:lang w:val="en-US" w:eastAsia="zh-CN" w:bidi="ar"/>
              </w:rPr>
              <w:t>提升机</w:t>
            </w:r>
            <w:r>
              <w:rPr>
                <w:color w:val="auto"/>
                <w:sz w:val="24"/>
                <w:szCs w:val="24"/>
                <w:lang w:bidi="ar"/>
              </w:rPr>
              <w:t>、</w:t>
            </w:r>
            <w:r>
              <w:rPr>
                <w:rFonts w:hint="eastAsia"/>
                <w:color w:val="auto"/>
                <w:sz w:val="24"/>
                <w:szCs w:val="24"/>
                <w:lang w:val="en-US" w:eastAsia="zh-CN" w:bidi="ar"/>
              </w:rPr>
              <w:t>洗菜机</w:t>
            </w:r>
            <w:r>
              <w:rPr>
                <w:rFonts w:hint="eastAsia"/>
                <w:color w:val="auto"/>
                <w:sz w:val="24"/>
                <w:szCs w:val="24"/>
                <w:lang w:bidi="ar"/>
              </w:rPr>
              <w:t>等设备</w:t>
            </w:r>
          </w:p>
        </w:tc>
        <w:tc>
          <w:tcPr>
            <w:tcW w:w="1275" w:type="dxa"/>
            <w:vAlign w:val="center"/>
          </w:tcPr>
          <w:p w14:paraId="5146A598">
            <w:pPr>
              <w:adjustRightInd w:val="0"/>
              <w:snapToGrid w:val="0"/>
              <w:jc w:val="center"/>
              <w:rPr>
                <w:color w:val="auto"/>
                <w:sz w:val="24"/>
                <w:szCs w:val="24"/>
              </w:rPr>
            </w:pPr>
            <w:r>
              <w:rPr>
                <w:color w:val="auto"/>
                <w:sz w:val="24"/>
                <w:szCs w:val="24"/>
              </w:rPr>
              <w:t>等效连续A声级</w:t>
            </w:r>
          </w:p>
        </w:tc>
        <w:tc>
          <w:tcPr>
            <w:tcW w:w="2384" w:type="dxa"/>
            <w:vAlign w:val="center"/>
          </w:tcPr>
          <w:p w14:paraId="1E4B931C">
            <w:pPr>
              <w:adjustRightInd w:val="0"/>
              <w:snapToGrid w:val="0"/>
              <w:jc w:val="center"/>
              <w:rPr>
                <w:rFonts w:hint="eastAsia" w:eastAsia="宋体"/>
                <w:color w:val="auto"/>
                <w:sz w:val="24"/>
                <w:szCs w:val="24"/>
                <w:lang w:val="en-US" w:eastAsia="zh-CN"/>
              </w:rPr>
            </w:pPr>
            <w:r>
              <w:rPr>
                <w:rFonts w:hint="eastAsia"/>
                <w:color w:val="auto"/>
                <w:sz w:val="24"/>
                <w:szCs w:val="24"/>
                <w:lang w:val="en-US" w:eastAsia="zh-CN"/>
              </w:rPr>
              <w:t>合理布局，基础减震，选择低噪声设备，建筑隔声。</w:t>
            </w:r>
          </w:p>
        </w:tc>
        <w:tc>
          <w:tcPr>
            <w:tcW w:w="1902" w:type="dxa"/>
            <w:vAlign w:val="center"/>
          </w:tcPr>
          <w:p w14:paraId="5457594F">
            <w:pPr>
              <w:adjustRightInd w:val="0"/>
              <w:snapToGrid w:val="0"/>
              <w:jc w:val="center"/>
              <w:rPr>
                <w:color w:val="auto"/>
                <w:sz w:val="24"/>
                <w:szCs w:val="24"/>
              </w:rPr>
            </w:pPr>
            <w:r>
              <w:rPr>
                <w:color w:val="auto"/>
                <w:sz w:val="24"/>
                <w:szCs w:val="24"/>
              </w:rPr>
              <w:t>《工业企业厂界环境噪声排放标准》</w:t>
            </w:r>
            <w:r>
              <w:rPr>
                <w:rFonts w:hint="eastAsia"/>
                <w:color w:val="auto"/>
                <w:sz w:val="24"/>
                <w:szCs w:val="24"/>
              </w:rPr>
              <w:t>（</w:t>
            </w:r>
            <w:r>
              <w:rPr>
                <w:color w:val="auto"/>
                <w:sz w:val="24"/>
                <w:szCs w:val="24"/>
              </w:rPr>
              <w:t>GB12348-2008</w:t>
            </w:r>
            <w:r>
              <w:rPr>
                <w:rFonts w:hint="eastAsia"/>
                <w:color w:val="auto"/>
                <w:sz w:val="24"/>
                <w:szCs w:val="24"/>
              </w:rPr>
              <w:t>）1类标准</w:t>
            </w:r>
            <w:r>
              <w:rPr>
                <w:color w:val="auto"/>
                <w:sz w:val="24"/>
                <w:szCs w:val="24"/>
              </w:rPr>
              <w:t>要求</w:t>
            </w:r>
          </w:p>
        </w:tc>
      </w:tr>
      <w:tr w14:paraId="735ED9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538" w:type="dxa"/>
            <w:vAlign w:val="center"/>
          </w:tcPr>
          <w:p w14:paraId="3C4C30BB">
            <w:pPr>
              <w:adjustRightInd w:val="0"/>
              <w:snapToGrid w:val="0"/>
              <w:jc w:val="center"/>
              <w:rPr>
                <w:b/>
                <w:bCs/>
                <w:color w:val="auto"/>
                <w:sz w:val="24"/>
                <w:szCs w:val="24"/>
              </w:rPr>
            </w:pPr>
            <w:r>
              <w:rPr>
                <w:b/>
                <w:bCs/>
                <w:color w:val="auto"/>
                <w:sz w:val="24"/>
                <w:szCs w:val="24"/>
              </w:rPr>
              <w:t>固体废物</w:t>
            </w:r>
          </w:p>
        </w:tc>
        <w:tc>
          <w:tcPr>
            <w:tcW w:w="7262" w:type="dxa"/>
            <w:gridSpan w:val="4"/>
            <w:vAlign w:val="center"/>
          </w:tcPr>
          <w:p w14:paraId="51F65D1C">
            <w:pPr>
              <w:ind w:firstLine="480" w:firstLineChars="200"/>
              <w:jc w:val="left"/>
              <w:rPr>
                <w:color w:val="auto"/>
                <w:sz w:val="24"/>
                <w:szCs w:val="24"/>
              </w:rPr>
            </w:pPr>
            <w:r>
              <w:rPr>
                <w:color w:val="auto"/>
                <w:sz w:val="24"/>
                <w:szCs w:val="24"/>
              </w:rPr>
              <w:t>生活垃圾经厂内垃圾箱收集后交由当地环卫部门定期清运处理</w:t>
            </w:r>
            <w:r>
              <w:rPr>
                <w:rFonts w:hint="eastAsia"/>
                <w:color w:val="auto"/>
                <w:sz w:val="24"/>
                <w:szCs w:val="24"/>
              </w:rPr>
              <w:t>。</w:t>
            </w:r>
            <w:r>
              <w:rPr>
                <w:rFonts w:hint="eastAsia"/>
                <w:color w:val="auto"/>
                <w:sz w:val="24"/>
                <w:szCs w:val="24"/>
                <w:lang w:val="en-US" w:eastAsia="zh-CN"/>
              </w:rPr>
              <w:t>白菜入场人工拣选产生的废菜渣由垃圾桶收集，交由环卫部门处理。日产日清，防止腐烂产生异味。废包装材料分类收集后外售给废品回收单位。</w:t>
            </w:r>
          </w:p>
        </w:tc>
      </w:tr>
      <w:tr w14:paraId="64EE26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538" w:type="dxa"/>
            <w:vAlign w:val="center"/>
          </w:tcPr>
          <w:p w14:paraId="31913EA3">
            <w:pPr>
              <w:adjustRightInd w:val="0"/>
              <w:snapToGrid w:val="0"/>
              <w:jc w:val="center"/>
              <w:rPr>
                <w:b/>
                <w:bCs/>
                <w:color w:val="auto"/>
                <w:sz w:val="24"/>
                <w:szCs w:val="24"/>
              </w:rPr>
            </w:pPr>
            <w:r>
              <w:rPr>
                <w:b/>
                <w:bCs/>
                <w:color w:val="auto"/>
                <w:sz w:val="24"/>
                <w:szCs w:val="24"/>
              </w:rPr>
              <w:t>土壤及地下水污染防治措施</w:t>
            </w:r>
          </w:p>
        </w:tc>
        <w:tc>
          <w:tcPr>
            <w:tcW w:w="7262" w:type="dxa"/>
            <w:gridSpan w:val="4"/>
            <w:vAlign w:val="center"/>
          </w:tcPr>
          <w:p w14:paraId="2C1CB8E6">
            <w:pPr>
              <w:adjustRightInd w:val="0"/>
              <w:snapToGrid w:val="0"/>
              <w:ind w:firstLine="480" w:firstLineChars="200"/>
              <w:jc w:val="left"/>
              <w:rPr>
                <w:color w:val="auto"/>
                <w:sz w:val="24"/>
                <w:szCs w:val="24"/>
              </w:rPr>
            </w:pPr>
            <w:r>
              <w:rPr>
                <w:color w:val="auto"/>
                <w:sz w:val="24"/>
                <w:szCs w:val="24"/>
                <w:lang w:bidi="ar"/>
              </w:rPr>
              <w:t>参照</w:t>
            </w:r>
            <w:r>
              <w:rPr>
                <w:color w:val="auto"/>
                <w:sz w:val="24"/>
                <w:szCs w:val="24"/>
              </w:rPr>
              <w:t>《环境影响评价技术导则 地下水环境》</w:t>
            </w:r>
            <w:r>
              <w:rPr>
                <w:rFonts w:hint="eastAsia"/>
                <w:color w:val="auto"/>
                <w:sz w:val="24"/>
                <w:szCs w:val="24"/>
              </w:rPr>
              <w:t>（</w:t>
            </w:r>
            <w:r>
              <w:rPr>
                <w:color w:val="auto"/>
                <w:sz w:val="24"/>
                <w:szCs w:val="24"/>
              </w:rPr>
              <w:t>HJ610-2016</w:t>
            </w:r>
            <w:r>
              <w:rPr>
                <w:rFonts w:hint="eastAsia"/>
                <w:color w:val="auto"/>
                <w:sz w:val="24"/>
                <w:szCs w:val="24"/>
              </w:rPr>
              <w:t>）</w:t>
            </w:r>
            <w:r>
              <w:rPr>
                <w:color w:val="auto"/>
                <w:sz w:val="24"/>
                <w:szCs w:val="24"/>
                <w:lang w:bidi="ar"/>
              </w:rPr>
              <w:t>一般防渗区要求，对</w:t>
            </w:r>
            <w:r>
              <w:rPr>
                <w:rFonts w:hint="eastAsia"/>
                <w:color w:val="auto"/>
                <w:sz w:val="24"/>
                <w:szCs w:val="24"/>
                <w:lang w:val="en-US" w:eastAsia="zh-CN" w:bidi="ar"/>
              </w:rPr>
              <w:t>发酵池池底及四周采用铺设钢筋混凝土加防渗剂防渗措施，废水储罐区底部、化粪池池底及四周采用钢筋混凝土浇筑</w:t>
            </w:r>
            <w:r>
              <w:rPr>
                <w:color w:val="auto"/>
                <w:sz w:val="24"/>
                <w:szCs w:val="24"/>
                <w:lang w:bidi="ar"/>
              </w:rPr>
              <w:t>，</w:t>
            </w:r>
            <w:r>
              <w:rPr>
                <w:rFonts w:hint="eastAsia"/>
                <w:color w:val="auto"/>
                <w:sz w:val="24"/>
                <w:szCs w:val="24"/>
                <w:lang w:eastAsia="zh-CN" w:bidi="ar"/>
              </w:rPr>
              <w:t>等效黏</w:t>
            </w:r>
            <w:r>
              <w:rPr>
                <w:rFonts w:hint="eastAsia"/>
                <w:color w:val="auto"/>
                <w:sz w:val="24"/>
                <w:szCs w:val="24"/>
                <w:lang w:val="en-US" w:eastAsia="zh-CN" w:bidi="ar"/>
              </w:rPr>
              <w:t>土</w:t>
            </w:r>
            <w:r>
              <w:rPr>
                <w:rFonts w:hint="eastAsia"/>
                <w:color w:val="auto"/>
                <w:sz w:val="24"/>
                <w:szCs w:val="24"/>
                <w:lang w:bidi="ar"/>
              </w:rPr>
              <w:t>防渗层Mb</w:t>
            </w:r>
            <w:r>
              <w:rPr>
                <w:color w:val="auto"/>
                <w:sz w:val="24"/>
                <w:szCs w:val="24"/>
                <w:lang w:bidi="ar"/>
              </w:rPr>
              <w:t>≥</w:t>
            </w:r>
            <w:r>
              <w:rPr>
                <w:rFonts w:hint="eastAsia"/>
                <w:color w:val="auto"/>
                <w:sz w:val="24"/>
                <w:szCs w:val="24"/>
                <w:lang w:bidi="ar"/>
              </w:rPr>
              <w:t>1.5</w:t>
            </w:r>
            <w:r>
              <w:rPr>
                <w:rFonts w:hint="eastAsia"/>
                <w:color w:val="auto"/>
                <w:sz w:val="24"/>
                <w:szCs w:val="24"/>
                <w:vertAlign w:val="baseline"/>
                <w:lang w:eastAsia="zh-CN" w:bidi="ar"/>
              </w:rPr>
              <w:t>m</w:t>
            </w:r>
            <w:r>
              <w:rPr>
                <w:rFonts w:hint="eastAsia"/>
                <w:color w:val="auto"/>
                <w:sz w:val="24"/>
                <w:szCs w:val="24"/>
                <w:lang w:bidi="ar"/>
              </w:rPr>
              <w:t>，</w:t>
            </w:r>
            <w:r>
              <w:rPr>
                <w:color w:val="auto"/>
                <w:sz w:val="24"/>
                <w:szCs w:val="24"/>
                <w:lang w:bidi="ar"/>
              </w:rPr>
              <w:t>渗透系数小于1×10</w:t>
            </w:r>
            <w:r>
              <w:rPr>
                <w:color w:val="auto"/>
                <w:sz w:val="24"/>
                <w:szCs w:val="24"/>
                <w:vertAlign w:val="superscript"/>
                <w:lang w:bidi="ar"/>
              </w:rPr>
              <w:t>-7</w:t>
            </w:r>
            <w:r>
              <w:rPr>
                <w:color w:val="auto"/>
                <w:sz w:val="24"/>
                <w:szCs w:val="24"/>
                <w:lang w:bidi="ar"/>
              </w:rPr>
              <w:t>c</w:t>
            </w:r>
            <w:r>
              <w:rPr>
                <w:rFonts w:hint="eastAsia"/>
                <w:color w:val="auto"/>
                <w:sz w:val="24"/>
                <w:szCs w:val="24"/>
                <w:vertAlign w:val="baseline"/>
                <w:lang w:eastAsia="zh-CN" w:bidi="ar"/>
              </w:rPr>
              <w:t>m</w:t>
            </w:r>
            <w:r>
              <w:rPr>
                <w:color w:val="auto"/>
                <w:sz w:val="24"/>
                <w:szCs w:val="24"/>
                <w:lang w:bidi="ar"/>
              </w:rPr>
              <w:t>/s。</w:t>
            </w:r>
            <w:r>
              <w:rPr>
                <w:rFonts w:hint="eastAsia"/>
                <w:color w:val="auto"/>
                <w:sz w:val="24"/>
                <w:szCs w:val="24"/>
                <w:lang w:val="en-US" w:eastAsia="zh-CN" w:bidi="ar"/>
              </w:rPr>
              <w:t>车间地面、</w:t>
            </w:r>
            <w:r>
              <w:rPr>
                <w:rFonts w:hint="eastAsia"/>
                <w:color w:val="auto"/>
                <w:sz w:val="24"/>
                <w:szCs w:val="24"/>
                <w:lang w:eastAsia="zh-CN" w:bidi="ar"/>
              </w:rPr>
              <w:t>室外地面等，</w:t>
            </w:r>
            <w:r>
              <w:rPr>
                <w:rFonts w:hint="eastAsia"/>
                <w:color w:val="auto"/>
                <w:sz w:val="24"/>
                <w:szCs w:val="24"/>
                <w:lang w:val="en-US" w:eastAsia="zh-CN" w:bidi="ar"/>
              </w:rPr>
              <w:t>采用混凝土进行</w:t>
            </w:r>
            <w:r>
              <w:rPr>
                <w:rFonts w:hint="eastAsia"/>
                <w:color w:val="auto"/>
                <w:sz w:val="24"/>
                <w:szCs w:val="24"/>
                <w:lang w:eastAsia="zh-CN" w:bidi="ar"/>
              </w:rPr>
              <w:t>一般地面硬化。</w:t>
            </w:r>
          </w:p>
        </w:tc>
      </w:tr>
      <w:tr w14:paraId="3C160A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vAlign w:val="center"/>
          </w:tcPr>
          <w:p w14:paraId="1F499E48">
            <w:pPr>
              <w:adjustRightInd w:val="0"/>
              <w:snapToGrid w:val="0"/>
              <w:jc w:val="center"/>
              <w:rPr>
                <w:b/>
                <w:bCs/>
                <w:color w:val="auto"/>
                <w:sz w:val="24"/>
                <w:szCs w:val="24"/>
              </w:rPr>
            </w:pPr>
            <w:r>
              <w:rPr>
                <w:b/>
                <w:bCs/>
                <w:color w:val="auto"/>
                <w:sz w:val="24"/>
                <w:szCs w:val="24"/>
              </w:rPr>
              <w:t>生态保护措施</w:t>
            </w:r>
          </w:p>
        </w:tc>
        <w:tc>
          <w:tcPr>
            <w:tcW w:w="7262" w:type="dxa"/>
            <w:gridSpan w:val="4"/>
            <w:vAlign w:val="center"/>
          </w:tcPr>
          <w:p w14:paraId="6649E654">
            <w:pPr>
              <w:adjustRightInd w:val="0"/>
              <w:snapToGrid w:val="0"/>
              <w:ind w:firstLine="480" w:firstLineChars="200"/>
              <w:jc w:val="left"/>
              <w:rPr>
                <w:bCs/>
                <w:color w:val="auto"/>
                <w:sz w:val="24"/>
                <w:szCs w:val="24"/>
              </w:rPr>
            </w:pPr>
            <w:r>
              <w:rPr>
                <w:rFonts w:hint="eastAsia"/>
                <w:bCs/>
                <w:color w:val="auto"/>
                <w:sz w:val="24"/>
                <w:szCs w:val="24"/>
                <w:lang w:val="en-US" w:eastAsia="zh-CN"/>
              </w:rPr>
              <w:t>无</w:t>
            </w:r>
            <w:r>
              <w:rPr>
                <w:rFonts w:hint="eastAsia"/>
                <w:bCs/>
                <w:color w:val="auto"/>
                <w:sz w:val="24"/>
                <w:szCs w:val="24"/>
              </w:rPr>
              <w:t>。</w:t>
            </w:r>
          </w:p>
        </w:tc>
      </w:tr>
      <w:tr w14:paraId="5B6C1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38" w:type="dxa"/>
            <w:vAlign w:val="center"/>
          </w:tcPr>
          <w:p w14:paraId="3CB68510">
            <w:pPr>
              <w:adjustRightInd w:val="0"/>
              <w:snapToGrid w:val="0"/>
              <w:jc w:val="center"/>
              <w:rPr>
                <w:b/>
                <w:bCs/>
                <w:color w:val="auto"/>
                <w:spacing w:val="-8"/>
                <w:sz w:val="24"/>
                <w:szCs w:val="24"/>
              </w:rPr>
            </w:pPr>
            <w:r>
              <w:rPr>
                <w:b/>
                <w:bCs/>
                <w:color w:val="auto"/>
                <w:sz w:val="24"/>
                <w:szCs w:val="24"/>
              </w:rPr>
              <w:t>环境风险防范措施</w:t>
            </w:r>
          </w:p>
        </w:tc>
        <w:tc>
          <w:tcPr>
            <w:tcW w:w="7262" w:type="dxa"/>
            <w:gridSpan w:val="4"/>
            <w:vAlign w:val="center"/>
          </w:tcPr>
          <w:p w14:paraId="411B9D3D">
            <w:pPr>
              <w:adjustRightInd w:val="0"/>
              <w:snapToGrid w:val="0"/>
              <w:ind w:firstLine="480" w:firstLineChars="200"/>
              <w:jc w:val="left"/>
              <w:rPr>
                <w:color w:val="auto"/>
                <w:sz w:val="24"/>
                <w:szCs w:val="24"/>
                <w:lang w:bidi="zh-CN"/>
              </w:rPr>
            </w:pPr>
            <w:r>
              <w:rPr>
                <w:rFonts w:hint="eastAsia"/>
                <w:color w:val="auto"/>
                <w:sz w:val="24"/>
                <w:szCs w:val="24"/>
                <w:lang w:val="en-US" w:eastAsia="zh-CN" w:bidi="ar"/>
              </w:rPr>
              <w:t>无</w:t>
            </w:r>
            <w:r>
              <w:rPr>
                <w:color w:val="auto"/>
                <w:sz w:val="24"/>
                <w:szCs w:val="24"/>
                <w:lang w:bidi="ar"/>
              </w:rPr>
              <w:t>。</w:t>
            </w:r>
          </w:p>
        </w:tc>
      </w:tr>
      <w:tr w14:paraId="391A8D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538" w:type="dxa"/>
            <w:vAlign w:val="center"/>
          </w:tcPr>
          <w:p w14:paraId="5C7328ED">
            <w:pPr>
              <w:adjustRightInd w:val="0"/>
              <w:snapToGrid w:val="0"/>
              <w:jc w:val="center"/>
              <w:rPr>
                <w:b/>
                <w:bCs/>
                <w:color w:val="auto"/>
                <w:sz w:val="24"/>
                <w:szCs w:val="24"/>
              </w:rPr>
            </w:pPr>
            <w:r>
              <w:rPr>
                <w:b/>
                <w:bCs/>
                <w:color w:val="auto"/>
                <w:sz w:val="24"/>
                <w:szCs w:val="24"/>
              </w:rPr>
              <w:t>其他环境管理要求</w:t>
            </w:r>
          </w:p>
        </w:tc>
        <w:tc>
          <w:tcPr>
            <w:tcW w:w="7262" w:type="dxa"/>
            <w:gridSpan w:val="4"/>
            <w:vAlign w:val="center"/>
          </w:tcPr>
          <w:p w14:paraId="48F5EE07">
            <w:pPr>
              <w:adjustRightInd w:val="0"/>
              <w:snapToGrid w:val="0"/>
              <w:ind w:firstLine="480" w:firstLineChars="200"/>
              <w:jc w:val="left"/>
              <w:rPr>
                <w:color w:val="auto"/>
                <w:sz w:val="24"/>
                <w:szCs w:val="24"/>
                <w:lang w:bidi="ar"/>
              </w:rPr>
            </w:pPr>
            <w:r>
              <w:rPr>
                <w:color w:val="auto"/>
                <w:sz w:val="24"/>
                <w:szCs w:val="24"/>
                <w:lang w:bidi="ar"/>
              </w:rPr>
              <w:t>1.环境保护管理</w:t>
            </w:r>
          </w:p>
          <w:p w14:paraId="1DB96BE5">
            <w:pPr>
              <w:adjustRightInd w:val="0"/>
              <w:snapToGrid w:val="0"/>
              <w:ind w:firstLine="480" w:firstLineChars="200"/>
              <w:jc w:val="left"/>
              <w:rPr>
                <w:color w:val="auto"/>
                <w:sz w:val="24"/>
                <w:szCs w:val="24"/>
                <w:lang w:bidi="ar"/>
              </w:rPr>
            </w:pPr>
            <w:r>
              <w:rPr>
                <w:color w:val="auto"/>
                <w:sz w:val="24"/>
                <w:szCs w:val="24"/>
                <w:lang w:bidi="ar"/>
              </w:rPr>
              <w:t>加强管理，保证污染防治设施的正常运行，最大限度地减少污染排放给环境造成的影响。环保设施的日常管理和维护保养保证其长期稳定运行。通过宣传、学习，增强职工的环保意识，将生产管理和环保管理有机结合起来。</w:t>
            </w:r>
          </w:p>
          <w:p w14:paraId="2273737D">
            <w:pPr>
              <w:adjustRightInd w:val="0"/>
              <w:snapToGrid w:val="0"/>
              <w:ind w:firstLine="480" w:firstLineChars="200"/>
              <w:jc w:val="left"/>
              <w:rPr>
                <w:color w:val="auto"/>
                <w:sz w:val="24"/>
                <w:szCs w:val="24"/>
                <w:lang w:bidi="ar"/>
              </w:rPr>
            </w:pPr>
            <w:r>
              <w:rPr>
                <w:rFonts w:hint="eastAsia"/>
                <w:color w:val="auto"/>
                <w:sz w:val="24"/>
                <w:szCs w:val="24"/>
                <w:lang w:val="en-US" w:eastAsia="zh-CN" w:bidi="ar"/>
              </w:rPr>
              <w:t>2</w:t>
            </w:r>
            <w:r>
              <w:rPr>
                <w:color w:val="auto"/>
                <w:sz w:val="24"/>
                <w:szCs w:val="24"/>
                <w:lang w:bidi="ar"/>
              </w:rPr>
              <w:t>.竣工环保验收要求</w:t>
            </w:r>
          </w:p>
          <w:p w14:paraId="42224E17">
            <w:pPr>
              <w:adjustRightInd w:val="0"/>
              <w:snapToGrid w:val="0"/>
              <w:ind w:firstLine="480" w:firstLineChars="200"/>
              <w:jc w:val="left"/>
              <w:rPr>
                <w:color w:val="auto"/>
                <w:sz w:val="24"/>
                <w:szCs w:val="24"/>
                <w:lang w:bidi="ar"/>
              </w:rPr>
            </w:pPr>
            <w:r>
              <w:rPr>
                <w:color w:val="auto"/>
                <w:sz w:val="24"/>
                <w:szCs w:val="24"/>
                <w:lang w:bidi="ar"/>
              </w:rPr>
              <w:t>根据《建设项目竣工环境保护验收暂行办法》的规定，建设项目竣工后，建设单位应当如实查验、监测、记载建设项目环境保护设施的建设和调试情况，并编制验收监测报告。</w:t>
            </w:r>
          </w:p>
        </w:tc>
      </w:tr>
    </w:tbl>
    <w:p w14:paraId="4AAE0DCA">
      <w:pPr>
        <w:pStyle w:val="14"/>
        <w:jc w:val="center"/>
        <w:outlineLvl w:val="0"/>
        <w:rPr>
          <w:rFonts w:ascii="Times New Roman" w:hAnsi="Times New Roman" w:eastAsia="黑体"/>
          <w:snapToGrid w:val="0"/>
          <w:color w:val="auto"/>
          <w:sz w:val="30"/>
          <w:szCs w:val="30"/>
        </w:rPr>
      </w:pPr>
      <w:r>
        <w:rPr>
          <w:rFonts w:ascii="Times New Roman" w:hAnsi="Times New Roman"/>
          <w:snapToGrid w:val="0"/>
          <w:color w:val="auto"/>
        </w:rPr>
        <w:br w:type="page"/>
      </w:r>
      <w:r>
        <w:rPr>
          <w:rFonts w:ascii="Times New Roman" w:hAnsi="Times New Roman" w:eastAsia="黑体"/>
          <w:snapToGrid w:val="0"/>
          <w:color w:val="auto"/>
          <w:sz w:val="30"/>
          <w:szCs w:val="30"/>
        </w:rPr>
        <w:t>六、结论</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6A6D4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1253D288">
            <w:pPr>
              <w:spacing w:line="360" w:lineRule="auto"/>
              <w:ind w:firstLine="420" w:firstLineChars="200"/>
              <w:rPr>
                <w:bCs/>
                <w:color w:val="auto"/>
                <w:szCs w:val="21"/>
              </w:rPr>
            </w:pPr>
          </w:p>
          <w:p w14:paraId="34C05E35">
            <w:pPr>
              <w:spacing w:line="360" w:lineRule="auto"/>
              <w:ind w:firstLine="420" w:firstLineChars="200"/>
              <w:rPr>
                <w:bCs/>
                <w:color w:val="auto"/>
                <w:szCs w:val="21"/>
              </w:rPr>
            </w:pPr>
            <w:r>
              <w:rPr>
                <w:bCs/>
                <w:color w:val="auto"/>
                <w:szCs w:val="21"/>
              </w:rPr>
              <w:t>本项目符合产业政策、选址合理，项目的建设对周围环境</w:t>
            </w:r>
            <w:r>
              <w:rPr>
                <w:rFonts w:hint="eastAsia"/>
                <w:bCs/>
                <w:color w:val="auto"/>
                <w:szCs w:val="21"/>
              </w:rPr>
              <w:t>会</w:t>
            </w:r>
            <w:r>
              <w:rPr>
                <w:bCs/>
                <w:color w:val="auto"/>
                <w:szCs w:val="21"/>
              </w:rPr>
              <w:t>产生</w:t>
            </w:r>
            <w:r>
              <w:rPr>
                <w:rFonts w:hint="eastAsia"/>
                <w:bCs/>
                <w:color w:val="auto"/>
                <w:szCs w:val="21"/>
              </w:rPr>
              <w:t>一定</w:t>
            </w:r>
            <w:r>
              <w:rPr>
                <w:bCs/>
                <w:color w:val="auto"/>
                <w:szCs w:val="21"/>
              </w:rPr>
              <w:t>影响</w:t>
            </w:r>
            <w:r>
              <w:rPr>
                <w:rFonts w:hint="eastAsia"/>
                <w:bCs/>
                <w:color w:val="auto"/>
                <w:szCs w:val="21"/>
              </w:rPr>
              <w:t>。</w:t>
            </w:r>
            <w:r>
              <w:rPr>
                <w:bCs/>
                <w:color w:val="auto"/>
                <w:szCs w:val="21"/>
              </w:rPr>
              <w:t>在认真落实本报告中提出的各项污染防治措施及建议的前提下，加强环境管理，</w:t>
            </w:r>
            <w:r>
              <w:rPr>
                <w:rFonts w:hint="eastAsia"/>
                <w:bCs/>
                <w:color w:val="auto"/>
                <w:szCs w:val="21"/>
                <w:lang w:eastAsia="zh-CN"/>
              </w:rPr>
              <w:t>确保项目产生的</w:t>
            </w:r>
            <w:r>
              <w:rPr>
                <w:bCs/>
                <w:color w:val="auto"/>
                <w:szCs w:val="21"/>
              </w:rPr>
              <w:t>废气、废水、噪声、固体废弃物等对周围环境的影响控制在可接受范围内</w:t>
            </w:r>
            <w:r>
              <w:rPr>
                <w:rFonts w:hint="eastAsia"/>
                <w:bCs/>
                <w:color w:val="auto"/>
                <w:szCs w:val="21"/>
              </w:rPr>
              <w:t>。</w:t>
            </w:r>
            <w:r>
              <w:rPr>
                <w:bCs/>
                <w:color w:val="auto"/>
                <w:szCs w:val="21"/>
              </w:rPr>
              <w:t>项目建设对周边生态影响较小</w:t>
            </w:r>
            <w:r>
              <w:rPr>
                <w:rFonts w:hint="eastAsia"/>
                <w:bCs/>
                <w:color w:val="auto"/>
                <w:szCs w:val="21"/>
              </w:rPr>
              <w:t>。</w:t>
            </w:r>
            <w:r>
              <w:rPr>
                <w:bCs/>
                <w:color w:val="auto"/>
                <w:szCs w:val="21"/>
              </w:rPr>
              <w:t xml:space="preserve">从环境保护角度分析，该项目建设可行。 </w:t>
            </w:r>
          </w:p>
          <w:p w14:paraId="52EAF6F0">
            <w:pPr>
              <w:spacing w:line="360" w:lineRule="auto"/>
              <w:ind w:firstLine="420" w:firstLineChars="200"/>
              <w:rPr>
                <w:bCs/>
                <w:color w:val="auto"/>
                <w:szCs w:val="21"/>
              </w:rPr>
            </w:pPr>
          </w:p>
          <w:p w14:paraId="1B102D4E">
            <w:pPr>
              <w:spacing w:line="360" w:lineRule="auto"/>
              <w:ind w:firstLine="420" w:firstLineChars="200"/>
              <w:rPr>
                <w:color w:val="auto"/>
                <w:szCs w:val="21"/>
              </w:rPr>
            </w:pPr>
          </w:p>
        </w:tc>
      </w:tr>
    </w:tbl>
    <w:p w14:paraId="16F5CDA3">
      <w:pPr>
        <w:rPr>
          <w:color w:val="auto"/>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D256A13">
      <w:pPr>
        <w:pStyle w:val="14"/>
        <w:adjustRightInd w:val="0"/>
        <w:snapToGrid w:val="0"/>
        <w:spacing w:before="0" w:beforeAutospacing="0" w:after="0" w:afterAutospacing="0"/>
        <w:outlineLvl w:val="0"/>
        <w:rPr>
          <w:rFonts w:ascii="Times New Roman" w:hAnsi="Times New Roman" w:eastAsia="黑体"/>
          <w:snapToGrid w:val="0"/>
          <w:color w:val="auto"/>
          <w:sz w:val="32"/>
          <w:szCs w:val="32"/>
        </w:rPr>
      </w:pPr>
      <w:r>
        <w:rPr>
          <w:rFonts w:ascii="Times New Roman" w:hAnsi="Times New Roman" w:eastAsia="黑体"/>
          <w:snapToGrid w:val="0"/>
          <w:color w:val="auto"/>
          <w:sz w:val="32"/>
          <w:szCs w:val="32"/>
        </w:rPr>
        <w:t>附表</w:t>
      </w:r>
    </w:p>
    <w:p w14:paraId="2F632AED">
      <w:pPr>
        <w:pStyle w:val="14"/>
        <w:adjustRightInd w:val="0"/>
        <w:snapToGrid w:val="0"/>
        <w:spacing w:before="0" w:beforeAutospacing="0" w:after="0" w:afterAutospacing="0"/>
        <w:jc w:val="center"/>
        <w:rPr>
          <w:rFonts w:ascii="Times New Roman" w:hAnsi="Times New Roman" w:eastAsia="方正小标宋_GBK"/>
          <w:snapToGrid w:val="0"/>
          <w:color w:val="auto"/>
          <w:sz w:val="38"/>
          <w:szCs w:val="38"/>
        </w:rPr>
      </w:pPr>
      <w:r>
        <w:rPr>
          <w:rFonts w:ascii="Times New Roman" w:hAnsi="Times New Roman" w:eastAsia="方正小标宋_GBK"/>
          <w:snapToGrid w:val="0"/>
          <w:color w:val="auto"/>
          <w:sz w:val="38"/>
          <w:szCs w:val="38"/>
        </w:rPr>
        <w:t>建设项目污染物排放量汇总表</w:t>
      </w:r>
    </w:p>
    <w:tbl>
      <w:tblPr>
        <w:tblStyle w:val="17"/>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591"/>
        <w:gridCol w:w="487"/>
        <w:gridCol w:w="1189"/>
        <w:gridCol w:w="888"/>
        <w:gridCol w:w="1189"/>
        <w:gridCol w:w="1087"/>
        <w:gridCol w:w="1231"/>
        <w:gridCol w:w="1147"/>
        <w:gridCol w:w="1018"/>
      </w:tblGrid>
      <w:tr w14:paraId="35149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17" w:type="pct"/>
            <w:tcBorders>
              <w:tl2br w:val="single" w:color="auto" w:sz="4" w:space="0"/>
            </w:tcBorders>
            <w:tcMar>
              <w:left w:w="28" w:type="dxa"/>
              <w:right w:w="28" w:type="dxa"/>
            </w:tcMar>
            <w:vAlign w:val="center"/>
          </w:tcPr>
          <w:p w14:paraId="0A729FA4">
            <w:pPr>
              <w:pStyle w:val="24"/>
              <w:spacing w:beforeLines="0" w:afterLines="0" w:line="240" w:lineRule="auto"/>
              <w:jc w:val="right"/>
              <w:rPr>
                <w:rFonts w:ascii="Times New Roman" w:eastAsia="黑体"/>
                <w:snapToGrid w:val="0"/>
                <w:color w:val="auto"/>
                <w:spacing w:val="-6"/>
                <w:kern w:val="21"/>
                <w:szCs w:val="21"/>
              </w:rPr>
            </w:pPr>
            <w:r>
              <w:rPr>
                <w:rFonts w:ascii="Times New Roman" w:eastAsia="黑体"/>
                <w:snapToGrid w:val="0"/>
                <w:color w:val="auto"/>
                <w:spacing w:val="-6"/>
                <w:kern w:val="21"/>
                <w:szCs w:val="21"/>
              </w:rPr>
              <w:t>项目</w:t>
            </w:r>
          </w:p>
          <w:p w14:paraId="6A630C60">
            <w:pPr>
              <w:pStyle w:val="24"/>
              <w:spacing w:beforeLines="0" w:afterLines="0" w:line="240" w:lineRule="auto"/>
              <w:jc w:val="left"/>
              <w:rPr>
                <w:rFonts w:ascii="Times New Roman" w:eastAsia="黑体"/>
                <w:snapToGrid w:val="0"/>
                <w:color w:val="auto"/>
                <w:spacing w:val="-6"/>
                <w:kern w:val="21"/>
                <w:szCs w:val="21"/>
              </w:rPr>
            </w:pPr>
            <w:r>
              <w:rPr>
                <w:rFonts w:ascii="Times New Roman" w:eastAsia="黑体"/>
                <w:snapToGrid w:val="0"/>
                <w:color w:val="auto"/>
                <w:spacing w:val="-6"/>
                <w:kern w:val="21"/>
                <w:szCs w:val="21"/>
              </w:rPr>
              <w:t>分类</w:t>
            </w:r>
          </w:p>
        </w:tc>
        <w:tc>
          <w:tcPr>
            <w:tcW w:w="561" w:type="pct"/>
            <w:gridSpan w:val="2"/>
            <w:tcMar>
              <w:left w:w="28" w:type="dxa"/>
              <w:right w:w="28" w:type="dxa"/>
            </w:tcMar>
            <w:vAlign w:val="center"/>
          </w:tcPr>
          <w:p w14:paraId="74DEA8BF">
            <w:pPr>
              <w:pStyle w:val="24"/>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污染物名称</w:t>
            </w:r>
          </w:p>
        </w:tc>
        <w:tc>
          <w:tcPr>
            <w:tcW w:w="611" w:type="pct"/>
            <w:tcMar>
              <w:left w:w="28" w:type="dxa"/>
              <w:right w:w="28" w:type="dxa"/>
            </w:tcMar>
            <w:vAlign w:val="center"/>
          </w:tcPr>
          <w:p w14:paraId="21BF1429">
            <w:pPr>
              <w:pStyle w:val="24"/>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现有工程排放量</w:t>
            </w:r>
            <w:r>
              <w:rPr>
                <w:rFonts w:hint="eastAsia" w:ascii="Times New Roman" w:eastAsia="黑体"/>
                <w:snapToGrid w:val="0"/>
                <w:color w:val="auto"/>
                <w:spacing w:val="-6"/>
                <w:kern w:val="21"/>
                <w:szCs w:val="21"/>
              </w:rPr>
              <w:t>（</w:t>
            </w:r>
            <w:r>
              <w:rPr>
                <w:rFonts w:ascii="Times New Roman" w:eastAsia="黑体"/>
                <w:snapToGrid w:val="0"/>
                <w:color w:val="auto"/>
                <w:spacing w:val="-6"/>
                <w:kern w:val="21"/>
                <w:szCs w:val="21"/>
              </w:rPr>
              <w:t>固体废物产生量</w:t>
            </w:r>
            <w:r>
              <w:rPr>
                <w:rFonts w:hint="eastAsia" w:ascii="Times New Roman" w:eastAsia="黑体"/>
                <w:snapToGrid w:val="0"/>
                <w:color w:val="auto"/>
                <w:spacing w:val="-6"/>
                <w:kern w:val="21"/>
                <w:szCs w:val="21"/>
              </w:rPr>
              <w:t>）</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1 \* GB3 \* MERGEFORMAT </w:instrText>
            </w:r>
            <w:r>
              <w:rPr>
                <w:rFonts w:ascii="Times New Roman" w:eastAsia="黑体"/>
                <w:snapToGrid w:val="0"/>
                <w:color w:val="auto"/>
                <w:spacing w:val="-6"/>
                <w:kern w:val="21"/>
                <w:szCs w:val="21"/>
              </w:rPr>
              <w:fldChar w:fldCharType="separate"/>
            </w:r>
            <w:r>
              <w:rPr>
                <w:rFonts w:ascii="Cambria Math" w:hAnsi="Cambria Math" w:cs="Cambria Math"/>
                <w:color w:val="auto"/>
                <w:kern w:val="2"/>
                <w:szCs w:val="21"/>
              </w:rPr>
              <w:t>①</w:t>
            </w:r>
            <w:r>
              <w:rPr>
                <w:rFonts w:ascii="Times New Roman" w:eastAsia="黑体"/>
                <w:snapToGrid w:val="0"/>
                <w:color w:val="auto"/>
                <w:spacing w:val="-6"/>
                <w:kern w:val="21"/>
                <w:szCs w:val="21"/>
              </w:rPr>
              <w:fldChar w:fldCharType="end"/>
            </w:r>
          </w:p>
        </w:tc>
        <w:tc>
          <w:tcPr>
            <w:tcW w:w="458" w:type="pct"/>
            <w:tcMar>
              <w:left w:w="28" w:type="dxa"/>
              <w:right w:w="28" w:type="dxa"/>
            </w:tcMar>
            <w:vAlign w:val="center"/>
          </w:tcPr>
          <w:p w14:paraId="5073A866">
            <w:pPr>
              <w:pStyle w:val="24"/>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现有工程许可排放量</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2 \* GB3 \* MERGEFORMAT </w:instrText>
            </w:r>
            <w:r>
              <w:rPr>
                <w:rFonts w:ascii="Times New Roman" w:eastAsia="黑体"/>
                <w:snapToGrid w:val="0"/>
                <w:color w:val="auto"/>
                <w:spacing w:val="-6"/>
                <w:kern w:val="21"/>
                <w:szCs w:val="21"/>
              </w:rPr>
              <w:fldChar w:fldCharType="separate"/>
            </w:r>
            <w:r>
              <w:rPr>
                <w:rFonts w:ascii="Cambria Math" w:hAnsi="Cambria Math" w:cs="Cambria Math"/>
                <w:snapToGrid w:val="0"/>
                <w:color w:val="auto"/>
                <w:spacing w:val="-6"/>
                <w:kern w:val="21"/>
                <w:szCs w:val="21"/>
              </w:rPr>
              <w:t>②</w:t>
            </w:r>
            <w:r>
              <w:rPr>
                <w:rFonts w:ascii="Times New Roman" w:eastAsia="黑体"/>
                <w:snapToGrid w:val="0"/>
                <w:color w:val="auto"/>
                <w:spacing w:val="-6"/>
                <w:kern w:val="21"/>
                <w:szCs w:val="21"/>
              </w:rPr>
              <w:fldChar w:fldCharType="end"/>
            </w:r>
          </w:p>
        </w:tc>
        <w:tc>
          <w:tcPr>
            <w:tcW w:w="611" w:type="pct"/>
            <w:tcMar>
              <w:left w:w="28" w:type="dxa"/>
              <w:right w:w="28" w:type="dxa"/>
            </w:tcMar>
            <w:vAlign w:val="center"/>
          </w:tcPr>
          <w:p w14:paraId="0AEDBAF7">
            <w:pPr>
              <w:pStyle w:val="24"/>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在建工程排放量</w:t>
            </w:r>
            <w:r>
              <w:rPr>
                <w:rFonts w:hint="eastAsia" w:ascii="Times New Roman" w:eastAsia="黑体"/>
                <w:snapToGrid w:val="0"/>
                <w:color w:val="auto"/>
                <w:spacing w:val="-6"/>
                <w:kern w:val="21"/>
                <w:szCs w:val="21"/>
              </w:rPr>
              <w:t>（</w:t>
            </w:r>
            <w:r>
              <w:rPr>
                <w:rFonts w:ascii="Times New Roman" w:eastAsia="黑体"/>
                <w:snapToGrid w:val="0"/>
                <w:color w:val="auto"/>
                <w:spacing w:val="-6"/>
                <w:kern w:val="21"/>
                <w:szCs w:val="21"/>
              </w:rPr>
              <w:t>固体废物产生量</w:t>
            </w:r>
            <w:r>
              <w:rPr>
                <w:rFonts w:hint="eastAsia" w:ascii="Times New Roman" w:eastAsia="黑体"/>
                <w:snapToGrid w:val="0"/>
                <w:color w:val="auto"/>
                <w:spacing w:val="-6"/>
                <w:kern w:val="21"/>
                <w:szCs w:val="21"/>
              </w:rPr>
              <w:t>）</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3 \* GB3 \* MERGEFORMAT </w:instrText>
            </w:r>
            <w:r>
              <w:rPr>
                <w:rFonts w:ascii="Times New Roman" w:eastAsia="黑体"/>
                <w:snapToGrid w:val="0"/>
                <w:color w:val="auto"/>
                <w:spacing w:val="-6"/>
                <w:kern w:val="21"/>
                <w:szCs w:val="21"/>
              </w:rPr>
              <w:fldChar w:fldCharType="separate"/>
            </w:r>
            <w:r>
              <w:rPr>
                <w:rFonts w:ascii="Cambria Math" w:hAnsi="Cambria Math" w:cs="Cambria Math"/>
                <w:color w:val="auto"/>
                <w:kern w:val="2"/>
                <w:szCs w:val="21"/>
              </w:rPr>
              <w:t>③</w:t>
            </w:r>
            <w:r>
              <w:rPr>
                <w:rFonts w:ascii="Times New Roman" w:eastAsia="黑体"/>
                <w:snapToGrid w:val="0"/>
                <w:color w:val="auto"/>
                <w:spacing w:val="-6"/>
                <w:kern w:val="21"/>
                <w:szCs w:val="21"/>
              </w:rPr>
              <w:fldChar w:fldCharType="end"/>
            </w:r>
          </w:p>
        </w:tc>
        <w:tc>
          <w:tcPr>
            <w:tcW w:w="559" w:type="pct"/>
            <w:tcMar>
              <w:left w:w="28" w:type="dxa"/>
              <w:right w:w="28" w:type="dxa"/>
            </w:tcMar>
            <w:vAlign w:val="center"/>
          </w:tcPr>
          <w:p w14:paraId="3B55896D">
            <w:pPr>
              <w:pStyle w:val="24"/>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本项目排放量</w:t>
            </w:r>
            <w:r>
              <w:rPr>
                <w:rFonts w:hint="eastAsia" w:ascii="Times New Roman" w:eastAsia="黑体"/>
                <w:snapToGrid w:val="0"/>
                <w:color w:val="auto"/>
                <w:spacing w:val="-6"/>
                <w:kern w:val="21"/>
                <w:szCs w:val="21"/>
              </w:rPr>
              <w:t>（</w:t>
            </w:r>
            <w:r>
              <w:rPr>
                <w:rFonts w:ascii="Times New Roman" w:eastAsia="黑体"/>
                <w:snapToGrid w:val="0"/>
                <w:color w:val="auto"/>
                <w:spacing w:val="-6"/>
                <w:kern w:val="21"/>
                <w:szCs w:val="21"/>
              </w:rPr>
              <w:t>固体废物产生量</w:t>
            </w:r>
            <w:r>
              <w:rPr>
                <w:rFonts w:hint="eastAsia" w:ascii="Times New Roman" w:eastAsia="黑体"/>
                <w:snapToGrid w:val="0"/>
                <w:color w:val="auto"/>
                <w:spacing w:val="-6"/>
                <w:kern w:val="21"/>
                <w:szCs w:val="21"/>
              </w:rPr>
              <w:t>）</w:t>
            </w:r>
            <w:r>
              <w:rPr>
                <w:rFonts w:ascii="Times New Roman" w:eastAsia="黑体"/>
                <w:snapToGrid w:val="0"/>
                <w:color w:val="auto"/>
                <w:spacing w:val="-6"/>
                <w:kern w:val="21"/>
                <w:szCs w:val="21"/>
              </w:rPr>
              <w:fldChar w:fldCharType="begin"/>
            </w:r>
            <w:r>
              <w:rPr>
                <w:rFonts w:ascii="Times New Roman" w:eastAsia="黑体"/>
                <w:snapToGrid w:val="0"/>
                <w:color w:val="auto"/>
                <w:spacing w:val="-6"/>
                <w:kern w:val="21"/>
                <w:szCs w:val="21"/>
              </w:rPr>
              <w:instrText xml:space="preserve"> = 4 \* GB3 \* MERGEFORMAT </w:instrText>
            </w:r>
            <w:r>
              <w:rPr>
                <w:rFonts w:ascii="Times New Roman" w:eastAsia="黑体"/>
                <w:snapToGrid w:val="0"/>
                <w:color w:val="auto"/>
                <w:spacing w:val="-6"/>
                <w:kern w:val="21"/>
                <w:szCs w:val="21"/>
              </w:rPr>
              <w:fldChar w:fldCharType="separate"/>
            </w:r>
            <w:r>
              <w:rPr>
                <w:rFonts w:ascii="Cambria Math" w:hAnsi="Cambria Math" w:cs="Cambria Math"/>
                <w:color w:val="auto"/>
                <w:kern w:val="2"/>
                <w:szCs w:val="21"/>
              </w:rPr>
              <w:t>④</w:t>
            </w:r>
            <w:r>
              <w:rPr>
                <w:rFonts w:ascii="Times New Roman" w:eastAsia="黑体"/>
                <w:snapToGrid w:val="0"/>
                <w:color w:val="auto"/>
                <w:spacing w:val="-6"/>
                <w:kern w:val="21"/>
                <w:szCs w:val="21"/>
              </w:rPr>
              <w:fldChar w:fldCharType="end"/>
            </w:r>
          </w:p>
        </w:tc>
        <w:tc>
          <w:tcPr>
            <w:tcW w:w="632" w:type="pct"/>
            <w:tcMar>
              <w:left w:w="28" w:type="dxa"/>
              <w:right w:w="28" w:type="dxa"/>
            </w:tcMar>
            <w:vAlign w:val="center"/>
          </w:tcPr>
          <w:p w14:paraId="3B86AF4D">
            <w:pPr>
              <w:pStyle w:val="24"/>
              <w:spacing w:beforeLines="0" w:afterLines="0" w:line="240" w:lineRule="auto"/>
              <w:rPr>
                <w:rFonts w:ascii="Times New Roman" w:eastAsia="黑体"/>
                <w:snapToGrid w:val="0"/>
                <w:color w:val="auto"/>
                <w:spacing w:val="-16"/>
                <w:kern w:val="21"/>
                <w:szCs w:val="21"/>
              </w:rPr>
            </w:pPr>
            <w:r>
              <w:rPr>
                <w:rFonts w:ascii="Times New Roman" w:eastAsia="黑体"/>
                <w:snapToGrid w:val="0"/>
                <w:color w:val="auto"/>
                <w:spacing w:val="-16"/>
                <w:kern w:val="21"/>
                <w:szCs w:val="21"/>
              </w:rPr>
              <w:t>以新带老削减</w:t>
            </w:r>
            <w:r>
              <w:rPr>
                <w:rFonts w:hint="eastAsia" w:ascii="Times New Roman" w:eastAsia="黑体"/>
                <w:snapToGrid w:val="0"/>
                <w:color w:val="auto"/>
                <w:spacing w:val="-16"/>
                <w:kern w:val="21"/>
                <w:szCs w:val="21"/>
              </w:rPr>
              <w:t>总</w:t>
            </w:r>
            <w:r>
              <w:rPr>
                <w:rFonts w:ascii="Times New Roman" w:eastAsia="黑体"/>
                <w:snapToGrid w:val="0"/>
                <w:color w:val="auto"/>
                <w:spacing w:val="-16"/>
                <w:kern w:val="21"/>
                <w:szCs w:val="21"/>
              </w:rPr>
              <w:t>量</w:t>
            </w:r>
            <w:r>
              <w:rPr>
                <w:rFonts w:hint="eastAsia" w:ascii="Times New Roman" w:eastAsia="黑体"/>
                <w:snapToGrid w:val="0"/>
                <w:color w:val="auto"/>
                <w:spacing w:val="-16"/>
                <w:kern w:val="21"/>
                <w:szCs w:val="21"/>
              </w:rPr>
              <w:t>（</w:t>
            </w:r>
            <w:r>
              <w:rPr>
                <w:rFonts w:ascii="Times New Roman" w:eastAsia="黑体"/>
                <w:snapToGrid w:val="0"/>
                <w:color w:val="auto"/>
                <w:spacing w:val="-16"/>
                <w:kern w:val="21"/>
                <w:szCs w:val="21"/>
              </w:rPr>
              <w:t>新建项目不填</w:t>
            </w:r>
            <w:r>
              <w:rPr>
                <w:rFonts w:hint="eastAsia" w:ascii="Times New Roman" w:eastAsia="黑体"/>
                <w:snapToGrid w:val="0"/>
                <w:color w:val="auto"/>
                <w:spacing w:val="-16"/>
                <w:kern w:val="21"/>
                <w:szCs w:val="21"/>
              </w:rPr>
              <w:t>）</w:t>
            </w:r>
            <w:r>
              <w:rPr>
                <w:rFonts w:ascii="Times New Roman" w:eastAsia="黑体"/>
                <w:snapToGrid w:val="0"/>
                <w:color w:val="auto"/>
                <w:spacing w:val="-16"/>
                <w:kern w:val="21"/>
                <w:szCs w:val="21"/>
              </w:rPr>
              <w:fldChar w:fldCharType="begin"/>
            </w:r>
            <w:r>
              <w:rPr>
                <w:rFonts w:ascii="Times New Roman" w:eastAsia="黑体"/>
                <w:snapToGrid w:val="0"/>
                <w:color w:val="auto"/>
                <w:spacing w:val="-16"/>
                <w:kern w:val="21"/>
                <w:szCs w:val="21"/>
              </w:rPr>
              <w:instrText xml:space="preserve"> = 5 \* GB3 \* MERGEFORMAT </w:instrText>
            </w:r>
            <w:r>
              <w:rPr>
                <w:rFonts w:ascii="Times New Roman" w:eastAsia="黑体"/>
                <w:snapToGrid w:val="0"/>
                <w:color w:val="auto"/>
                <w:spacing w:val="-16"/>
                <w:kern w:val="21"/>
                <w:szCs w:val="21"/>
              </w:rPr>
              <w:fldChar w:fldCharType="separate"/>
            </w:r>
            <w:r>
              <w:rPr>
                <w:rFonts w:ascii="Cambria Math" w:hAnsi="Cambria Math" w:cs="Cambria Math"/>
                <w:color w:val="auto"/>
                <w:kern w:val="2"/>
                <w:szCs w:val="21"/>
              </w:rPr>
              <w:t>⑤</w:t>
            </w:r>
            <w:r>
              <w:rPr>
                <w:rFonts w:ascii="Times New Roman" w:eastAsia="黑体"/>
                <w:snapToGrid w:val="0"/>
                <w:color w:val="auto"/>
                <w:spacing w:val="-16"/>
                <w:kern w:val="21"/>
                <w:szCs w:val="21"/>
              </w:rPr>
              <w:fldChar w:fldCharType="end"/>
            </w:r>
          </w:p>
        </w:tc>
        <w:tc>
          <w:tcPr>
            <w:tcW w:w="589" w:type="pct"/>
            <w:tcMar>
              <w:left w:w="28" w:type="dxa"/>
              <w:right w:w="28" w:type="dxa"/>
            </w:tcMar>
            <w:vAlign w:val="center"/>
          </w:tcPr>
          <w:p w14:paraId="4F05773A">
            <w:pPr>
              <w:pStyle w:val="24"/>
              <w:spacing w:beforeLines="0" w:afterLines="0" w:line="240" w:lineRule="auto"/>
              <w:rPr>
                <w:rFonts w:ascii="Times New Roman" w:eastAsia="黑体"/>
                <w:snapToGrid w:val="0"/>
                <w:color w:val="auto"/>
                <w:spacing w:val="-16"/>
                <w:kern w:val="21"/>
                <w:szCs w:val="21"/>
              </w:rPr>
            </w:pPr>
            <w:r>
              <w:rPr>
                <w:rFonts w:ascii="Times New Roman" w:eastAsia="黑体"/>
                <w:snapToGrid w:val="0"/>
                <w:color w:val="auto"/>
                <w:spacing w:val="-16"/>
                <w:kern w:val="21"/>
                <w:szCs w:val="21"/>
              </w:rPr>
              <w:t>本项目建成后全厂排放量</w:t>
            </w:r>
            <w:r>
              <w:rPr>
                <w:rFonts w:hint="eastAsia" w:ascii="Times New Roman" w:eastAsia="黑体"/>
                <w:snapToGrid w:val="0"/>
                <w:color w:val="auto"/>
                <w:spacing w:val="-16"/>
                <w:kern w:val="21"/>
                <w:szCs w:val="21"/>
              </w:rPr>
              <w:t>（</w:t>
            </w:r>
            <w:r>
              <w:rPr>
                <w:rFonts w:ascii="Times New Roman" w:eastAsia="黑体"/>
                <w:snapToGrid w:val="0"/>
                <w:color w:val="auto"/>
                <w:spacing w:val="-16"/>
                <w:kern w:val="21"/>
                <w:szCs w:val="21"/>
              </w:rPr>
              <w:t>固体废物产生量</w:t>
            </w:r>
            <w:r>
              <w:rPr>
                <w:rFonts w:hint="eastAsia" w:ascii="Times New Roman" w:eastAsia="黑体"/>
                <w:snapToGrid w:val="0"/>
                <w:color w:val="auto"/>
                <w:spacing w:val="-16"/>
                <w:kern w:val="21"/>
                <w:szCs w:val="21"/>
              </w:rPr>
              <w:t>）</w:t>
            </w:r>
            <w:r>
              <w:rPr>
                <w:rFonts w:ascii="Times New Roman" w:eastAsia="黑体"/>
                <w:snapToGrid w:val="0"/>
                <w:color w:val="auto"/>
                <w:spacing w:val="-16"/>
                <w:kern w:val="21"/>
                <w:szCs w:val="21"/>
              </w:rPr>
              <w:fldChar w:fldCharType="begin"/>
            </w:r>
            <w:r>
              <w:rPr>
                <w:rFonts w:ascii="Times New Roman" w:eastAsia="黑体"/>
                <w:snapToGrid w:val="0"/>
                <w:color w:val="auto"/>
                <w:spacing w:val="-16"/>
                <w:kern w:val="21"/>
                <w:szCs w:val="21"/>
              </w:rPr>
              <w:instrText xml:space="preserve"> = 6 \* GB3 \* MERGEFORMAT </w:instrText>
            </w:r>
            <w:r>
              <w:rPr>
                <w:rFonts w:ascii="Times New Roman" w:eastAsia="黑体"/>
                <w:snapToGrid w:val="0"/>
                <w:color w:val="auto"/>
                <w:spacing w:val="-16"/>
                <w:kern w:val="21"/>
                <w:szCs w:val="21"/>
              </w:rPr>
              <w:fldChar w:fldCharType="separate"/>
            </w:r>
            <w:r>
              <w:rPr>
                <w:rFonts w:ascii="Cambria Math" w:hAnsi="Cambria Math" w:cs="Cambria Math"/>
                <w:color w:val="auto"/>
                <w:kern w:val="2"/>
                <w:szCs w:val="21"/>
              </w:rPr>
              <w:t>⑥</w:t>
            </w:r>
            <w:r>
              <w:rPr>
                <w:rFonts w:ascii="Times New Roman" w:eastAsia="黑体"/>
                <w:snapToGrid w:val="0"/>
                <w:color w:val="auto"/>
                <w:spacing w:val="-16"/>
                <w:kern w:val="21"/>
                <w:szCs w:val="21"/>
              </w:rPr>
              <w:fldChar w:fldCharType="end"/>
            </w:r>
          </w:p>
        </w:tc>
        <w:tc>
          <w:tcPr>
            <w:tcW w:w="458" w:type="pct"/>
            <w:tcMar>
              <w:left w:w="28" w:type="dxa"/>
              <w:right w:w="28" w:type="dxa"/>
            </w:tcMar>
            <w:vAlign w:val="center"/>
          </w:tcPr>
          <w:p w14:paraId="7FAD43F2">
            <w:pPr>
              <w:pStyle w:val="24"/>
              <w:spacing w:beforeLines="0" w:afterLines="0" w:line="240" w:lineRule="auto"/>
              <w:rPr>
                <w:rFonts w:ascii="Times New Roman" w:eastAsia="黑体"/>
                <w:snapToGrid w:val="0"/>
                <w:color w:val="auto"/>
                <w:spacing w:val="-6"/>
                <w:kern w:val="21"/>
                <w:szCs w:val="21"/>
              </w:rPr>
            </w:pPr>
            <w:r>
              <w:rPr>
                <w:rFonts w:ascii="Times New Roman" w:eastAsia="黑体"/>
                <w:snapToGrid w:val="0"/>
                <w:color w:val="auto"/>
                <w:spacing w:val="-6"/>
                <w:kern w:val="21"/>
                <w:szCs w:val="21"/>
              </w:rPr>
              <w:t>变化量</w:t>
            </w:r>
            <w:r>
              <w:rPr>
                <w:rFonts w:ascii="Times New Roman"/>
                <w:snapToGrid w:val="0"/>
                <w:color w:val="auto"/>
                <w:kern w:val="21"/>
                <w:szCs w:val="21"/>
              </w:rPr>
              <w:fldChar w:fldCharType="begin"/>
            </w:r>
            <w:r>
              <w:rPr>
                <w:rFonts w:ascii="Times New Roman"/>
                <w:snapToGrid w:val="0"/>
                <w:color w:val="auto"/>
                <w:kern w:val="21"/>
                <w:szCs w:val="21"/>
              </w:rPr>
              <w:instrText xml:space="preserve"> = 7 \* GB3 \* MERGEFORMAT </w:instrText>
            </w:r>
            <w:r>
              <w:rPr>
                <w:rFonts w:ascii="Times New Roman"/>
                <w:snapToGrid w:val="0"/>
                <w:color w:val="auto"/>
                <w:kern w:val="21"/>
                <w:szCs w:val="21"/>
              </w:rPr>
              <w:fldChar w:fldCharType="separate"/>
            </w:r>
            <w:r>
              <w:rPr>
                <w:rFonts w:ascii="Cambria Math" w:hAnsi="Cambria Math" w:cs="Cambria Math"/>
                <w:snapToGrid w:val="0"/>
                <w:color w:val="auto"/>
                <w:kern w:val="21"/>
                <w:szCs w:val="21"/>
              </w:rPr>
              <w:t>⑦</w:t>
            </w:r>
            <w:r>
              <w:rPr>
                <w:rFonts w:ascii="Times New Roman"/>
                <w:snapToGrid w:val="0"/>
                <w:color w:val="auto"/>
                <w:kern w:val="21"/>
                <w:szCs w:val="21"/>
              </w:rPr>
              <w:fldChar w:fldCharType="end"/>
            </w:r>
          </w:p>
        </w:tc>
      </w:tr>
      <w:tr w14:paraId="6A2431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17" w:type="pct"/>
            <w:vAlign w:val="center"/>
          </w:tcPr>
          <w:p w14:paraId="71564DD0">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废气</w:t>
            </w:r>
          </w:p>
        </w:tc>
        <w:tc>
          <w:tcPr>
            <w:tcW w:w="561" w:type="pct"/>
            <w:gridSpan w:val="2"/>
            <w:vAlign w:val="center"/>
          </w:tcPr>
          <w:p w14:paraId="16F42717">
            <w:pPr>
              <w:pStyle w:val="24"/>
              <w:spacing w:beforeLines="0" w:afterLines="0" w:line="240" w:lineRule="auto"/>
              <w:rPr>
                <w:rFonts w:hint="default" w:ascii="Times New Roman" w:eastAsia="宋体"/>
                <w:snapToGrid w:val="0"/>
                <w:color w:val="auto"/>
                <w:kern w:val="21"/>
                <w:szCs w:val="21"/>
                <w:lang w:val="en-US" w:eastAsia="zh-CN"/>
              </w:rPr>
            </w:pPr>
            <w:r>
              <w:rPr>
                <w:rFonts w:hint="eastAsia" w:ascii="Times New Roman"/>
                <w:snapToGrid w:val="0"/>
                <w:color w:val="auto"/>
                <w:kern w:val="21"/>
                <w:szCs w:val="21"/>
                <w:lang w:val="en-US" w:eastAsia="zh-CN"/>
              </w:rPr>
              <w:t>发酵异味</w:t>
            </w:r>
          </w:p>
        </w:tc>
        <w:tc>
          <w:tcPr>
            <w:tcW w:w="611" w:type="pct"/>
            <w:vAlign w:val="center"/>
          </w:tcPr>
          <w:p w14:paraId="2F8C6104">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58" w:type="pct"/>
            <w:vAlign w:val="center"/>
          </w:tcPr>
          <w:p w14:paraId="3772B11E">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1" w:type="pct"/>
            <w:vAlign w:val="center"/>
          </w:tcPr>
          <w:p w14:paraId="46019D7F">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59" w:type="pct"/>
            <w:vAlign w:val="center"/>
          </w:tcPr>
          <w:p w14:paraId="4703E38F">
            <w:pPr>
              <w:pStyle w:val="24"/>
              <w:spacing w:beforeLines="0" w:afterLines="0" w:line="240" w:lineRule="auto"/>
              <w:rPr>
                <w:rFonts w:hint="eastAsia" w:ascii="Times New Roman" w:eastAsia="宋体"/>
                <w:snapToGrid w:val="0"/>
                <w:color w:val="auto"/>
                <w:kern w:val="21"/>
                <w:szCs w:val="21"/>
                <w:lang w:eastAsia="zh-CN"/>
              </w:rPr>
            </w:pPr>
            <w:r>
              <w:rPr>
                <w:rFonts w:hint="eastAsia" w:ascii="Times New Roman"/>
                <w:snapToGrid w:val="0"/>
                <w:color w:val="auto"/>
                <w:kern w:val="21"/>
                <w:szCs w:val="21"/>
                <w:lang w:val="en-US" w:eastAsia="zh-CN"/>
              </w:rPr>
              <w:t>少量</w:t>
            </w:r>
          </w:p>
        </w:tc>
        <w:tc>
          <w:tcPr>
            <w:tcW w:w="632" w:type="pct"/>
            <w:vAlign w:val="center"/>
          </w:tcPr>
          <w:p w14:paraId="7B3DB74B">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89" w:type="pct"/>
            <w:vAlign w:val="center"/>
          </w:tcPr>
          <w:p w14:paraId="09ADA9FE">
            <w:pPr>
              <w:pStyle w:val="24"/>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少量</w:t>
            </w:r>
          </w:p>
        </w:tc>
        <w:tc>
          <w:tcPr>
            <w:tcW w:w="458" w:type="pct"/>
            <w:vAlign w:val="center"/>
          </w:tcPr>
          <w:p w14:paraId="665F1E8F">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w:t>
            </w:r>
            <w:r>
              <w:rPr>
                <w:rFonts w:hint="eastAsia" w:ascii="Times New Roman"/>
                <w:snapToGrid w:val="0"/>
                <w:color w:val="auto"/>
                <w:kern w:val="21"/>
                <w:szCs w:val="21"/>
                <w:lang w:val="en-US" w:eastAsia="zh-CN"/>
              </w:rPr>
              <w:t>少量</w:t>
            </w:r>
          </w:p>
        </w:tc>
      </w:tr>
      <w:tr w14:paraId="143834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17" w:type="pct"/>
            <w:vMerge w:val="restart"/>
            <w:vAlign w:val="center"/>
          </w:tcPr>
          <w:p w14:paraId="097AD9D9">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废水</w:t>
            </w:r>
          </w:p>
        </w:tc>
        <w:tc>
          <w:tcPr>
            <w:tcW w:w="307" w:type="pct"/>
            <w:vMerge w:val="restart"/>
            <w:vAlign w:val="center"/>
          </w:tcPr>
          <w:p w14:paraId="49041433">
            <w:pPr>
              <w:pStyle w:val="24"/>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新鲜蔬菜漂烫清洗废水</w:t>
            </w:r>
          </w:p>
        </w:tc>
        <w:tc>
          <w:tcPr>
            <w:tcW w:w="254" w:type="pct"/>
            <w:vAlign w:val="center"/>
          </w:tcPr>
          <w:p w14:paraId="7D298617">
            <w:pPr>
              <w:pStyle w:val="24"/>
              <w:spacing w:beforeLines="0" w:afterLines="0" w:line="240" w:lineRule="auto"/>
              <w:rPr>
                <w:rFonts w:hint="default" w:ascii="Times New Roman"/>
                <w:snapToGrid w:val="0"/>
                <w:color w:val="auto"/>
                <w:kern w:val="21"/>
                <w:szCs w:val="21"/>
                <w:lang w:val="en-US" w:eastAsia="zh-CN"/>
              </w:rPr>
            </w:pPr>
            <w:r>
              <w:rPr>
                <w:rFonts w:hint="eastAsia" w:ascii="Times New Roman"/>
                <w:snapToGrid w:val="0"/>
                <w:color w:val="auto"/>
                <w:kern w:val="21"/>
                <w:szCs w:val="21"/>
                <w:lang w:val="en-US" w:eastAsia="zh-CN"/>
              </w:rPr>
              <w:t>水量</w:t>
            </w:r>
          </w:p>
        </w:tc>
        <w:tc>
          <w:tcPr>
            <w:tcW w:w="611" w:type="pct"/>
            <w:vAlign w:val="center"/>
          </w:tcPr>
          <w:p w14:paraId="3C87D579">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458" w:type="pct"/>
            <w:vAlign w:val="center"/>
          </w:tcPr>
          <w:p w14:paraId="421560D8">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611" w:type="pct"/>
            <w:vAlign w:val="center"/>
          </w:tcPr>
          <w:p w14:paraId="493108CC">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w:t>
            </w:r>
          </w:p>
        </w:tc>
        <w:tc>
          <w:tcPr>
            <w:tcW w:w="559" w:type="pct"/>
            <w:vAlign w:val="center"/>
          </w:tcPr>
          <w:p w14:paraId="792B5B23">
            <w:pPr>
              <w:pStyle w:val="24"/>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480t/a</w:t>
            </w:r>
          </w:p>
        </w:tc>
        <w:tc>
          <w:tcPr>
            <w:tcW w:w="632" w:type="pct"/>
            <w:vAlign w:val="center"/>
          </w:tcPr>
          <w:p w14:paraId="0F54568A">
            <w:pPr>
              <w:jc w:val="center"/>
              <w:rPr>
                <w:color w:val="auto"/>
              </w:rPr>
            </w:pPr>
            <w:r>
              <w:rPr>
                <w:color w:val="auto"/>
              </w:rPr>
              <w:t>/</w:t>
            </w:r>
          </w:p>
        </w:tc>
        <w:tc>
          <w:tcPr>
            <w:tcW w:w="589" w:type="pct"/>
            <w:vAlign w:val="center"/>
          </w:tcPr>
          <w:p w14:paraId="31889352">
            <w:pPr>
              <w:pStyle w:val="24"/>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480t/a</w:t>
            </w:r>
          </w:p>
        </w:tc>
        <w:tc>
          <w:tcPr>
            <w:tcW w:w="458" w:type="pct"/>
            <w:vAlign w:val="center"/>
          </w:tcPr>
          <w:p w14:paraId="5F888A8D">
            <w:pPr>
              <w:pStyle w:val="24"/>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+480t/a</w:t>
            </w:r>
          </w:p>
        </w:tc>
      </w:tr>
      <w:tr w14:paraId="3EB74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17" w:type="pct"/>
            <w:vMerge w:val="continue"/>
            <w:vAlign w:val="center"/>
          </w:tcPr>
          <w:p w14:paraId="5FA00BAB">
            <w:pPr>
              <w:pStyle w:val="24"/>
              <w:spacing w:beforeLines="0" w:afterLines="0" w:line="240" w:lineRule="auto"/>
              <w:rPr>
                <w:rFonts w:ascii="Times New Roman"/>
                <w:snapToGrid w:val="0"/>
                <w:color w:val="auto"/>
                <w:kern w:val="21"/>
                <w:szCs w:val="21"/>
              </w:rPr>
            </w:pPr>
          </w:p>
        </w:tc>
        <w:tc>
          <w:tcPr>
            <w:tcW w:w="307" w:type="pct"/>
            <w:vMerge w:val="continue"/>
            <w:vAlign w:val="center"/>
          </w:tcPr>
          <w:p w14:paraId="730B02FC">
            <w:pPr>
              <w:pStyle w:val="24"/>
              <w:spacing w:beforeLines="0" w:afterLines="0" w:line="240" w:lineRule="auto"/>
              <w:rPr>
                <w:rFonts w:hint="eastAsia" w:ascii="Times New Roman"/>
                <w:snapToGrid w:val="0"/>
                <w:color w:val="auto"/>
                <w:kern w:val="21"/>
                <w:szCs w:val="21"/>
                <w:lang w:val="en-US" w:eastAsia="zh-CN"/>
              </w:rPr>
            </w:pPr>
          </w:p>
        </w:tc>
        <w:tc>
          <w:tcPr>
            <w:tcW w:w="254" w:type="pct"/>
            <w:vAlign w:val="center"/>
          </w:tcPr>
          <w:p w14:paraId="2D0C5100">
            <w:pPr>
              <w:pStyle w:val="24"/>
              <w:spacing w:beforeLines="0" w:afterLines="0" w:line="240" w:lineRule="auto"/>
              <w:rPr>
                <w:rFonts w:hint="default" w:ascii="Times New Roman"/>
                <w:snapToGrid w:val="0"/>
                <w:color w:val="auto"/>
                <w:kern w:val="21"/>
                <w:szCs w:val="21"/>
                <w:lang w:val="en-US" w:eastAsia="zh-CN"/>
              </w:rPr>
            </w:pPr>
            <w:r>
              <w:rPr>
                <w:rFonts w:hint="eastAsia" w:ascii="Times New Roman"/>
                <w:snapToGrid w:val="0"/>
                <w:color w:val="auto"/>
                <w:kern w:val="21"/>
                <w:szCs w:val="21"/>
                <w:lang w:val="en-US" w:eastAsia="zh-CN"/>
              </w:rPr>
              <w:t>SS</w:t>
            </w:r>
          </w:p>
        </w:tc>
        <w:tc>
          <w:tcPr>
            <w:tcW w:w="611" w:type="pct"/>
            <w:vAlign w:val="center"/>
          </w:tcPr>
          <w:p w14:paraId="48261E6B">
            <w:pPr>
              <w:pStyle w:val="24"/>
              <w:spacing w:beforeLines="0" w:afterLines="0" w:line="240" w:lineRule="auto"/>
              <w:rPr>
                <w:rFonts w:ascii="Times New Roman"/>
                <w:snapToGrid w:val="0"/>
                <w:color w:val="auto"/>
                <w:kern w:val="21"/>
                <w:szCs w:val="21"/>
              </w:rPr>
            </w:pPr>
          </w:p>
        </w:tc>
        <w:tc>
          <w:tcPr>
            <w:tcW w:w="458" w:type="pct"/>
            <w:vAlign w:val="center"/>
          </w:tcPr>
          <w:p w14:paraId="44E0B70E">
            <w:pPr>
              <w:pStyle w:val="24"/>
              <w:spacing w:beforeLines="0" w:afterLines="0" w:line="240" w:lineRule="auto"/>
              <w:rPr>
                <w:rFonts w:ascii="Times New Roman"/>
                <w:snapToGrid w:val="0"/>
                <w:color w:val="auto"/>
                <w:kern w:val="21"/>
                <w:szCs w:val="21"/>
              </w:rPr>
            </w:pPr>
          </w:p>
        </w:tc>
        <w:tc>
          <w:tcPr>
            <w:tcW w:w="611" w:type="pct"/>
            <w:vAlign w:val="center"/>
          </w:tcPr>
          <w:p w14:paraId="7369264B">
            <w:pPr>
              <w:pStyle w:val="24"/>
              <w:spacing w:beforeLines="0" w:afterLines="0" w:line="240" w:lineRule="auto"/>
              <w:rPr>
                <w:rFonts w:ascii="Times New Roman"/>
                <w:snapToGrid w:val="0"/>
                <w:color w:val="auto"/>
                <w:kern w:val="21"/>
                <w:szCs w:val="21"/>
              </w:rPr>
            </w:pPr>
          </w:p>
        </w:tc>
        <w:tc>
          <w:tcPr>
            <w:tcW w:w="559" w:type="pct"/>
            <w:vAlign w:val="center"/>
          </w:tcPr>
          <w:p w14:paraId="00F248DC">
            <w:pPr>
              <w:pStyle w:val="24"/>
              <w:spacing w:beforeLines="0" w:afterLines="0" w:line="240" w:lineRule="auto"/>
              <w:rPr>
                <w:rFonts w:hint="default" w:ascii="Times New Roman"/>
                <w:snapToGrid w:val="0"/>
                <w:color w:val="auto"/>
                <w:kern w:val="21"/>
                <w:szCs w:val="21"/>
                <w:lang w:val="en-US" w:eastAsia="zh-CN"/>
              </w:rPr>
            </w:pPr>
            <w:r>
              <w:rPr>
                <w:rFonts w:hint="eastAsia" w:ascii="Times New Roman"/>
                <w:snapToGrid w:val="0"/>
                <w:color w:val="auto"/>
                <w:kern w:val="21"/>
                <w:szCs w:val="21"/>
                <w:lang w:val="en-US" w:eastAsia="zh-CN"/>
              </w:rPr>
              <w:t>0.048t/a</w:t>
            </w:r>
          </w:p>
        </w:tc>
        <w:tc>
          <w:tcPr>
            <w:tcW w:w="632" w:type="pct"/>
            <w:vAlign w:val="center"/>
          </w:tcPr>
          <w:p w14:paraId="4942F099">
            <w:pPr>
              <w:jc w:val="center"/>
              <w:rPr>
                <w:color w:val="auto"/>
              </w:rPr>
            </w:pPr>
          </w:p>
        </w:tc>
        <w:tc>
          <w:tcPr>
            <w:tcW w:w="589" w:type="pct"/>
            <w:vAlign w:val="center"/>
          </w:tcPr>
          <w:p w14:paraId="683F1E2B">
            <w:pPr>
              <w:pStyle w:val="24"/>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0.048t/a</w:t>
            </w:r>
          </w:p>
        </w:tc>
        <w:tc>
          <w:tcPr>
            <w:tcW w:w="458" w:type="pct"/>
            <w:vAlign w:val="center"/>
          </w:tcPr>
          <w:p w14:paraId="593DC5A8">
            <w:pPr>
              <w:pStyle w:val="24"/>
              <w:spacing w:beforeLines="0" w:afterLines="0" w:line="240" w:lineRule="auto"/>
              <w:rPr>
                <w:rFonts w:hint="eastAsia" w:ascii="Times New Roman"/>
                <w:snapToGrid w:val="0"/>
                <w:color w:val="auto"/>
                <w:kern w:val="21"/>
                <w:szCs w:val="21"/>
                <w:lang w:val="en-US" w:eastAsia="zh-CN"/>
              </w:rPr>
            </w:pPr>
            <w:r>
              <w:rPr>
                <w:rFonts w:hint="eastAsia" w:ascii="Times New Roman"/>
                <w:snapToGrid w:val="0"/>
                <w:color w:val="auto"/>
                <w:kern w:val="21"/>
                <w:szCs w:val="21"/>
                <w:lang w:val="en-US" w:eastAsia="zh-CN"/>
              </w:rPr>
              <w:t>+0.048t/a</w:t>
            </w:r>
          </w:p>
        </w:tc>
      </w:tr>
      <w:tr w14:paraId="7538C1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17" w:type="pct"/>
            <w:vMerge w:val="restart"/>
            <w:vAlign w:val="center"/>
          </w:tcPr>
          <w:p w14:paraId="1CE229A9">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固体废物</w:t>
            </w:r>
          </w:p>
        </w:tc>
        <w:tc>
          <w:tcPr>
            <w:tcW w:w="561" w:type="pct"/>
            <w:gridSpan w:val="2"/>
            <w:vAlign w:val="center"/>
          </w:tcPr>
          <w:p w14:paraId="2454EBBD">
            <w:pPr>
              <w:pStyle w:val="24"/>
              <w:spacing w:beforeLines="0" w:afterLines="0" w:line="240" w:lineRule="auto"/>
              <w:rPr>
                <w:rFonts w:ascii="Times New Roman"/>
                <w:snapToGrid w:val="0"/>
                <w:color w:val="auto"/>
                <w:kern w:val="21"/>
                <w:szCs w:val="21"/>
              </w:rPr>
            </w:pPr>
            <w:r>
              <w:rPr>
                <w:rFonts w:ascii="Times New Roman"/>
                <w:snapToGrid w:val="0"/>
                <w:color w:val="auto"/>
                <w:kern w:val="21"/>
                <w:szCs w:val="21"/>
              </w:rPr>
              <w:t>生活垃圾</w:t>
            </w:r>
          </w:p>
        </w:tc>
        <w:tc>
          <w:tcPr>
            <w:tcW w:w="611" w:type="pct"/>
            <w:shd w:val="clear" w:color="auto" w:fill="auto"/>
            <w:vAlign w:val="center"/>
          </w:tcPr>
          <w:p w14:paraId="0C26BC4A">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458" w:type="pct"/>
            <w:shd w:val="clear" w:color="auto" w:fill="auto"/>
            <w:vAlign w:val="center"/>
          </w:tcPr>
          <w:p w14:paraId="518AFEAD">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611" w:type="pct"/>
            <w:shd w:val="clear" w:color="auto" w:fill="auto"/>
            <w:vAlign w:val="center"/>
          </w:tcPr>
          <w:p w14:paraId="08EB033F">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559" w:type="pct"/>
            <w:shd w:val="clear" w:color="auto" w:fill="auto"/>
            <w:vAlign w:val="center"/>
          </w:tcPr>
          <w:p w14:paraId="35BE0109">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1.8t/a</w:t>
            </w:r>
          </w:p>
        </w:tc>
        <w:tc>
          <w:tcPr>
            <w:tcW w:w="632" w:type="pct"/>
            <w:shd w:val="clear" w:color="auto" w:fill="auto"/>
            <w:vAlign w:val="center"/>
          </w:tcPr>
          <w:p w14:paraId="5CF1D4EC">
            <w:pPr>
              <w:jc w:val="center"/>
              <w:rPr>
                <w:rFonts w:ascii="Times New Roman" w:hAnsi="Times New Roman" w:eastAsia="宋体" w:cs="Times New Roman"/>
                <w:color w:val="auto"/>
                <w:kern w:val="2"/>
                <w:sz w:val="21"/>
                <w:szCs w:val="24"/>
                <w:lang w:val="en-US" w:eastAsia="zh-CN" w:bidi="ar-SA"/>
              </w:rPr>
            </w:pPr>
            <w:r>
              <w:rPr>
                <w:color w:val="auto"/>
              </w:rPr>
              <w:t>/</w:t>
            </w:r>
          </w:p>
        </w:tc>
        <w:tc>
          <w:tcPr>
            <w:tcW w:w="589" w:type="pct"/>
            <w:shd w:val="clear" w:color="auto" w:fill="auto"/>
            <w:vAlign w:val="center"/>
          </w:tcPr>
          <w:p w14:paraId="35ECFEB6">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1.8t/a</w:t>
            </w:r>
          </w:p>
        </w:tc>
        <w:tc>
          <w:tcPr>
            <w:tcW w:w="458" w:type="pct"/>
            <w:shd w:val="clear" w:color="auto" w:fill="auto"/>
            <w:vAlign w:val="center"/>
          </w:tcPr>
          <w:p w14:paraId="71DAF254">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+1.8t/a</w:t>
            </w:r>
          </w:p>
        </w:tc>
      </w:tr>
      <w:tr w14:paraId="0DE037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17" w:type="pct"/>
            <w:vMerge w:val="continue"/>
            <w:vAlign w:val="center"/>
          </w:tcPr>
          <w:p w14:paraId="2609BDE5">
            <w:pPr>
              <w:pStyle w:val="24"/>
              <w:spacing w:beforeLines="0" w:afterLines="0" w:line="240" w:lineRule="auto"/>
              <w:rPr>
                <w:rFonts w:ascii="Times New Roman"/>
                <w:snapToGrid w:val="0"/>
                <w:color w:val="auto"/>
                <w:kern w:val="21"/>
                <w:szCs w:val="21"/>
              </w:rPr>
            </w:pPr>
          </w:p>
        </w:tc>
        <w:tc>
          <w:tcPr>
            <w:tcW w:w="561" w:type="pct"/>
            <w:gridSpan w:val="2"/>
            <w:vAlign w:val="center"/>
          </w:tcPr>
          <w:p w14:paraId="51A7A316">
            <w:pPr>
              <w:pStyle w:val="24"/>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废菜渣</w:t>
            </w:r>
          </w:p>
        </w:tc>
        <w:tc>
          <w:tcPr>
            <w:tcW w:w="611" w:type="pct"/>
            <w:shd w:val="clear" w:color="auto" w:fill="auto"/>
            <w:vAlign w:val="center"/>
          </w:tcPr>
          <w:p w14:paraId="15C9E68E">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458" w:type="pct"/>
            <w:shd w:val="clear" w:color="auto" w:fill="auto"/>
            <w:vAlign w:val="center"/>
          </w:tcPr>
          <w:p w14:paraId="2B7EE082">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611" w:type="pct"/>
            <w:shd w:val="clear" w:color="auto" w:fill="auto"/>
            <w:vAlign w:val="center"/>
          </w:tcPr>
          <w:p w14:paraId="663A991B">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559" w:type="pct"/>
            <w:shd w:val="clear" w:color="auto" w:fill="auto"/>
            <w:vAlign w:val="center"/>
          </w:tcPr>
          <w:p w14:paraId="718AB04F">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2t/a</w:t>
            </w:r>
          </w:p>
        </w:tc>
        <w:tc>
          <w:tcPr>
            <w:tcW w:w="632" w:type="pct"/>
            <w:shd w:val="clear" w:color="auto" w:fill="auto"/>
            <w:vAlign w:val="center"/>
          </w:tcPr>
          <w:p w14:paraId="446CCB53">
            <w:pPr>
              <w:jc w:val="center"/>
              <w:rPr>
                <w:rFonts w:ascii="Times New Roman" w:hAnsi="Times New Roman" w:eastAsia="宋体" w:cs="Times New Roman"/>
                <w:color w:val="auto"/>
                <w:kern w:val="2"/>
                <w:sz w:val="21"/>
                <w:szCs w:val="24"/>
                <w:lang w:val="en-US" w:eastAsia="zh-CN" w:bidi="ar-SA"/>
              </w:rPr>
            </w:pPr>
            <w:r>
              <w:rPr>
                <w:color w:val="auto"/>
              </w:rPr>
              <w:t>/</w:t>
            </w:r>
          </w:p>
        </w:tc>
        <w:tc>
          <w:tcPr>
            <w:tcW w:w="589" w:type="pct"/>
            <w:shd w:val="clear" w:color="auto" w:fill="auto"/>
            <w:vAlign w:val="center"/>
          </w:tcPr>
          <w:p w14:paraId="1F614587">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2t/a</w:t>
            </w:r>
          </w:p>
        </w:tc>
        <w:tc>
          <w:tcPr>
            <w:tcW w:w="458" w:type="pct"/>
            <w:shd w:val="clear" w:color="auto" w:fill="auto"/>
            <w:vAlign w:val="center"/>
          </w:tcPr>
          <w:p w14:paraId="1FFE2751">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+2t/a</w:t>
            </w:r>
          </w:p>
        </w:tc>
      </w:tr>
      <w:tr w14:paraId="36C70B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17" w:type="pct"/>
            <w:vMerge w:val="continue"/>
            <w:vAlign w:val="center"/>
          </w:tcPr>
          <w:p w14:paraId="164E9B71">
            <w:pPr>
              <w:pStyle w:val="24"/>
              <w:spacing w:beforeLines="0" w:afterLines="0" w:line="240" w:lineRule="auto"/>
              <w:rPr>
                <w:rFonts w:ascii="Times New Roman"/>
                <w:snapToGrid w:val="0"/>
                <w:color w:val="auto"/>
                <w:kern w:val="21"/>
                <w:szCs w:val="21"/>
              </w:rPr>
            </w:pPr>
          </w:p>
        </w:tc>
        <w:tc>
          <w:tcPr>
            <w:tcW w:w="561" w:type="pct"/>
            <w:gridSpan w:val="2"/>
            <w:vAlign w:val="center"/>
          </w:tcPr>
          <w:p w14:paraId="3A5418CA">
            <w:pPr>
              <w:pStyle w:val="24"/>
              <w:spacing w:beforeLines="0" w:afterLines="0" w:line="240" w:lineRule="auto"/>
              <w:rPr>
                <w:rFonts w:ascii="Times New Roman"/>
                <w:snapToGrid w:val="0"/>
                <w:color w:val="auto"/>
                <w:kern w:val="21"/>
                <w:szCs w:val="21"/>
              </w:rPr>
            </w:pPr>
            <w:r>
              <w:rPr>
                <w:rFonts w:hint="eastAsia" w:ascii="Times New Roman"/>
                <w:snapToGrid w:val="0"/>
                <w:color w:val="auto"/>
                <w:kern w:val="21"/>
                <w:szCs w:val="21"/>
                <w:lang w:val="en-US" w:eastAsia="zh-CN"/>
              </w:rPr>
              <w:t>废包装材料</w:t>
            </w:r>
          </w:p>
        </w:tc>
        <w:tc>
          <w:tcPr>
            <w:tcW w:w="611" w:type="pct"/>
            <w:shd w:val="clear" w:color="auto" w:fill="auto"/>
            <w:vAlign w:val="center"/>
          </w:tcPr>
          <w:p w14:paraId="5F4C4726">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458" w:type="pct"/>
            <w:shd w:val="clear" w:color="auto" w:fill="auto"/>
            <w:vAlign w:val="center"/>
          </w:tcPr>
          <w:p w14:paraId="424377F0">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611" w:type="pct"/>
            <w:shd w:val="clear" w:color="auto" w:fill="auto"/>
            <w:vAlign w:val="center"/>
          </w:tcPr>
          <w:p w14:paraId="5DAF565A">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ascii="Times New Roman"/>
                <w:snapToGrid w:val="0"/>
                <w:color w:val="auto"/>
                <w:kern w:val="21"/>
                <w:szCs w:val="21"/>
              </w:rPr>
              <w:t>/</w:t>
            </w:r>
          </w:p>
        </w:tc>
        <w:tc>
          <w:tcPr>
            <w:tcW w:w="559" w:type="pct"/>
            <w:shd w:val="clear" w:color="auto" w:fill="auto"/>
            <w:vAlign w:val="center"/>
          </w:tcPr>
          <w:p w14:paraId="20CA6438">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1t/a</w:t>
            </w:r>
          </w:p>
        </w:tc>
        <w:tc>
          <w:tcPr>
            <w:tcW w:w="632" w:type="pct"/>
            <w:shd w:val="clear" w:color="auto" w:fill="auto"/>
            <w:vAlign w:val="center"/>
          </w:tcPr>
          <w:p w14:paraId="20C53014">
            <w:pPr>
              <w:jc w:val="center"/>
              <w:rPr>
                <w:rFonts w:ascii="Times New Roman" w:hAnsi="Times New Roman" w:eastAsia="宋体" w:cs="Times New Roman"/>
                <w:color w:val="auto"/>
                <w:kern w:val="2"/>
                <w:sz w:val="21"/>
                <w:szCs w:val="24"/>
                <w:lang w:val="en-US" w:eastAsia="zh-CN" w:bidi="ar-SA"/>
              </w:rPr>
            </w:pPr>
            <w:r>
              <w:rPr>
                <w:color w:val="auto"/>
              </w:rPr>
              <w:t>/</w:t>
            </w:r>
          </w:p>
        </w:tc>
        <w:tc>
          <w:tcPr>
            <w:tcW w:w="589" w:type="pct"/>
            <w:shd w:val="clear" w:color="auto" w:fill="auto"/>
            <w:vAlign w:val="center"/>
          </w:tcPr>
          <w:p w14:paraId="22FA4031">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1t/a</w:t>
            </w:r>
          </w:p>
        </w:tc>
        <w:tc>
          <w:tcPr>
            <w:tcW w:w="458" w:type="pct"/>
            <w:shd w:val="clear" w:color="auto" w:fill="auto"/>
            <w:vAlign w:val="center"/>
          </w:tcPr>
          <w:p w14:paraId="20492E9D">
            <w:pPr>
              <w:pStyle w:val="24"/>
              <w:spacing w:beforeLines="0" w:afterLines="0" w:line="240" w:lineRule="auto"/>
              <w:rPr>
                <w:rFonts w:ascii="Times New Roman" w:hAnsi="Times New Roman" w:eastAsia="宋体" w:cs="Times New Roman"/>
                <w:snapToGrid w:val="0"/>
                <w:color w:val="auto"/>
                <w:kern w:val="21"/>
                <w:sz w:val="21"/>
                <w:szCs w:val="21"/>
                <w:lang w:val="en-US" w:eastAsia="zh-CN" w:bidi="ar-SA"/>
              </w:rPr>
            </w:pPr>
            <w:r>
              <w:rPr>
                <w:rFonts w:hint="eastAsia" w:ascii="Times New Roman"/>
                <w:snapToGrid w:val="0"/>
                <w:color w:val="auto"/>
                <w:kern w:val="21"/>
                <w:szCs w:val="21"/>
                <w:lang w:val="en-US" w:eastAsia="zh-CN"/>
              </w:rPr>
              <w:t>+1t/a</w:t>
            </w:r>
          </w:p>
        </w:tc>
      </w:tr>
    </w:tbl>
    <w:p w14:paraId="49AD0B9D">
      <w:pPr>
        <w:pStyle w:val="24"/>
        <w:spacing w:before="192" w:beforeLines="80" w:after="24"/>
        <w:jc w:val="left"/>
        <w:rPr>
          <w:rFonts w:hint="eastAsia" w:ascii="Times New Roman" w:eastAsia="宋体"/>
          <w:snapToGrid w:val="0"/>
          <w:color w:val="auto"/>
          <w:spacing w:val="-6"/>
          <w:kern w:val="21"/>
          <w:szCs w:val="21"/>
          <w:lang w:eastAsia="zh-CN"/>
        </w:rPr>
      </w:pPr>
      <w:r>
        <w:rPr>
          <w:rFonts w:ascii="Times New Roman"/>
          <w:snapToGrid w:val="0"/>
          <w:color w:val="auto"/>
          <w:kern w:val="21"/>
          <w:szCs w:val="21"/>
        </w:rPr>
        <w:t>注：</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Cambria Math" w:hAnsi="Cambria Math" w:cs="Cambria Math"/>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Cambria Math" w:hAnsi="Cambria Math" w:cs="Cambria Math"/>
          <w:color w:val="auto"/>
          <w:szCs w:val="21"/>
        </w:rPr>
        <w:t>①</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3 \* GB3 \* MERGEFORMAT </w:instrText>
      </w:r>
      <w:r>
        <w:rPr>
          <w:rFonts w:ascii="Times New Roman"/>
          <w:snapToGrid w:val="0"/>
          <w:color w:val="auto"/>
          <w:spacing w:val="-6"/>
          <w:kern w:val="21"/>
          <w:szCs w:val="21"/>
        </w:rPr>
        <w:fldChar w:fldCharType="separate"/>
      </w:r>
      <w:r>
        <w:rPr>
          <w:rFonts w:ascii="Cambria Math" w:hAnsi="Cambria Math" w:cs="Cambria Math"/>
          <w:color w:val="auto"/>
          <w:szCs w:val="21"/>
        </w:rPr>
        <w:t>③</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4 \* GB3 \* MERGEFORMAT </w:instrText>
      </w:r>
      <w:r>
        <w:rPr>
          <w:rFonts w:ascii="Times New Roman"/>
          <w:snapToGrid w:val="0"/>
          <w:color w:val="auto"/>
          <w:spacing w:val="-6"/>
          <w:kern w:val="21"/>
          <w:szCs w:val="21"/>
        </w:rPr>
        <w:fldChar w:fldCharType="separate"/>
      </w:r>
      <w:r>
        <w:rPr>
          <w:rFonts w:ascii="Cambria Math" w:hAnsi="Cambria Math" w:cs="Cambria Math"/>
          <w:color w:val="auto"/>
          <w:szCs w:val="21"/>
        </w:rPr>
        <w:t>④</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5 \* GB3 \* MERGEFORMAT </w:instrText>
      </w:r>
      <w:r>
        <w:rPr>
          <w:rFonts w:ascii="Times New Roman"/>
          <w:snapToGrid w:val="0"/>
          <w:color w:val="auto"/>
          <w:spacing w:val="-16"/>
          <w:kern w:val="21"/>
          <w:szCs w:val="21"/>
        </w:rPr>
        <w:fldChar w:fldCharType="separate"/>
      </w:r>
      <w:r>
        <w:rPr>
          <w:rFonts w:ascii="Cambria Math" w:hAnsi="Cambria Math" w:cs="Cambria Math"/>
          <w:color w:val="auto"/>
          <w:szCs w:val="21"/>
        </w:rPr>
        <w:t>⑤</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7 \* GB3 \* MERGEFORMAT </w:instrText>
      </w:r>
      <w:r>
        <w:rPr>
          <w:rFonts w:ascii="Times New Roman"/>
          <w:snapToGrid w:val="0"/>
          <w:color w:val="auto"/>
          <w:spacing w:val="-6"/>
          <w:kern w:val="21"/>
          <w:szCs w:val="21"/>
        </w:rPr>
        <w:fldChar w:fldCharType="separate"/>
      </w:r>
      <w:r>
        <w:rPr>
          <w:rFonts w:ascii="Cambria Math" w:hAnsi="Cambria Math" w:cs="Cambria Math"/>
          <w:color w:val="auto"/>
          <w:szCs w:val="21"/>
        </w:rPr>
        <w:t>⑦</w:t>
      </w:r>
      <w:r>
        <w:rPr>
          <w:rFonts w:ascii="Times New Roman"/>
          <w:snapToGrid w:val="0"/>
          <w:color w:val="auto"/>
          <w:spacing w:val="-6"/>
          <w:kern w:val="21"/>
          <w:szCs w:val="21"/>
        </w:rPr>
        <w:fldChar w:fldCharType="end"/>
      </w:r>
      <w:r>
        <w:rPr>
          <w:rFonts w:ascii="Times New Roman"/>
          <w:snapToGrid w:val="0"/>
          <w:color w:val="auto"/>
          <w:spacing w:val="-6"/>
          <w:kern w:val="21"/>
          <w:szCs w:val="21"/>
        </w:rPr>
        <w:t>=</w:t>
      </w:r>
      <w:r>
        <w:rPr>
          <w:rFonts w:ascii="Times New Roman"/>
          <w:snapToGrid w:val="0"/>
          <w:color w:val="auto"/>
          <w:spacing w:val="-16"/>
          <w:kern w:val="21"/>
          <w:szCs w:val="21"/>
        </w:rPr>
        <w:fldChar w:fldCharType="begin"/>
      </w:r>
      <w:r>
        <w:rPr>
          <w:rFonts w:ascii="Times New Roman"/>
          <w:snapToGrid w:val="0"/>
          <w:color w:val="auto"/>
          <w:spacing w:val="-16"/>
          <w:kern w:val="21"/>
          <w:szCs w:val="21"/>
        </w:rPr>
        <w:instrText xml:space="preserve"> = 6 \* GB3 \* MERGEFORMAT </w:instrText>
      </w:r>
      <w:r>
        <w:rPr>
          <w:rFonts w:ascii="Times New Roman"/>
          <w:snapToGrid w:val="0"/>
          <w:color w:val="auto"/>
          <w:spacing w:val="-16"/>
          <w:kern w:val="21"/>
          <w:szCs w:val="21"/>
        </w:rPr>
        <w:fldChar w:fldCharType="separate"/>
      </w:r>
      <w:r>
        <w:rPr>
          <w:rFonts w:ascii="Cambria Math" w:hAnsi="Cambria Math" w:cs="Cambria Math"/>
          <w:color w:val="auto"/>
          <w:szCs w:val="21"/>
        </w:rPr>
        <w:t>⑥</w:t>
      </w:r>
      <w:r>
        <w:rPr>
          <w:rFonts w:ascii="Times New Roman"/>
          <w:snapToGrid w:val="0"/>
          <w:color w:val="auto"/>
          <w:spacing w:val="-16"/>
          <w:kern w:val="21"/>
          <w:szCs w:val="21"/>
        </w:rPr>
        <w:fldChar w:fldCharType="end"/>
      </w:r>
      <w:r>
        <w:rPr>
          <w:rFonts w:ascii="Times New Roman"/>
          <w:snapToGrid w:val="0"/>
          <w:color w:val="auto"/>
          <w:spacing w:val="-16"/>
          <w:kern w:val="21"/>
          <w:szCs w:val="21"/>
        </w:rPr>
        <w:t>-</w:t>
      </w:r>
      <w:r>
        <w:rPr>
          <w:rFonts w:ascii="Times New Roman"/>
          <w:snapToGrid w:val="0"/>
          <w:color w:val="auto"/>
          <w:spacing w:val="-6"/>
          <w:kern w:val="21"/>
          <w:szCs w:val="21"/>
        </w:rPr>
        <w:fldChar w:fldCharType="begin"/>
      </w:r>
      <w:r>
        <w:rPr>
          <w:rFonts w:ascii="Times New Roman"/>
          <w:snapToGrid w:val="0"/>
          <w:color w:val="auto"/>
          <w:spacing w:val="-6"/>
          <w:kern w:val="21"/>
          <w:szCs w:val="21"/>
        </w:rPr>
        <w:instrText xml:space="preserve"> = 1 \* GB3 \* MERGEFORMAT </w:instrText>
      </w:r>
      <w:r>
        <w:rPr>
          <w:rFonts w:ascii="Times New Roman"/>
          <w:snapToGrid w:val="0"/>
          <w:color w:val="auto"/>
          <w:spacing w:val="-6"/>
          <w:kern w:val="21"/>
          <w:szCs w:val="21"/>
        </w:rPr>
        <w:fldChar w:fldCharType="separate"/>
      </w:r>
      <w:r>
        <w:rPr>
          <w:rFonts w:ascii="Cambria Math" w:hAnsi="Cambria Math" w:cs="Cambria Math"/>
          <w:color w:val="auto"/>
          <w:szCs w:val="21"/>
        </w:rPr>
        <w:t>①</w:t>
      </w:r>
      <w:r>
        <w:rPr>
          <w:rFonts w:ascii="Times New Roman"/>
          <w:snapToGrid w:val="0"/>
          <w:color w:val="auto"/>
          <w:spacing w:val="-6"/>
          <w:kern w:val="21"/>
          <w:szCs w:val="21"/>
        </w:rPr>
        <w:fldChar w:fldCharType="end"/>
      </w:r>
      <w:r>
        <w:rPr>
          <w:rFonts w:hint="eastAsia" w:ascii="Times New Roman"/>
          <w:snapToGrid w:val="0"/>
          <w:color w:val="auto"/>
          <w:spacing w:val="-6"/>
          <w:kern w:val="21"/>
          <w:szCs w:val="21"/>
          <w:lang w:eastAsia="zh-CN"/>
        </w:rPr>
        <w:t>。</w:t>
      </w:r>
    </w:p>
    <w:p w14:paraId="22374B5A">
      <w:pPr>
        <w:rPr>
          <w:color w:val="auto"/>
        </w:rPr>
      </w:pPr>
    </w:p>
    <w:sectPr>
      <w:footerReference r:id="rId6" w:type="default"/>
      <w:pgSz w:w="11906" w:h="16838"/>
      <w:pgMar w:top="1276" w:right="991" w:bottom="1276" w:left="1134"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06F" w:usb1="1200FBEF" w:usb2="0064C000" w:usb3="00000002" w:csb0="00000001" w:csb1="40000000"/>
  </w:font>
  <w:font w:name="Wingdings 2">
    <w:altName w:val="Wingdings"/>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2FF" w:usb1="420024FF" w:usb2="00000000" w:usb3="00000000" w:csb0="2000019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4B217">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8D0C">
    <w:pPr>
      <w:pStyle w:val="11"/>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14:paraId="56FE0350">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6DC65">
    <w:pPr>
      <w:pStyle w:val="11"/>
      <w:jc w:val="center"/>
    </w:pPr>
    <w:r>
      <w:fldChar w:fldCharType="begin"/>
    </w:r>
    <w:r>
      <w:instrText xml:space="preserve">PAGE   \* MERGEFORMAT</w:instrText>
    </w:r>
    <w:r>
      <w:fldChar w:fldCharType="separate"/>
    </w:r>
    <w:r>
      <w:rPr>
        <w:lang w:val="zh-CN"/>
      </w:rPr>
      <w:t>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A82FA">
    <w:pPr>
      <w:pStyle w:val="11"/>
      <w:ind w:right="360" w:firstLine="360"/>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jMDhkMmVkZTM1MzQ5ODgzNDRjMjIxYTIwNTA3NDMifQ=="/>
  </w:docVars>
  <w:rsids>
    <w:rsidRoot w:val="00172A27"/>
    <w:rsid w:val="00002B95"/>
    <w:rsid w:val="00004541"/>
    <w:rsid w:val="000074C8"/>
    <w:rsid w:val="00011692"/>
    <w:rsid w:val="000122F6"/>
    <w:rsid w:val="000155E0"/>
    <w:rsid w:val="00024163"/>
    <w:rsid w:val="00030AAA"/>
    <w:rsid w:val="000425F5"/>
    <w:rsid w:val="00042BA7"/>
    <w:rsid w:val="000442C6"/>
    <w:rsid w:val="00045695"/>
    <w:rsid w:val="00050EFD"/>
    <w:rsid w:val="000536C3"/>
    <w:rsid w:val="000537B3"/>
    <w:rsid w:val="00070A1A"/>
    <w:rsid w:val="0007210A"/>
    <w:rsid w:val="000744E1"/>
    <w:rsid w:val="000957D7"/>
    <w:rsid w:val="000B6F8F"/>
    <w:rsid w:val="000C45DD"/>
    <w:rsid w:val="000C59BD"/>
    <w:rsid w:val="000D4FE2"/>
    <w:rsid w:val="000E1E4C"/>
    <w:rsid w:val="000F0E7F"/>
    <w:rsid w:val="000F2EFD"/>
    <w:rsid w:val="000F723D"/>
    <w:rsid w:val="001011B2"/>
    <w:rsid w:val="001015A1"/>
    <w:rsid w:val="001071F7"/>
    <w:rsid w:val="001138AD"/>
    <w:rsid w:val="00121B1D"/>
    <w:rsid w:val="0012390D"/>
    <w:rsid w:val="001244D4"/>
    <w:rsid w:val="0013603E"/>
    <w:rsid w:val="00136F0C"/>
    <w:rsid w:val="001441E3"/>
    <w:rsid w:val="0015460F"/>
    <w:rsid w:val="001642C1"/>
    <w:rsid w:val="00167C6C"/>
    <w:rsid w:val="00174A8D"/>
    <w:rsid w:val="00176352"/>
    <w:rsid w:val="00185081"/>
    <w:rsid w:val="0019059F"/>
    <w:rsid w:val="0019112D"/>
    <w:rsid w:val="00191ECA"/>
    <w:rsid w:val="0019469A"/>
    <w:rsid w:val="001A0C8C"/>
    <w:rsid w:val="001A26BB"/>
    <w:rsid w:val="001A3342"/>
    <w:rsid w:val="001A441E"/>
    <w:rsid w:val="001B6B31"/>
    <w:rsid w:val="001D6532"/>
    <w:rsid w:val="001E0FCA"/>
    <w:rsid w:val="001E489E"/>
    <w:rsid w:val="001E7E93"/>
    <w:rsid w:val="001F3741"/>
    <w:rsid w:val="001F5C85"/>
    <w:rsid w:val="002012D6"/>
    <w:rsid w:val="0020215E"/>
    <w:rsid w:val="00220DDD"/>
    <w:rsid w:val="00234292"/>
    <w:rsid w:val="002452B8"/>
    <w:rsid w:val="00252502"/>
    <w:rsid w:val="00276C09"/>
    <w:rsid w:val="0028686D"/>
    <w:rsid w:val="0029527D"/>
    <w:rsid w:val="002A0C0D"/>
    <w:rsid w:val="002A3824"/>
    <w:rsid w:val="002B4F07"/>
    <w:rsid w:val="002C3FA4"/>
    <w:rsid w:val="002C45BF"/>
    <w:rsid w:val="002D225B"/>
    <w:rsid w:val="002E1465"/>
    <w:rsid w:val="002E33D5"/>
    <w:rsid w:val="002F40AE"/>
    <w:rsid w:val="003052FA"/>
    <w:rsid w:val="00311049"/>
    <w:rsid w:val="00312DBA"/>
    <w:rsid w:val="003142D3"/>
    <w:rsid w:val="003164D1"/>
    <w:rsid w:val="00317843"/>
    <w:rsid w:val="00320B5B"/>
    <w:rsid w:val="00321F61"/>
    <w:rsid w:val="00322632"/>
    <w:rsid w:val="003456B0"/>
    <w:rsid w:val="00350A10"/>
    <w:rsid w:val="003550A8"/>
    <w:rsid w:val="00355CC2"/>
    <w:rsid w:val="00363B04"/>
    <w:rsid w:val="0037360D"/>
    <w:rsid w:val="0037628B"/>
    <w:rsid w:val="00380ADA"/>
    <w:rsid w:val="00394F61"/>
    <w:rsid w:val="00396A8B"/>
    <w:rsid w:val="003B25C0"/>
    <w:rsid w:val="003B436D"/>
    <w:rsid w:val="003C4DFF"/>
    <w:rsid w:val="003D119D"/>
    <w:rsid w:val="003E654E"/>
    <w:rsid w:val="003E708F"/>
    <w:rsid w:val="003F05C1"/>
    <w:rsid w:val="003F06F0"/>
    <w:rsid w:val="003F7EF6"/>
    <w:rsid w:val="004056F9"/>
    <w:rsid w:val="004334A1"/>
    <w:rsid w:val="00434BBF"/>
    <w:rsid w:val="00441472"/>
    <w:rsid w:val="004447B4"/>
    <w:rsid w:val="00447980"/>
    <w:rsid w:val="00452B45"/>
    <w:rsid w:val="004636FB"/>
    <w:rsid w:val="00467DF9"/>
    <w:rsid w:val="00472650"/>
    <w:rsid w:val="00475713"/>
    <w:rsid w:val="00487F21"/>
    <w:rsid w:val="0049667B"/>
    <w:rsid w:val="004A31EA"/>
    <w:rsid w:val="004A4245"/>
    <w:rsid w:val="004B5178"/>
    <w:rsid w:val="004C149C"/>
    <w:rsid w:val="004D48D2"/>
    <w:rsid w:val="004F1759"/>
    <w:rsid w:val="0050090A"/>
    <w:rsid w:val="005161E7"/>
    <w:rsid w:val="00516A3C"/>
    <w:rsid w:val="005174A3"/>
    <w:rsid w:val="00517CE7"/>
    <w:rsid w:val="00522E46"/>
    <w:rsid w:val="005351F9"/>
    <w:rsid w:val="00535704"/>
    <w:rsid w:val="00537E7E"/>
    <w:rsid w:val="0054239B"/>
    <w:rsid w:val="00545B10"/>
    <w:rsid w:val="005530EB"/>
    <w:rsid w:val="00554FE6"/>
    <w:rsid w:val="005674FE"/>
    <w:rsid w:val="00577D25"/>
    <w:rsid w:val="005857A7"/>
    <w:rsid w:val="005907EC"/>
    <w:rsid w:val="005964CA"/>
    <w:rsid w:val="005A02FA"/>
    <w:rsid w:val="005A37F1"/>
    <w:rsid w:val="005A6EE5"/>
    <w:rsid w:val="005A725B"/>
    <w:rsid w:val="005B3776"/>
    <w:rsid w:val="005B44F1"/>
    <w:rsid w:val="005C37F4"/>
    <w:rsid w:val="005C383E"/>
    <w:rsid w:val="005C661A"/>
    <w:rsid w:val="005C71B2"/>
    <w:rsid w:val="005C7249"/>
    <w:rsid w:val="005D1FCC"/>
    <w:rsid w:val="005D2ABA"/>
    <w:rsid w:val="005D54CF"/>
    <w:rsid w:val="005D6010"/>
    <w:rsid w:val="005E2D01"/>
    <w:rsid w:val="005E2D0D"/>
    <w:rsid w:val="005E48F1"/>
    <w:rsid w:val="005E5CB8"/>
    <w:rsid w:val="005F7649"/>
    <w:rsid w:val="00600A33"/>
    <w:rsid w:val="00603B77"/>
    <w:rsid w:val="00625B6E"/>
    <w:rsid w:val="006453C7"/>
    <w:rsid w:val="00645715"/>
    <w:rsid w:val="00652CE7"/>
    <w:rsid w:val="00657C8F"/>
    <w:rsid w:val="0066189E"/>
    <w:rsid w:val="00663E7C"/>
    <w:rsid w:val="00675C56"/>
    <w:rsid w:val="00676A0A"/>
    <w:rsid w:val="00683AA5"/>
    <w:rsid w:val="0069069D"/>
    <w:rsid w:val="00692EFF"/>
    <w:rsid w:val="006A5DF5"/>
    <w:rsid w:val="006B12E7"/>
    <w:rsid w:val="006B1C77"/>
    <w:rsid w:val="006C1A55"/>
    <w:rsid w:val="006C2CE8"/>
    <w:rsid w:val="006C2ED2"/>
    <w:rsid w:val="006C7282"/>
    <w:rsid w:val="006D7836"/>
    <w:rsid w:val="006D7C1F"/>
    <w:rsid w:val="006F0AEC"/>
    <w:rsid w:val="006F1A08"/>
    <w:rsid w:val="006F2861"/>
    <w:rsid w:val="007107D8"/>
    <w:rsid w:val="00713B5B"/>
    <w:rsid w:val="00723EB8"/>
    <w:rsid w:val="007258C9"/>
    <w:rsid w:val="0073672E"/>
    <w:rsid w:val="0074063E"/>
    <w:rsid w:val="00743763"/>
    <w:rsid w:val="00743BE6"/>
    <w:rsid w:val="00743C07"/>
    <w:rsid w:val="00763B7D"/>
    <w:rsid w:val="00771254"/>
    <w:rsid w:val="00771829"/>
    <w:rsid w:val="00781EEE"/>
    <w:rsid w:val="007A08E0"/>
    <w:rsid w:val="007A0FB5"/>
    <w:rsid w:val="007A15C7"/>
    <w:rsid w:val="007A175A"/>
    <w:rsid w:val="007A7D27"/>
    <w:rsid w:val="007C027D"/>
    <w:rsid w:val="007C47D8"/>
    <w:rsid w:val="007C6A31"/>
    <w:rsid w:val="007D315D"/>
    <w:rsid w:val="007D4AD6"/>
    <w:rsid w:val="007E1E9D"/>
    <w:rsid w:val="007E2459"/>
    <w:rsid w:val="007E41B1"/>
    <w:rsid w:val="007F0238"/>
    <w:rsid w:val="007F1729"/>
    <w:rsid w:val="007F54A4"/>
    <w:rsid w:val="00801C75"/>
    <w:rsid w:val="0080405E"/>
    <w:rsid w:val="00805D6E"/>
    <w:rsid w:val="0081089A"/>
    <w:rsid w:val="008350F4"/>
    <w:rsid w:val="00842232"/>
    <w:rsid w:val="008511C5"/>
    <w:rsid w:val="00851A8C"/>
    <w:rsid w:val="00860E75"/>
    <w:rsid w:val="00872C0D"/>
    <w:rsid w:val="00884D95"/>
    <w:rsid w:val="00890F55"/>
    <w:rsid w:val="008A01F4"/>
    <w:rsid w:val="008A22CF"/>
    <w:rsid w:val="008B0A06"/>
    <w:rsid w:val="008B2E76"/>
    <w:rsid w:val="008C059B"/>
    <w:rsid w:val="008C69AF"/>
    <w:rsid w:val="00905E60"/>
    <w:rsid w:val="00916EE1"/>
    <w:rsid w:val="0093701F"/>
    <w:rsid w:val="00940FAD"/>
    <w:rsid w:val="0094399E"/>
    <w:rsid w:val="00944F40"/>
    <w:rsid w:val="00946BA1"/>
    <w:rsid w:val="00946F9C"/>
    <w:rsid w:val="00960078"/>
    <w:rsid w:val="0097279A"/>
    <w:rsid w:val="00982A9B"/>
    <w:rsid w:val="00985583"/>
    <w:rsid w:val="009A1129"/>
    <w:rsid w:val="009A2242"/>
    <w:rsid w:val="009B346E"/>
    <w:rsid w:val="009B7836"/>
    <w:rsid w:val="009C17E8"/>
    <w:rsid w:val="009D7A4F"/>
    <w:rsid w:val="009E4211"/>
    <w:rsid w:val="009E7834"/>
    <w:rsid w:val="009F38A4"/>
    <w:rsid w:val="00A0248E"/>
    <w:rsid w:val="00A037AE"/>
    <w:rsid w:val="00A134C9"/>
    <w:rsid w:val="00A34693"/>
    <w:rsid w:val="00A50C85"/>
    <w:rsid w:val="00A51829"/>
    <w:rsid w:val="00A5702D"/>
    <w:rsid w:val="00A710A3"/>
    <w:rsid w:val="00A75302"/>
    <w:rsid w:val="00AA0F48"/>
    <w:rsid w:val="00AA4088"/>
    <w:rsid w:val="00AB1892"/>
    <w:rsid w:val="00AB36DD"/>
    <w:rsid w:val="00AB5DB9"/>
    <w:rsid w:val="00AB6DA8"/>
    <w:rsid w:val="00AD508B"/>
    <w:rsid w:val="00AD60FC"/>
    <w:rsid w:val="00AD7D86"/>
    <w:rsid w:val="00AF08AF"/>
    <w:rsid w:val="00B07AAF"/>
    <w:rsid w:val="00B135FF"/>
    <w:rsid w:val="00B22D11"/>
    <w:rsid w:val="00B26AC1"/>
    <w:rsid w:val="00B34734"/>
    <w:rsid w:val="00B50C8E"/>
    <w:rsid w:val="00B623C3"/>
    <w:rsid w:val="00B658AF"/>
    <w:rsid w:val="00B775FE"/>
    <w:rsid w:val="00B938F1"/>
    <w:rsid w:val="00BA2517"/>
    <w:rsid w:val="00BA73AA"/>
    <w:rsid w:val="00BB4737"/>
    <w:rsid w:val="00BC1324"/>
    <w:rsid w:val="00BC5FE0"/>
    <w:rsid w:val="00BC7B50"/>
    <w:rsid w:val="00BE43DE"/>
    <w:rsid w:val="00BE6BD8"/>
    <w:rsid w:val="00C06E6A"/>
    <w:rsid w:val="00C16B5C"/>
    <w:rsid w:val="00C2380F"/>
    <w:rsid w:val="00C245E3"/>
    <w:rsid w:val="00C36C9C"/>
    <w:rsid w:val="00C41E28"/>
    <w:rsid w:val="00C429E1"/>
    <w:rsid w:val="00C47A66"/>
    <w:rsid w:val="00C514F0"/>
    <w:rsid w:val="00C5152E"/>
    <w:rsid w:val="00C52ACC"/>
    <w:rsid w:val="00C65787"/>
    <w:rsid w:val="00C710CC"/>
    <w:rsid w:val="00C75E83"/>
    <w:rsid w:val="00C83131"/>
    <w:rsid w:val="00C8515B"/>
    <w:rsid w:val="00C85A81"/>
    <w:rsid w:val="00C90939"/>
    <w:rsid w:val="00C93A62"/>
    <w:rsid w:val="00C966DD"/>
    <w:rsid w:val="00CA4E91"/>
    <w:rsid w:val="00CB00F2"/>
    <w:rsid w:val="00CB17D9"/>
    <w:rsid w:val="00CB1995"/>
    <w:rsid w:val="00CC26D3"/>
    <w:rsid w:val="00CE0AAE"/>
    <w:rsid w:val="00CE1ED2"/>
    <w:rsid w:val="00CF18E6"/>
    <w:rsid w:val="00D05EEE"/>
    <w:rsid w:val="00D15161"/>
    <w:rsid w:val="00D20E6D"/>
    <w:rsid w:val="00D220DE"/>
    <w:rsid w:val="00D22E2D"/>
    <w:rsid w:val="00D24C8C"/>
    <w:rsid w:val="00D27A2B"/>
    <w:rsid w:val="00D51E67"/>
    <w:rsid w:val="00D564AD"/>
    <w:rsid w:val="00D56B58"/>
    <w:rsid w:val="00D65203"/>
    <w:rsid w:val="00D71651"/>
    <w:rsid w:val="00D74D44"/>
    <w:rsid w:val="00D801E0"/>
    <w:rsid w:val="00D81474"/>
    <w:rsid w:val="00D847E8"/>
    <w:rsid w:val="00DA67FF"/>
    <w:rsid w:val="00DA7E8D"/>
    <w:rsid w:val="00DB5391"/>
    <w:rsid w:val="00DC6A47"/>
    <w:rsid w:val="00DD1EF5"/>
    <w:rsid w:val="00DD3842"/>
    <w:rsid w:val="00DE1BDC"/>
    <w:rsid w:val="00DF2CE6"/>
    <w:rsid w:val="00DF4450"/>
    <w:rsid w:val="00DF46AF"/>
    <w:rsid w:val="00DF7613"/>
    <w:rsid w:val="00E06479"/>
    <w:rsid w:val="00E06FA3"/>
    <w:rsid w:val="00E1013D"/>
    <w:rsid w:val="00E2063C"/>
    <w:rsid w:val="00E225E5"/>
    <w:rsid w:val="00E24D9F"/>
    <w:rsid w:val="00E30045"/>
    <w:rsid w:val="00E3356C"/>
    <w:rsid w:val="00E36D90"/>
    <w:rsid w:val="00E5069F"/>
    <w:rsid w:val="00E5166A"/>
    <w:rsid w:val="00E550D3"/>
    <w:rsid w:val="00E60652"/>
    <w:rsid w:val="00E65D0C"/>
    <w:rsid w:val="00E707A7"/>
    <w:rsid w:val="00E769AF"/>
    <w:rsid w:val="00E771FE"/>
    <w:rsid w:val="00E777E2"/>
    <w:rsid w:val="00E9025C"/>
    <w:rsid w:val="00E90EEE"/>
    <w:rsid w:val="00E95AF3"/>
    <w:rsid w:val="00EB3C1B"/>
    <w:rsid w:val="00EB3FD6"/>
    <w:rsid w:val="00EB5EA4"/>
    <w:rsid w:val="00EB6995"/>
    <w:rsid w:val="00EC34D1"/>
    <w:rsid w:val="00EC583F"/>
    <w:rsid w:val="00ED098D"/>
    <w:rsid w:val="00ED1629"/>
    <w:rsid w:val="00ED21F1"/>
    <w:rsid w:val="00ED331E"/>
    <w:rsid w:val="00ED3F10"/>
    <w:rsid w:val="00EE5F55"/>
    <w:rsid w:val="00F02153"/>
    <w:rsid w:val="00F0668E"/>
    <w:rsid w:val="00F213A7"/>
    <w:rsid w:val="00F21747"/>
    <w:rsid w:val="00F24610"/>
    <w:rsid w:val="00F248C9"/>
    <w:rsid w:val="00F252AD"/>
    <w:rsid w:val="00F26E40"/>
    <w:rsid w:val="00F3099C"/>
    <w:rsid w:val="00F350BE"/>
    <w:rsid w:val="00F53F97"/>
    <w:rsid w:val="00F60705"/>
    <w:rsid w:val="00F6339B"/>
    <w:rsid w:val="00F7000F"/>
    <w:rsid w:val="00F76F8C"/>
    <w:rsid w:val="00F82145"/>
    <w:rsid w:val="00F82B0B"/>
    <w:rsid w:val="00FA588B"/>
    <w:rsid w:val="00FB64A8"/>
    <w:rsid w:val="00FB6B9C"/>
    <w:rsid w:val="00FC2FB8"/>
    <w:rsid w:val="00FC3A04"/>
    <w:rsid w:val="00FD5D4B"/>
    <w:rsid w:val="00FE300E"/>
    <w:rsid w:val="00FE366C"/>
    <w:rsid w:val="00FE5758"/>
    <w:rsid w:val="00FE6E09"/>
    <w:rsid w:val="00FF0D01"/>
    <w:rsid w:val="00FF0D02"/>
    <w:rsid w:val="01207CCA"/>
    <w:rsid w:val="01E74ACC"/>
    <w:rsid w:val="03125B78"/>
    <w:rsid w:val="037E6D6A"/>
    <w:rsid w:val="059565ED"/>
    <w:rsid w:val="06761402"/>
    <w:rsid w:val="06976AC0"/>
    <w:rsid w:val="074B3407"/>
    <w:rsid w:val="08252B72"/>
    <w:rsid w:val="08B84ACC"/>
    <w:rsid w:val="093700E7"/>
    <w:rsid w:val="0A305471"/>
    <w:rsid w:val="0CA05FA3"/>
    <w:rsid w:val="0CE15C60"/>
    <w:rsid w:val="0E3F3599"/>
    <w:rsid w:val="0E5C3AD2"/>
    <w:rsid w:val="0E7121DC"/>
    <w:rsid w:val="0F0E560D"/>
    <w:rsid w:val="1050688C"/>
    <w:rsid w:val="12301B77"/>
    <w:rsid w:val="132C1FB2"/>
    <w:rsid w:val="134A6C68"/>
    <w:rsid w:val="13F45646"/>
    <w:rsid w:val="15B025D8"/>
    <w:rsid w:val="184C6FDF"/>
    <w:rsid w:val="185D2F9A"/>
    <w:rsid w:val="1890336F"/>
    <w:rsid w:val="18DA45EA"/>
    <w:rsid w:val="18E84F59"/>
    <w:rsid w:val="19372DD5"/>
    <w:rsid w:val="19DF017E"/>
    <w:rsid w:val="1AA93F5F"/>
    <w:rsid w:val="1BFA35F5"/>
    <w:rsid w:val="1D24780E"/>
    <w:rsid w:val="1D3D1123"/>
    <w:rsid w:val="1E373AB0"/>
    <w:rsid w:val="1E7E3139"/>
    <w:rsid w:val="220903C1"/>
    <w:rsid w:val="23894D11"/>
    <w:rsid w:val="24690EA8"/>
    <w:rsid w:val="24771887"/>
    <w:rsid w:val="25363863"/>
    <w:rsid w:val="27FD667E"/>
    <w:rsid w:val="28375B2E"/>
    <w:rsid w:val="283C2BC0"/>
    <w:rsid w:val="283C2BCC"/>
    <w:rsid w:val="2A410680"/>
    <w:rsid w:val="2A9D36CA"/>
    <w:rsid w:val="2B7B131F"/>
    <w:rsid w:val="2B8D2153"/>
    <w:rsid w:val="2BA271EA"/>
    <w:rsid w:val="2BC71186"/>
    <w:rsid w:val="2D764C9B"/>
    <w:rsid w:val="2F642A08"/>
    <w:rsid w:val="32455894"/>
    <w:rsid w:val="3293788C"/>
    <w:rsid w:val="32A72EF6"/>
    <w:rsid w:val="331F6369"/>
    <w:rsid w:val="33552D94"/>
    <w:rsid w:val="33ED121E"/>
    <w:rsid w:val="353E0766"/>
    <w:rsid w:val="355157DD"/>
    <w:rsid w:val="35727C2D"/>
    <w:rsid w:val="359418B3"/>
    <w:rsid w:val="36DD557A"/>
    <w:rsid w:val="37FD1ED2"/>
    <w:rsid w:val="385C4BC4"/>
    <w:rsid w:val="39180AEB"/>
    <w:rsid w:val="3AA34435"/>
    <w:rsid w:val="3B6C3370"/>
    <w:rsid w:val="3B8701AA"/>
    <w:rsid w:val="3BAE5737"/>
    <w:rsid w:val="3E8B55CC"/>
    <w:rsid w:val="3F8926D5"/>
    <w:rsid w:val="3FA13A1C"/>
    <w:rsid w:val="40141AB8"/>
    <w:rsid w:val="418F41B4"/>
    <w:rsid w:val="41E30365"/>
    <w:rsid w:val="42543B0A"/>
    <w:rsid w:val="42C76054"/>
    <w:rsid w:val="44095C00"/>
    <w:rsid w:val="45EA75D4"/>
    <w:rsid w:val="48B907AE"/>
    <w:rsid w:val="490A5710"/>
    <w:rsid w:val="4A3C0B62"/>
    <w:rsid w:val="4A3D5016"/>
    <w:rsid w:val="4A872B58"/>
    <w:rsid w:val="4BEE392E"/>
    <w:rsid w:val="4CCF550D"/>
    <w:rsid w:val="4CDF5745"/>
    <w:rsid w:val="4DED7D8D"/>
    <w:rsid w:val="4E494F67"/>
    <w:rsid w:val="4E99401C"/>
    <w:rsid w:val="4F754BD6"/>
    <w:rsid w:val="4F86001B"/>
    <w:rsid w:val="4FCC3F86"/>
    <w:rsid w:val="4FD40D5D"/>
    <w:rsid w:val="50F35F85"/>
    <w:rsid w:val="510D4856"/>
    <w:rsid w:val="5114655F"/>
    <w:rsid w:val="513573BA"/>
    <w:rsid w:val="53065A01"/>
    <w:rsid w:val="53187450"/>
    <w:rsid w:val="537961D3"/>
    <w:rsid w:val="54F2117E"/>
    <w:rsid w:val="557C0051"/>
    <w:rsid w:val="55E02539"/>
    <w:rsid w:val="56AA3549"/>
    <w:rsid w:val="57B255DF"/>
    <w:rsid w:val="58356E2B"/>
    <w:rsid w:val="59030A18"/>
    <w:rsid w:val="5955323E"/>
    <w:rsid w:val="59E949AA"/>
    <w:rsid w:val="5AB83BF8"/>
    <w:rsid w:val="5B426C68"/>
    <w:rsid w:val="5BE2700B"/>
    <w:rsid w:val="5BFC5BF3"/>
    <w:rsid w:val="5CFB5EAA"/>
    <w:rsid w:val="5D1E0517"/>
    <w:rsid w:val="5D283143"/>
    <w:rsid w:val="5D6B54A8"/>
    <w:rsid w:val="5DB92C1F"/>
    <w:rsid w:val="5E704A1A"/>
    <w:rsid w:val="5EC10FC1"/>
    <w:rsid w:val="5F092B01"/>
    <w:rsid w:val="60350CE2"/>
    <w:rsid w:val="631C434D"/>
    <w:rsid w:val="63D35ECD"/>
    <w:rsid w:val="642A59F3"/>
    <w:rsid w:val="64354398"/>
    <w:rsid w:val="65B8702E"/>
    <w:rsid w:val="66673F1D"/>
    <w:rsid w:val="66881F21"/>
    <w:rsid w:val="66FC7AF6"/>
    <w:rsid w:val="670F7122"/>
    <w:rsid w:val="68CF123C"/>
    <w:rsid w:val="699047BE"/>
    <w:rsid w:val="6C6B4F62"/>
    <w:rsid w:val="6D541388"/>
    <w:rsid w:val="6EE16697"/>
    <w:rsid w:val="6EEA2290"/>
    <w:rsid w:val="6FE3639E"/>
    <w:rsid w:val="6FFFE446"/>
    <w:rsid w:val="70C6412A"/>
    <w:rsid w:val="70E231B1"/>
    <w:rsid w:val="71770614"/>
    <w:rsid w:val="724A3704"/>
    <w:rsid w:val="756D3EB3"/>
    <w:rsid w:val="75932CCC"/>
    <w:rsid w:val="77F35CA4"/>
    <w:rsid w:val="79357DED"/>
    <w:rsid w:val="7A37631C"/>
    <w:rsid w:val="7AF16E13"/>
    <w:rsid w:val="7B5E7DE4"/>
    <w:rsid w:val="7BE10C20"/>
    <w:rsid w:val="7C982661"/>
    <w:rsid w:val="7CA37DEC"/>
    <w:rsid w:val="7D601DCD"/>
    <w:rsid w:val="7FDB18A6"/>
    <w:rsid w:val="DEF69D7A"/>
    <w:rsid w:val="DFF9C6D7"/>
    <w:rsid w:val="EBBD3912"/>
    <w:rsid w:val="F63FF873"/>
    <w:rsid w:val="F97BDF65"/>
    <w:rsid w:val="FDF77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ind w:firstLine="420" w:firstLineChars="200"/>
    </w:pPr>
    <w:rPr>
      <w:rFonts w:ascii="Calibri" w:hAnsi="Calibri"/>
    </w:rPr>
  </w:style>
  <w:style w:type="paragraph" w:styleId="4">
    <w:name w:val="Body Text First Indent 2"/>
    <w:basedOn w:val="1"/>
    <w:next w:val="1"/>
    <w:qFormat/>
    <w:uiPriority w:val="0"/>
    <w:pPr>
      <w:ind w:firstLine="420" w:firstLineChars="200"/>
    </w:pPr>
    <w:rPr>
      <w:kern w:val="2"/>
      <w:sz w:val="21"/>
      <w:szCs w:val="24"/>
    </w:rPr>
  </w:style>
  <w:style w:type="paragraph" w:styleId="5">
    <w:name w:val="caption"/>
    <w:basedOn w:val="1"/>
    <w:next w:val="1"/>
    <w:qFormat/>
    <w:uiPriority w:val="0"/>
    <w:pPr>
      <w:adjustRightInd w:val="0"/>
      <w:snapToGrid w:val="0"/>
      <w:jc w:val="center"/>
    </w:pPr>
    <w:rPr>
      <w:rFonts w:ascii="Cambria" w:hAnsi="Cambria"/>
      <w:b/>
      <w:szCs w:val="20"/>
    </w:rPr>
  </w:style>
  <w:style w:type="paragraph" w:styleId="6">
    <w:name w:val="annotation text"/>
    <w:basedOn w:val="1"/>
    <w:link w:val="32"/>
    <w:qFormat/>
    <w:uiPriority w:val="0"/>
    <w:pPr>
      <w:jc w:val="left"/>
    </w:pPr>
  </w:style>
  <w:style w:type="paragraph" w:styleId="7">
    <w:name w:val="Body Text"/>
    <w:basedOn w:val="1"/>
    <w:next w:val="1"/>
    <w:link w:val="30"/>
    <w:qFormat/>
    <w:uiPriority w:val="0"/>
    <w:pPr>
      <w:widowControl/>
      <w:snapToGrid w:val="0"/>
      <w:spacing w:before="60" w:after="160" w:line="259" w:lineRule="auto"/>
      <w:ind w:right="113"/>
    </w:pPr>
    <w:rPr>
      <w:kern w:val="0"/>
      <w:sz w:val="18"/>
      <w:szCs w:val="20"/>
    </w:rPr>
  </w:style>
  <w:style w:type="paragraph" w:styleId="8">
    <w:name w:val="Body Text Indent"/>
    <w:basedOn w:val="1"/>
    <w:next w:val="1"/>
    <w:qFormat/>
    <w:uiPriority w:val="0"/>
    <w:pPr>
      <w:spacing w:after="120"/>
      <w:ind w:left="420" w:leftChars="200"/>
    </w:pPr>
    <w:rPr>
      <w:kern w:val="0"/>
      <w:sz w:val="24"/>
      <w:szCs w:val="20"/>
    </w:rPr>
  </w:style>
  <w:style w:type="paragraph" w:styleId="9">
    <w:name w:val="Block Text"/>
    <w:basedOn w:val="1"/>
    <w:qFormat/>
    <w:uiPriority w:val="0"/>
    <w:pPr>
      <w:ind w:left="1272" w:leftChars="601" w:right="-506" w:rightChars="-241" w:hanging="10" w:hangingChars="3"/>
    </w:pPr>
    <w:rPr>
      <w:sz w:val="32"/>
    </w:rPr>
  </w:style>
  <w:style w:type="paragraph" w:styleId="10">
    <w:name w:val="Plain Text"/>
    <w:basedOn w:val="1"/>
    <w:qFormat/>
    <w:uiPriority w:val="99"/>
    <w:pPr>
      <w:widowControl/>
      <w:spacing w:before="100" w:beforeAutospacing="1" w:after="100" w:afterAutospacing="1"/>
      <w:jc w:val="left"/>
    </w:pPr>
    <w:rPr>
      <w:rFonts w:ascii="ˎ̥" w:hAnsi="ˎ̥"/>
      <w:kern w:val="0"/>
      <w:sz w:val="18"/>
      <w:szCs w:val="18"/>
    </w:rPr>
  </w:style>
  <w:style w:type="paragraph" w:styleId="11">
    <w:name w:val="footer"/>
    <w:basedOn w:val="1"/>
    <w:qFormat/>
    <w:uiPriority w:val="99"/>
    <w:pPr>
      <w:tabs>
        <w:tab w:val="center" w:pos="4153"/>
        <w:tab w:val="right" w:pos="8306"/>
      </w:tabs>
      <w:snapToGrid w:val="0"/>
      <w:jc w:val="left"/>
    </w:pPr>
    <w:rPr>
      <w:kern w:val="0"/>
      <w:sz w:val="18"/>
      <w:szCs w:val="20"/>
    </w:rPr>
  </w:style>
  <w:style w:type="paragraph" w:styleId="12">
    <w:name w:val="header"/>
    <w:basedOn w:val="1"/>
    <w:link w:val="27"/>
    <w:qFormat/>
    <w:uiPriority w:val="0"/>
    <w:pPr>
      <w:tabs>
        <w:tab w:val="center" w:pos="4153"/>
        <w:tab w:val="right" w:pos="8306"/>
      </w:tabs>
      <w:snapToGrid w:val="0"/>
      <w:jc w:val="center"/>
    </w:pPr>
    <w:rPr>
      <w:sz w:val="18"/>
      <w:szCs w:val="18"/>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15">
    <w:name w:val="annotation subject"/>
    <w:basedOn w:val="6"/>
    <w:next w:val="6"/>
    <w:link w:val="33"/>
    <w:qFormat/>
    <w:uiPriority w:val="0"/>
    <w:rPr>
      <w:b/>
      <w:bCs/>
    </w:rPr>
  </w:style>
  <w:style w:type="paragraph" w:styleId="16">
    <w:name w:val="Body Text First Indent"/>
    <w:basedOn w:val="7"/>
    <w:link w:val="31"/>
    <w:qFormat/>
    <w:uiPriority w:val="0"/>
    <w:pPr>
      <w:widowControl w:val="0"/>
      <w:snapToGrid/>
      <w:spacing w:before="0" w:after="120" w:line="240" w:lineRule="auto"/>
      <w:ind w:right="0" w:firstLine="420" w:firstLineChars="100"/>
    </w:pPr>
    <w:rPr>
      <w:kern w:val="2"/>
      <w:sz w:val="21"/>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uiPriority w:val="0"/>
  </w:style>
  <w:style w:type="character" w:styleId="21">
    <w:name w:val="Hyperlink"/>
    <w:basedOn w:val="19"/>
    <w:qFormat/>
    <w:uiPriority w:val="0"/>
    <w:rPr>
      <w:color w:val="0000FF"/>
      <w:u w:val="single"/>
    </w:rPr>
  </w:style>
  <w:style w:type="character" w:styleId="22">
    <w:name w:val="annotation reference"/>
    <w:qFormat/>
    <w:uiPriority w:val="0"/>
    <w:rPr>
      <w:sz w:val="21"/>
    </w:rPr>
  </w:style>
  <w:style w:type="paragraph" w:customStyle="1" w:styleId="23">
    <w:name w:val="正文_4"/>
    <w:qFormat/>
    <w:uiPriority w:val="0"/>
    <w:pPr>
      <w:widowControl w:val="0"/>
      <w:jc w:val="both"/>
    </w:pPr>
    <w:rPr>
      <w:rFonts w:ascii="Calibri" w:hAnsi="Calibri" w:eastAsia="宋体" w:cs="Times New Roman"/>
      <w:kern w:val="2"/>
      <w:sz w:val="21"/>
      <w:lang w:val="en-US" w:eastAsia="zh-CN" w:bidi="ar-SA"/>
    </w:rPr>
  </w:style>
  <w:style w:type="paragraph" w:customStyle="1" w:styleId="24">
    <w:name w:val="表格"/>
    <w:basedOn w:val="1"/>
    <w:next w:val="1"/>
    <w:qFormat/>
    <w:uiPriority w:val="0"/>
    <w:pPr>
      <w:adjustRightInd w:val="0"/>
      <w:snapToGrid w:val="0"/>
      <w:spacing w:beforeLines="10" w:afterLines="10" w:line="259" w:lineRule="auto"/>
      <w:jc w:val="center"/>
    </w:pPr>
    <w:rPr>
      <w:rFonts w:ascii="宋体"/>
      <w:kern w:val="0"/>
      <w:szCs w:val="20"/>
    </w:rPr>
  </w:style>
  <w:style w:type="paragraph" w:customStyle="1" w:styleId="25">
    <w:name w:val="高-正文"/>
    <w:basedOn w:val="1"/>
    <w:qFormat/>
    <w:uiPriority w:val="0"/>
    <w:pPr>
      <w:topLinePunct/>
      <w:adjustRightInd w:val="0"/>
      <w:snapToGrid w:val="0"/>
      <w:spacing w:line="480" w:lineRule="exact"/>
      <w:ind w:firstLine="600" w:firstLineChars="200"/>
    </w:pPr>
    <w:rPr>
      <w:snapToGrid w:val="0"/>
      <w:kern w:val="0"/>
      <w:sz w:val="24"/>
    </w:rPr>
  </w:style>
  <w:style w:type="paragraph" w:customStyle="1" w:styleId="26">
    <w:name w:val="【表头】"/>
    <w:basedOn w:val="1"/>
    <w:qFormat/>
    <w:uiPriority w:val="0"/>
    <w:pPr>
      <w:adjustRightInd w:val="0"/>
      <w:snapToGrid w:val="0"/>
      <w:spacing w:line="360" w:lineRule="auto"/>
      <w:jc w:val="center"/>
    </w:pPr>
    <w:rPr>
      <w:b/>
      <w:bCs/>
      <w:sz w:val="24"/>
    </w:rPr>
  </w:style>
  <w:style w:type="character" w:customStyle="1" w:styleId="27">
    <w:name w:val="页眉 字符"/>
    <w:basedOn w:val="19"/>
    <w:link w:val="12"/>
    <w:qFormat/>
    <w:uiPriority w:val="0"/>
    <w:rPr>
      <w:kern w:val="2"/>
      <w:sz w:val="18"/>
      <w:szCs w:val="18"/>
    </w:rPr>
  </w:style>
  <w:style w:type="paragraph" w:customStyle="1" w:styleId="28">
    <w:name w:val="1正文"/>
    <w:basedOn w:val="1"/>
    <w:qFormat/>
    <w:uiPriority w:val="0"/>
    <w:pPr>
      <w:widowControl/>
      <w:adjustRightInd w:val="0"/>
      <w:snapToGrid w:val="0"/>
      <w:spacing w:line="360" w:lineRule="auto"/>
      <w:ind w:firstLine="200" w:firstLineChars="200"/>
    </w:pPr>
    <w:rPr>
      <w:color w:val="000000"/>
      <w:kern w:val="1"/>
      <w:sz w:val="24"/>
    </w:rPr>
  </w:style>
  <w:style w:type="paragraph" w:customStyle="1" w:styleId="29">
    <w:name w:val="表头"/>
    <w:basedOn w:val="1"/>
    <w:qFormat/>
    <w:uiPriority w:val="0"/>
    <w:pPr>
      <w:adjustRightInd w:val="0"/>
      <w:snapToGrid w:val="0"/>
      <w:spacing w:line="360" w:lineRule="auto"/>
      <w:jc w:val="center"/>
    </w:pPr>
    <w:rPr>
      <w:b/>
      <w:bCs/>
      <w:sz w:val="24"/>
    </w:rPr>
  </w:style>
  <w:style w:type="character" w:customStyle="1" w:styleId="30">
    <w:name w:val="正文文本 字符"/>
    <w:basedOn w:val="19"/>
    <w:link w:val="7"/>
    <w:qFormat/>
    <w:uiPriority w:val="0"/>
    <w:rPr>
      <w:sz w:val="18"/>
    </w:rPr>
  </w:style>
  <w:style w:type="character" w:customStyle="1" w:styleId="31">
    <w:name w:val="正文文本首行缩进 字符"/>
    <w:basedOn w:val="30"/>
    <w:link w:val="16"/>
    <w:qFormat/>
    <w:uiPriority w:val="0"/>
    <w:rPr>
      <w:kern w:val="2"/>
      <w:sz w:val="21"/>
      <w:szCs w:val="24"/>
    </w:rPr>
  </w:style>
  <w:style w:type="character" w:customStyle="1" w:styleId="32">
    <w:name w:val="批注文字 字符"/>
    <w:basedOn w:val="19"/>
    <w:link w:val="6"/>
    <w:qFormat/>
    <w:uiPriority w:val="0"/>
    <w:rPr>
      <w:kern w:val="2"/>
      <w:sz w:val="21"/>
      <w:szCs w:val="24"/>
    </w:rPr>
  </w:style>
  <w:style w:type="character" w:customStyle="1" w:styleId="33">
    <w:name w:val="批注主题 字符"/>
    <w:basedOn w:val="32"/>
    <w:link w:val="15"/>
    <w:qFormat/>
    <w:uiPriority w:val="0"/>
    <w:rPr>
      <w:b/>
      <w:bCs/>
      <w:kern w:val="2"/>
      <w:sz w:val="21"/>
      <w:szCs w:val="24"/>
    </w:rPr>
  </w:style>
  <w:style w:type="character" w:customStyle="1" w:styleId="34">
    <w:name w:val="font31"/>
    <w:basedOn w:val="19"/>
    <w:qFormat/>
    <w:uiPriority w:val="0"/>
    <w:rPr>
      <w:rFonts w:hint="eastAsia" w:ascii="宋体" w:hAnsi="宋体" w:eastAsia="宋体" w:cs="宋体"/>
      <w:color w:val="000000"/>
      <w:sz w:val="21"/>
      <w:szCs w:val="21"/>
      <w:u w:val="none"/>
    </w:rPr>
  </w:style>
  <w:style w:type="character" w:customStyle="1" w:styleId="35">
    <w:name w:val="font21"/>
    <w:basedOn w:val="19"/>
    <w:qFormat/>
    <w:uiPriority w:val="0"/>
    <w:rPr>
      <w:rFonts w:hint="default" w:ascii="Times New Roman" w:hAnsi="Times New Roman" w:cs="Times New Roman"/>
      <w:color w:val="000000"/>
      <w:sz w:val="21"/>
      <w:szCs w:val="21"/>
      <w:u w:val="none"/>
    </w:rPr>
  </w:style>
  <w:style w:type="character" w:customStyle="1" w:styleId="36">
    <w:name w:val="font41"/>
    <w:basedOn w:val="19"/>
    <w:qFormat/>
    <w:uiPriority w:val="0"/>
    <w:rPr>
      <w:rFonts w:hint="default" w:ascii="Times New Roman" w:hAnsi="Times New Roman" w:cs="Times New Roman"/>
      <w:color w:val="000000"/>
      <w:sz w:val="21"/>
      <w:szCs w:val="21"/>
      <w:u w:val="none"/>
      <w:vertAlign w:val="superscript"/>
    </w:rPr>
  </w:style>
  <w:style w:type="character" w:customStyle="1" w:styleId="37">
    <w:name w:val="font01"/>
    <w:basedOn w:val="19"/>
    <w:qFormat/>
    <w:uiPriority w:val="0"/>
    <w:rPr>
      <w:rFonts w:hint="eastAsia" w:ascii="宋体" w:hAnsi="宋体" w:eastAsia="宋体" w:cs="宋体"/>
      <w:color w:val="000000"/>
      <w:sz w:val="24"/>
      <w:szCs w:val="24"/>
      <w:u w:val="none"/>
    </w:rPr>
  </w:style>
  <w:style w:type="paragraph" w:customStyle="1" w:styleId="38">
    <w:name w:val="【表中文字】"/>
    <w:basedOn w:val="1"/>
    <w:qFormat/>
    <w:uiPriority w:val="0"/>
    <w:pPr>
      <w:widowControl/>
      <w:snapToGrid w:val="0"/>
      <w:jc w:val="center"/>
    </w:pPr>
    <w:rPr>
      <w:color w:val="000000"/>
      <w:kern w:val="0"/>
      <w:szCs w:val="21"/>
    </w:rPr>
  </w:style>
  <w:style w:type="paragraph" w:customStyle="1" w:styleId="39">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38</Pages>
  <Words>141</Words>
  <Characters>144</Characters>
  <Lines>171</Lines>
  <Paragraphs>48</Paragraphs>
  <TotalTime>53</TotalTime>
  <ScaleCrop>false</ScaleCrop>
  <LinksUpToDate>false</LinksUpToDate>
  <CharactersWithSpaces>174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2022-07-23T03:31:00Z</dcterms:created>
  <dc:creator>Administrator</dc:creator>
  <cp:lastModifiedBy>火龙果</cp:lastModifiedBy>
  <cp:lastPrinted>2023-07-20T01:21:00Z</cp:lastPrinted>
  <dcterms:modified xsi:type="dcterms:W3CDTF">2025-03-25T07:06:56Z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2617119B48E1458A8B1843D61BD99031_13</vt:lpwstr>
  </property>
  <property fmtid="{D5CDD505-2E9C-101B-9397-08002B2CF9AE}" pid="4" name="KSOTemplateDocerSaveRecord">
    <vt:lpwstr>eyJoZGlkIjoiM2M1MzQ5YjJjYTY4ZmZjN2I1YmFhNzM4MjFjYTdlY2IiLCJ1c2VySWQiOiIzMjc5MTc5NjUifQ==</vt:lpwstr>
  </property>
</Properties>
</file>