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13368">
      <w:pPr>
        <w:rPr>
          <w:rFonts w:hint="default" w:ascii="Times New Roman" w:hAnsi="Times New Roman" w:eastAsia="宋体" w:cs="Times New Roman"/>
          <w:color w:val="auto"/>
          <w:sz w:val="36"/>
          <w:szCs w:val="36"/>
        </w:rPr>
      </w:pPr>
    </w:p>
    <w:p w14:paraId="1BEDFD84">
      <w:pPr>
        <w:rPr>
          <w:rFonts w:hint="default" w:ascii="Times New Roman" w:hAnsi="Times New Roman" w:eastAsia="宋体" w:cs="Times New Roman"/>
          <w:color w:val="auto"/>
          <w:sz w:val="36"/>
          <w:szCs w:val="36"/>
        </w:rPr>
      </w:pPr>
    </w:p>
    <w:p w14:paraId="1423778A">
      <w:pPr>
        <w:rPr>
          <w:rFonts w:hint="default" w:ascii="Times New Roman" w:hAnsi="Times New Roman" w:eastAsia="宋体" w:cs="Times New Roman"/>
          <w:color w:val="auto"/>
          <w:sz w:val="36"/>
          <w:szCs w:val="36"/>
        </w:rPr>
      </w:pPr>
    </w:p>
    <w:p w14:paraId="2FADA0A8">
      <w:pPr>
        <w:rPr>
          <w:rFonts w:hint="default" w:ascii="Times New Roman" w:hAnsi="Times New Roman" w:eastAsia="宋体" w:cs="Times New Roman"/>
          <w:color w:val="auto"/>
          <w:sz w:val="36"/>
          <w:szCs w:val="36"/>
        </w:rPr>
      </w:pPr>
    </w:p>
    <w:p w14:paraId="24999BEF">
      <w:pPr>
        <w:rPr>
          <w:rFonts w:hint="default" w:ascii="Times New Roman" w:hAnsi="Times New Roman" w:eastAsia="宋体" w:cs="Times New Roman"/>
          <w:color w:val="auto"/>
          <w:sz w:val="36"/>
          <w:szCs w:val="36"/>
        </w:rPr>
      </w:pPr>
    </w:p>
    <w:p w14:paraId="53B97DCB">
      <w:pPr>
        <w:rPr>
          <w:rFonts w:hint="default" w:ascii="Times New Roman" w:hAnsi="Times New Roman" w:eastAsia="宋体" w:cs="Times New Roman"/>
          <w:color w:val="auto"/>
          <w:sz w:val="36"/>
          <w:szCs w:val="36"/>
        </w:rPr>
      </w:pPr>
    </w:p>
    <w:p w14:paraId="32F9175C">
      <w:pPr>
        <w:rPr>
          <w:rFonts w:hint="default" w:ascii="Times New Roman" w:hAnsi="Times New Roman" w:eastAsia="宋体" w:cs="Times New Roman"/>
          <w:color w:val="auto"/>
          <w:sz w:val="36"/>
          <w:szCs w:val="36"/>
        </w:rPr>
      </w:pPr>
    </w:p>
    <w:p w14:paraId="19020575">
      <w:pPr>
        <w:adjustRightInd w:val="0"/>
        <w:snapToGrid w:val="0"/>
        <w:jc w:val="center"/>
        <w:outlineLvl w:val="0"/>
        <w:rPr>
          <w:rFonts w:hint="default" w:ascii="Times New Roman" w:hAnsi="Times New Roman" w:eastAsia="宋体" w:cs="Times New Roman"/>
          <w:bCs/>
          <w:color w:val="auto"/>
          <w:sz w:val="72"/>
          <w:szCs w:val="72"/>
        </w:rPr>
      </w:pPr>
      <w:r>
        <w:rPr>
          <w:rFonts w:hint="default" w:ascii="Times New Roman" w:hAnsi="Times New Roman" w:eastAsia="宋体" w:cs="Times New Roman"/>
          <w:bCs/>
          <w:color w:val="auto"/>
          <w:sz w:val="72"/>
          <w:szCs w:val="72"/>
        </w:rPr>
        <w:t>建设项目环境影响报告表</w:t>
      </w:r>
    </w:p>
    <w:p w14:paraId="7D981598">
      <w:pPr>
        <w:adjustRightInd w:val="0"/>
        <w:snapToGrid w:val="0"/>
        <w:spacing w:before="192" w:beforeLines="80"/>
        <w:jc w:val="center"/>
        <w:rPr>
          <w:rFonts w:hint="default" w:ascii="Times New Roman" w:hAnsi="Times New Roman" w:eastAsia="宋体" w:cs="Times New Roman"/>
          <w:bCs/>
          <w:color w:val="auto"/>
          <w:sz w:val="48"/>
          <w:szCs w:val="48"/>
        </w:rPr>
      </w:pPr>
      <w:r>
        <w:rPr>
          <w:rFonts w:hint="default" w:ascii="Times New Roman" w:hAnsi="Times New Roman" w:eastAsia="宋体" w:cs="Times New Roman"/>
          <w:bCs/>
          <w:color w:val="auto"/>
          <w:sz w:val="48"/>
          <w:szCs w:val="48"/>
        </w:rPr>
        <w:t>（污染影响类）</w:t>
      </w:r>
    </w:p>
    <w:p w14:paraId="686DD8A6">
      <w:pPr>
        <w:rPr>
          <w:rFonts w:hint="default" w:ascii="Times New Roman" w:hAnsi="Times New Roman" w:eastAsia="宋体" w:cs="Times New Roman"/>
          <w:color w:val="auto"/>
          <w:sz w:val="36"/>
          <w:szCs w:val="36"/>
        </w:rPr>
      </w:pPr>
    </w:p>
    <w:p w14:paraId="28122051">
      <w:pPr>
        <w:rPr>
          <w:rFonts w:hint="default" w:ascii="Times New Roman" w:hAnsi="Times New Roman" w:eastAsia="宋体" w:cs="Times New Roman"/>
          <w:color w:val="auto"/>
          <w:sz w:val="36"/>
          <w:szCs w:val="36"/>
        </w:rPr>
      </w:pPr>
    </w:p>
    <w:p w14:paraId="3303FCAB">
      <w:pPr>
        <w:rPr>
          <w:rFonts w:hint="default" w:ascii="Times New Roman" w:hAnsi="Times New Roman" w:eastAsia="宋体" w:cs="Times New Roman"/>
          <w:color w:val="auto"/>
          <w:sz w:val="36"/>
          <w:szCs w:val="36"/>
        </w:rPr>
      </w:pPr>
    </w:p>
    <w:p w14:paraId="62A09783">
      <w:pPr>
        <w:rPr>
          <w:rFonts w:hint="default" w:ascii="Times New Roman" w:hAnsi="Times New Roman" w:eastAsia="宋体" w:cs="Times New Roman"/>
          <w:color w:val="auto"/>
          <w:sz w:val="36"/>
          <w:szCs w:val="36"/>
        </w:rPr>
      </w:pPr>
    </w:p>
    <w:p w14:paraId="5D9A3319">
      <w:pPr>
        <w:rPr>
          <w:rFonts w:hint="default" w:ascii="Times New Roman" w:hAnsi="Times New Roman" w:eastAsia="宋体" w:cs="Times New Roman"/>
          <w:color w:val="auto"/>
          <w:sz w:val="36"/>
          <w:szCs w:val="36"/>
        </w:rPr>
      </w:pPr>
    </w:p>
    <w:p w14:paraId="14AEAF15">
      <w:pPr>
        <w:rPr>
          <w:rFonts w:hint="default" w:ascii="Times New Roman" w:hAnsi="Times New Roman" w:eastAsia="宋体" w:cs="Times New Roman"/>
          <w:color w:val="auto"/>
          <w:sz w:val="36"/>
          <w:szCs w:val="36"/>
        </w:rPr>
      </w:pPr>
    </w:p>
    <w:p w14:paraId="02358499">
      <w:pPr>
        <w:rPr>
          <w:rFonts w:hint="default" w:ascii="Times New Roman" w:hAnsi="Times New Roman" w:eastAsia="宋体" w:cs="Times New Roman"/>
          <w:color w:val="auto"/>
          <w:sz w:val="36"/>
          <w:szCs w:val="36"/>
        </w:rPr>
      </w:pPr>
    </w:p>
    <w:p w14:paraId="6C912471">
      <w:pPr>
        <w:rPr>
          <w:rFonts w:hint="default" w:ascii="Times New Roman" w:hAnsi="Times New Roman" w:eastAsia="宋体" w:cs="Times New Roman"/>
          <w:color w:val="auto"/>
          <w:sz w:val="36"/>
          <w:szCs w:val="36"/>
        </w:rPr>
      </w:pPr>
    </w:p>
    <w:p w14:paraId="6DC1EF07">
      <w:pPr>
        <w:rPr>
          <w:rFonts w:hint="default" w:ascii="Times New Roman" w:hAnsi="Times New Roman" w:eastAsia="宋体" w:cs="Times New Roman"/>
          <w:color w:val="auto"/>
          <w:sz w:val="36"/>
          <w:szCs w:val="36"/>
        </w:rPr>
      </w:pPr>
    </w:p>
    <w:p w14:paraId="6F074D4C">
      <w:pPr>
        <w:adjustRightInd w:val="0"/>
        <w:snapToGrid w:val="0"/>
        <w:spacing w:line="480" w:lineRule="auto"/>
        <w:ind w:left="1844" w:leftChars="153" w:right="338" w:rightChars="161" w:hanging="1523" w:hangingChars="474"/>
        <w:rPr>
          <w:rFonts w:hint="default" w:ascii="Times New Roman" w:hAnsi="Times New Roman" w:eastAsia="宋体" w:cs="Times New Roman"/>
          <w:b/>
          <w:bCs/>
          <w:iCs/>
          <w:color w:val="auto"/>
          <w:sz w:val="32"/>
          <w:szCs w:val="32"/>
          <w:u w:val="single"/>
          <w:lang w:val="en-US" w:eastAsia="zh-CN"/>
        </w:rPr>
      </w:pPr>
      <w:r>
        <w:rPr>
          <w:rFonts w:hint="default" w:ascii="Times New Roman" w:hAnsi="Times New Roman" w:eastAsia="宋体" w:cs="Times New Roman"/>
          <w:b/>
          <w:bCs/>
          <w:color w:val="auto"/>
          <w:sz w:val="32"/>
          <w:szCs w:val="32"/>
        </w:rPr>
        <w:t>项目名称：</w:t>
      </w:r>
      <w:r>
        <w:rPr>
          <w:rFonts w:hint="default" w:ascii="Times New Roman" w:hAnsi="Times New Roman" w:eastAsia="宋体" w:cs="Times New Roman"/>
          <w:b/>
          <w:bCs/>
          <w:color w:val="auto"/>
          <w:sz w:val="32"/>
          <w:szCs w:val="32"/>
          <w:u w:val="single"/>
          <w:lang w:eastAsia="zh-CN"/>
        </w:rPr>
        <w:t>泽鑫甘草深加工及饮料生产项目</w:t>
      </w:r>
      <w:r>
        <w:rPr>
          <w:rFonts w:hint="default" w:ascii="Times New Roman" w:hAnsi="Times New Roman" w:eastAsia="宋体" w:cs="Times New Roman"/>
          <w:b/>
          <w:bCs/>
          <w:color w:val="auto"/>
          <w:sz w:val="32"/>
          <w:szCs w:val="32"/>
          <w:u w:val="single"/>
          <w:lang w:val="en-US" w:eastAsia="zh-CN"/>
        </w:rPr>
        <w:t xml:space="preserve">               </w:t>
      </w:r>
    </w:p>
    <w:p w14:paraId="062D51A7">
      <w:pPr>
        <w:adjustRightInd w:val="0"/>
        <w:snapToGrid w:val="0"/>
        <w:spacing w:line="480" w:lineRule="auto"/>
        <w:ind w:left="1844" w:leftChars="153" w:hanging="1523" w:hangingChars="474"/>
        <w:rPr>
          <w:rFonts w:hint="default" w:ascii="Times New Roman" w:hAnsi="Times New Roman" w:eastAsia="宋体" w:cs="Times New Roman"/>
          <w:b/>
          <w:bCs/>
          <w:iCs/>
          <w:color w:val="auto"/>
          <w:sz w:val="32"/>
          <w:szCs w:val="32"/>
          <w:u w:val="single"/>
        </w:rPr>
      </w:pPr>
      <w:r>
        <w:rPr>
          <w:rFonts w:hint="default" w:ascii="Times New Roman" w:hAnsi="Times New Roman" w:eastAsia="宋体" w:cs="Times New Roman"/>
          <w:b/>
          <w:bCs/>
          <w:color w:val="auto"/>
          <w:sz w:val="32"/>
          <w:szCs w:val="32"/>
        </w:rPr>
        <w:t>建设单位：</w:t>
      </w:r>
      <w:r>
        <w:rPr>
          <w:rFonts w:hint="default" w:ascii="Times New Roman" w:hAnsi="Times New Roman" w:eastAsia="宋体" w:cs="Times New Roman"/>
          <w:b/>
          <w:bCs/>
          <w:color w:val="auto"/>
          <w:sz w:val="32"/>
          <w:szCs w:val="32"/>
          <w:u w:val="single"/>
          <w:lang w:eastAsia="zh-CN"/>
        </w:rPr>
        <w:t>鄂尔多斯市泽鑫水务投资集团有限责任公司</w:t>
      </w:r>
      <w:r>
        <w:rPr>
          <w:rFonts w:hint="default" w:ascii="Times New Roman" w:hAnsi="Times New Roman" w:eastAsia="宋体" w:cs="Times New Roman"/>
          <w:b/>
          <w:bCs/>
          <w:color w:val="auto"/>
          <w:sz w:val="32"/>
          <w:szCs w:val="32"/>
          <w:u w:val="single"/>
        </w:rPr>
        <w:t>（盖章）</w:t>
      </w:r>
    </w:p>
    <w:p w14:paraId="13A21CA8">
      <w:pPr>
        <w:adjustRightInd w:val="0"/>
        <w:snapToGrid w:val="0"/>
        <w:spacing w:line="480" w:lineRule="auto"/>
        <w:ind w:firstLine="321" w:firstLineChars="100"/>
        <w:rPr>
          <w:rFonts w:hint="default" w:ascii="Times New Roman" w:hAnsi="Times New Roman" w:eastAsia="宋体" w:cs="Times New Roman"/>
          <w:b/>
          <w:bCs/>
          <w:color w:val="auto"/>
          <w:sz w:val="32"/>
          <w:szCs w:val="32"/>
          <w:u w:val="single"/>
        </w:rPr>
      </w:pPr>
      <w:r>
        <w:rPr>
          <w:rFonts w:hint="default" w:ascii="Times New Roman" w:hAnsi="Times New Roman" w:eastAsia="宋体" w:cs="Times New Roman"/>
          <w:b/>
          <w:bCs/>
          <w:color w:val="auto"/>
          <w:sz w:val="32"/>
          <w:szCs w:val="32"/>
        </w:rPr>
        <w:t>编制日期：</w:t>
      </w:r>
      <w:r>
        <w:rPr>
          <w:rFonts w:hint="default" w:ascii="Times New Roman" w:hAnsi="Times New Roman" w:eastAsia="宋体" w:cs="Times New Roman"/>
          <w:b/>
          <w:bCs/>
          <w:color w:val="auto"/>
          <w:sz w:val="32"/>
          <w:szCs w:val="32"/>
          <w:u w:val="single"/>
        </w:rPr>
        <w:t>202</w:t>
      </w:r>
      <w:r>
        <w:rPr>
          <w:rFonts w:hint="default" w:ascii="Times New Roman" w:hAnsi="Times New Roman" w:eastAsia="宋体" w:cs="Times New Roman"/>
          <w:b/>
          <w:bCs/>
          <w:color w:val="auto"/>
          <w:sz w:val="32"/>
          <w:szCs w:val="32"/>
          <w:u w:val="single"/>
          <w:lang w:val="en-US" w:eastAsia="zh-CN"/>
        </w:rPr>
        <w:t>5</w:t>
      </w:r>
      <w:r>
        <w:rPr>
          <w:rFonts w:hint="default" w:ascii="Times New Roman" w:hAnsi="Times New Roman" w:eastAsia="宋体" w:cs="Times New Roman"/>
          <w:b/>
          <w:bCs/>
          <w:color w:val="auto"/>
          <w:sz w:val="32"/>
          <w:szCs w:val="32"/>
          <w:u w:val="single"/>
        </w:rPr>
        <w:t>年</w:t>
      </w:r>
      <w:r>
        <w:rPr>
          <w:rFonts w:hint="default" w:ascii="Times New Roman" w:hAnsi="Times New Roman" w:eastAsia="宋体" w:cs="Times New Roman"/>
          <w:b/>
          <w:bCs/>
          <w:color w:val="auto"/>
          <w:sz w:val="32"/>
          <w:szCs w:val="32"/>
          <w:u w:val="single"/>
          <w:lang w:val="en-US" w:eastAsia="zh-CN"/>
        </w:rPr>
        <w:t>6</w:t>
      </w:r>
      <w:r>
        <w:rPr>
          <w:rFonts w:hint="default" w:ascii="Times New Roman" w:hAnsi="Times New Roman" w:eastAsia="宋体" w:cs="Times New Roman"/>
          <w:b/>
          <w:bCs/>
          <w:color w:val="auto"/>
          <w:sz w:val="32"/>
          <w:szCs w:val="32"/>
          <w:u w:val="single"/>
        </w:rPr>
        <w:t>月</w:t>
      </w:r>
      <w:bookmarkStart w:id="0" w:name="_Hlk57884087"/>
      <w:r>
        <w:rPr>
          <w:rFonts w:hint="default" w:ascii="Times New Roman" w:hAnsi="Times New Roman" w:eastAsia="宋体" w:cs="Times New Roman"/>
          <w:b/>
          <w:bCs/>
          <w:color w:val="auto"/>
          <w:sz w:val="32"/>
          <w:szCs w:val="32"/>
          <w:u w:val="single"/>
        </w:rPr>
        <w:t xml:space="preserve">               </w:t>
      </w:r>
    </w:p>
    <w:bookmarkEnd w:id="0"/>
    <w:p w14:paraId="4D321A38">
      <w:pPr>
        <w:adjustRightInd w:val="0"/>
        <w:snapToGrid w:val="0"/>
        <w:spacing w:line="288" w:lineRule="auto"/>
        <w:jc w:val="center"/>
        <w:rPr>
          <w:rFonts w:hint="default" w:ascii="Times New Roman" w:hAnsi="Times New Roman" w:eastAsia="宋体" w:cs="Times New Roman"/>
          <w:b/>
          <w:bCs/>
          <w:color w:val="auto"/>
          <w:sz w:val="36"/>
          <w:szCs w:val="36"/>
        </w:rPr>
      </w:pPr>
    </w:p>
    <w:p w14:paraId="1624B13C">
      <w:pPr>
        <w:adjustRightInd w:val="0"/>
        <w:snapToGrid w:val="0"/>
        <w:spacing w:line="288" w:lineRule="auto"/>
        <w:jc w:val="center"/>
        <w:rPr>
          <w:rFonts w:hint="default" w:ascii="Times New Roman" w:hAnsi="Times New Roman" w:eastAsia="宋体" w:cs="Times New Roman"/>
          <w:b/>
          <w:bCs/>
          <w:color w:val="auto"/>
          <w:sz w:val="36"/>
          <w:szCs w:val="36"/>
        </w:rPr>
      </w:pPr>
      <w:r>
        <w:rPr>
          <w:rFonts w:hint="default" w:ascii="Times New Roman" w:hAnsi="Times New Roman" w:eastAsia="宋体" w:cs="Times New Roman"/>
          <w:b/>
          <w:bCs/>
          <w:color w:val="auto"/>
          <w:sz w:val="36"/>
          <w:szCs w:val="36"/>
        </w:rPr>
        <w:t>中华人民共和国生态环境部制</w:t>
      </w:r>
    </w:p>
    <w:p w14:paraId="048BB253">
      <w:pPr>
        <w:widowControl/>
        <w:jc w:val="left"/>
        <w:rPr>
          <w:rFonts w:hint="default" w:ascii="Times New Roman" w:hAnsi="Times New Roman" w:eastAsia="宋体" w:cs="Times New Roman"/>
          <w:color w:val="auto"/>
          <w:sz w:val="36"/>
          <w:szCs w:val="36"/>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4A05F3F">
      <w:pPr>
        <w:pStyle w:val="2"/>
        <w:bidi w:val="0"/>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一、建设项目基本情况</w:t>
      </w:r>
    </w:p>
    <w:tbl>
      <w:tblPr>
        <w:tblStyle w:val="7"/>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23"/>
        <w:gridCol w:w="1820"/>
        <w:gridCol w:w="1893"/>
        <w:gridCol w:w="2985"/>
      </w:tblGrid>
      <w:tr w14:paraId="733F3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772C75C">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建设项目名称</w:t>
            </w:r>
          </w:p>
        </w:tc>
        <w:tc>
          <w:tcPr>
            <w:tcW w:w="6698" w:type="dxa"/>
            <w:gridSpan w:val="3"/>
            <w:vAlign w:val="center"/>
          </w:tcPr>
          <w:p w14:paraId="5956D53C">
            <w:pPr>
              <w:adjustRightInd w:val="0"/>
              <w:snapToGrid w:val="0"/>
              <w:jc w:val="center"/>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泽鑫甘草深加工及饮料生产项目</w:t>
            </w:r>
          </w:p>
        </w:tc>
      </w:tr>
      <w:tr w14:paraId="1633A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C1BEEFF">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项目代码</w:t>
            </w:r>
          </w:p>
        </w:tc>
        <w:tc>
          <w:tcPr>
            <w:tcW w:w="6698" w:type="dxa"/>
            <w:gridSpan w:val="3"/>
            <w:vAlign w:val="center"/>
          </w:tcPr>
          <w:p w14:paraId="36AC9743">
            <w:pPr>
              <w:adjustRightInd w:val="0"/>
              <w:snapToGrid w:val="0"/>
              <w:jc w:val="center"/>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2505-150625-04-01-772138</w:t>
            </w:r>
          </w:p>
        </w:tc>
      </w:tr>
      <w:tr w14:paraId="77796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734DC2C">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建设单位联系人</w:t>
            </w:r>
          </w:p>
        </w:tc>
        <w:tc>
          <w:tcPr>
            <w:tcW w:w="1820" w:type="dxa"/>
            <w:vAlign w:val="center"/>
          </w:tcPr>
          <w:p w14:paraId="21EF5968">
            <w:pPr>
              <w:adjustRightInd w:val="0"/>
              <w:snapToGrid w:val="0"/>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袁勋</w:t>
            </w:r>
          </w:p>
        </w:tc>
        <w:tc>
          <w:tcPr>
            <w:tcW w:w="1893" w:type="dxa"/>
            <w:vAlign w:val="center"/>
          </w:tcPr>
          <w:p w14:paraId="7645A0F4">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rPr>
              <w:t>联系方式</w:t>
            </w:r>
          </w:p>
        </w:tc>
        <w:tc>
          <w:tcPr>
            <w:tcW w:w="2985" w:type="dxa"/>
            <w:vAlign w:val="center"/>
          </w:tcPr>
          <w:p w14:paraId="683C96FE">
            <w:pPr>
              <w:adjustRightInd w:val="0"/>
              <w:snapToGrid w:val="0"/>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13947734773</w:t>
            </w:r>
          </w:p>
        </w:tc>
      </w:tr>
      <w:tr w14:paraId="03E3B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853E9EF">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建设地点</w:t>
            </w:r>
          </w:p>
        </w:tc>
        <w:tc>
          <w:tcPr>
            <w:tcW w:w="6698" w:type="dxa"/>
            <w:gridSpan w:val="3"/>
            <w:vAlign w:val="center"/>
          </w:tcPr>
          <w:p w14:paraId="16422DCC">
            <w:pPr>
              <w:adjustRightInd w:val="0"/>
              <w:snapToGrid w:val="0"/>
              <w:jc w:val="center"/>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鄂尔多斯市杭锦旗</w:t>
            </w:r>
            <w:r>
              <w:rPr>
                <w:rFonts w:hint="default" w:ascii="Times New Roman" w:hAnsi="Times New Roman" w:eastAsia="宋体" w:cs="Times New Roman"/>
                <w:color w:val="auto"/>
                <w:sz w:val="24"/>
                <w:lang w:eastAsia="zh-CN"/>
              </w:rPr>
              <w:t>锡尼镇团结社区，109国道南、阿四线西</w:t>
            </w:r>
            <w:r>
              <w:rPr>
                <w:rFonts w:hint="eastAsia" w:cs="Times New Roman"/>
                <w:color w:val="auto"/>
                <w:sz w:val="24"/>
                <w:lang w:eastAsia="zh-CN"/>
              </w:rPr>
              <w:t>。</w:t>
            </w:r>
          </w:p>
        </w:tc>
      </w:tr>
      <w:tr w14:paraId="00C87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238A4C5">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地理坐标</w:t>
            </w:r>
          </w:p>
        </w:tc>
        <w:tc>
          <w:tcPr>
            <w:tcW w:w="6698" w:type="dxa"/>
            <w:gridSpan w:val="3"/>
            <w:vAlign w:val="center"/>
          </w:tcPr>
          <w:p w14:paraId="6215FE45">
            <w:pPr>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u w:val="none"/>
                <w:lang w:val="en-US" w:eastAsia="zh-CN"/>
              </w:rPr>
              <w:t xml:space="preserve"> </w:t>
            </w:r>
            <w:r>
              <w:rPr>
                <w:rFonts w:hint="default" w:ascii="Times New Roman" w:hAnsi="Times New Roman" w:eastAsia="宋体" w:cs="Times New Roman"/>
                <w:color w:val="auto"/>
                <w:sz w:val="24"/>
                <w:u w:val="single"/>
              </w:rPr>
              <w:t>10</w:t>
            </w:r>
            <w:r>
              <w:rPr>
                <w:rFonts w:hint="default" w:ascii="Times New Roman" w:hAnsi="Times New Roman" w:eastAsia="宋体" w:cs="Times New Roman"/>
                <w:color w:val="auto"/>
                <w:sz w:val="24"/>
                <w:u w:val="single"/>
                <w:lang w:val="en-US" w:eastAsia="zh-CN"/>
              </w:rPr>
              <w:t>8</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度</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44</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分</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3.889</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秒，</w:t>
            </w:r>
            <w:r>
              <w:rPr>
                <w:rFonts w:hint="default" w:ascii="Times New Roman" w:hAnsi="Times New Roman" w:eastAsia="宋体" w:cs="Times New Roman"/>
                <w:color w:val="auto"/>
                <w:sz w:val="24"/>
                <w:u w:val="single"/>
              </w:rPr>
              <w:t xml:space="preserve"> 39 </w:t>
            </w:r>
            <w:r>
              <w:rPr>
                <w:rFonts w:hint="default" w:ascii="Times New Roman" w:hAnsi="Times New Roman" w:eastAsia="宋体" w:cs="Times New Roman"/>
                <w:color w:val="auto"/>
                <w:sz w:val="24"/>
              </w:rPr>
              <w:t>度</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48</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分</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u w:val="single"/>
                <w:lang w:val="en-US" w:eastAsia="zh-CN"/>
              </w:rPr>
              <w:t>50.686</w:t>
            </w:r>
            <w:r>
              <w:rPr>
                <w:rFonts w:hint="default" w:ascii="Times New Roman" w:hAnsi="Times New Roman" w:eastAsia="宋体" w:cs="Times New Roman"/>
                <w:color w:val="auto"/>
                <w:sz w:val="24"/>
                <w:u w:val="single"/>
              </w:rPr>
              <w:t xml:space="preserve"> </w:t>
            </w:r>
            <w:r>
              <w:rPr>
                <w:rFonts w:hint="default" w:ascii="Times New Roman" w:hAnsi="Times New Roman" w:eastAsia="宋体" w:cs="Times New Roman"/>
                <w:color w:val="auto"/>
                <w:sz w:val="24"/>
              </w:rPr>
              <w:t>秒</w:t>
            </w:r>
          </w:p>
        </w:tc>
      </w:tr>
      <w:tr w14:paraId="5EC9B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23" w:type="dxa"/>
            <w:tcMar>
              <w:top w:w="16" w:type="dxa"/>
              <w:left w:w="16" w:type="dxa"/>
              <w:right w:w="16" w:type="dxa"/>
            </w:tcMar>
            <w:vAlign w:val="center"/>
          </w:tcPr>
          <w:p w14:paraId="263E6BAE">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国民经济</w:t>
            </w:r>
          </w:p>
          <w:p w14:paraId="43B5AA09">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行业类别</w:t>
            </w:r>
          </w:p>
        </w:tc>
        <w:tc>
          <w:tcPr>
            <w:tcW w:w="1820" w:type="dxa"/>
            <w:vAlign w:val="center"/>
          </w:tcPr>
          <w:p w14:paraId="2B48E69D">
            <w:pPr>
              <w:adjustRightInd w:val="0"/>
              <w:snapToGrid w:val="0"/>
              <w:jc w:val="center"/>
              <w:rPr>
                <w:rFonts w:hint="default" w:ascii="Times New Roman" w:hAnsi="Times New Roman" w:eastAsia="宋体" w:cs="Times New Roman"/>
                <w:color w:val="auto"/>
                <w:sz w:val="24"/>
                <w:lang w:val="en-US"/>
              </w:rPr>
            </w:pPr>
            <w:r>
              <w:rPr>
                <w:rFonts w:hint="default" w:ascii="Times New Roman" w:hAnsi="Times New Roman" w:eastAsia="宋体" w:cs="Times New Roman"/>
                <w:color w:val="auto"/>
                <w:sz w:val="24"/>
                <w:lang w:val="en-US" w:eastAsia="zh-CN"/>
              </w:rPr>
              <w:t>C1492保健食品制造</w:t>
            </w:r>
          </w:p>
        </w:tc>
        <w:tc>
          <w:tcPr>
            <w:tcW w:w="1893" w:type="dxa"/>
            <w:vAlign w:val="center"/>
          </w:tcPr>
          <w:p w14:paraId="26C3CDD5">
            <w:pPr>
              <w:adjustRightInd w:val="0"/>
              <w:snapToGrid w:val="0"/>
              <w:jc w:val="center"/>
              <w:rPr>
                <w:rFonts w:hint="default" w:ascii="Times New Roman" w:hAnsi="Times New Roman" w:eastAsia="宋体" w:cs="Times New Roman"/>
                <w:b/>
                <w:bCs/>
                <w:color w:val="auto"/>
                <w:sz w:val="24"/>
              </w:rPr>
            </w:pPr>
            <w:bookmarkStart w:id="1" w:name="_Hlk49843745"/>
            <w:r>
              <w:rPr>
                <w:rFonts w:hint="default" w:ascii="Times New Roman" w:hAnsi="Times New Roman" w:eastAsia="宋体" w:cs="Times New Roman"/>
                <w:b/>
                <w:bCs/>
                <w:color w:val="auto"/>
                <w:sz w:val="24"/>
              </w:rPr>
              <w:t>建设项目</w:t>
            </w:r>
          </w:p>
          <w:p w14:paraId="40BC3214">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行业类别</w:t>
            </w:r>
            <w:bookmarkEnd w:id="1"/>
          </w:p>
        </w:tc>
        <w:tc>
          <w:tcPr>
            <w:tcW w:w="2985" w:type="dxa"/>
            <w:vAlign w:val="center"/>
          </w:tcPr>
          <w:p w14:paraId="0EDA10F8">
            <w:pPr>
              <w:numPr>
                <w:ilvl w:val="0"/>
                <w:numId w:val="0"/>
              </w:numPr>
              <w:adjustRightInd w:val="0"/>
              <w:snapToGrid w:val="0"/>
              <w:rPr>
                <w:rFonts w:hint="default" w:ascii="Times New Roman" w:hAnsi="Times New Roman" w:eastAsia="宋体" w:cs="Times New Roman"/>
                <w:color w:val="auto"/>
                <w:sz w:val="24"/>
              </w:rPr>
            </w:pPr>
            <w:r>
              <w:rPr>
                <w:rFonts w:hint="default" w:ascii="Times New Roman" w:hAnsi="Times New Roman" w:eastAsia="宋体" w:cs="Times New Roman"/>
                <w:color w:val="auto"/>
                <w:kern w:val="2"/>
                <w:sz w:val="24"/>
                <w:szCs w:val="24"/>
                <w:lang w:val="en-US" w:eastAsia="zh-CN" w:bidi="ar-SA"/>
              </w:rPr>
              <w:t>十一、</w:t>
            </w:r>
            <w:r>
              <w:rPr>
                <w:rFonts w:hint="default" w:ascii="Times New Roman" w:hAnsi="Times New Roman" w:eastAsia="宋体" w:cs="Times New Roman"/>
                <w:color w:val="auto"/>
                <w:sz w:val="24"/>
                <w:lang w:val="en-US" w:eastAsia="zh-CN"/>
              </w:rPr>
              <w:t>食品制造业14，24其他食品制造149*－保健食品制造</w:t>
            </w:r>
          </w:p>
        </w:tc>
      </w:tr>
      <w:tr w14:paraId="52E7E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23" w:type="dxa"/>
            <w:tcMar>
              <w:top w:w="16" w:type="dxa"/>
              <w:left w:w="16" w:type="dxa"/>
              <w:right w:w="16" w:type="dxa"/>
            </w:tcMar>
            <w:vAlign w:val="center"/>
          </w:tcPr>
          <w:p w14:paraId="7C5371D8">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建设性质</w:t>
            </w:r>
          </w:p>
        </w:tc>
        <w:tc>
          <w:tcPr>
            <w:tcW w:w="1820" w:type="dxa"/>
            <w:vAlign w:val="center"/>
          </w:tcPr>
          <w:p w14:paraId="284358A4">
            <w:pPr>
              <w:jc w:val="left"/>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eastAsia="宋体" w:cs="宋体"/>
                <w:color w:val="auto"/>
                <w:sz w:val="24"/>
              </w:rPr>
              <w:t>新建（迁建）</w:t>
            </w:r>
          </w:p>
          <w:p w14:paraId="3AAC5815">
            <w:pPr>
              <w:jc w:val="left"/>
              <w:rPr>
                <w:rFonts w:hint="eastAsia" w:ascii="宋体" w:hAnsi="宋体" w:eastAsia="宋体" w:cs="宋体"/>
                <w:color w:val="auto"/>
                <w:sz w:val="24"/>
              </w:rPr>
            </w:pPr>
            <w:r>
              <w:rPr>
                <w:rFonts w:hint="eastAsia" w:ascii="宋体" w:hAnsi="宋体" w:eastAsia="宋体" w:cs="宋体"/>
                <w:color w:val="auto"/>
                <w:sz w:val="24"/>
              </w:rPr>
              <w:sym w:font="Wingdings" w:char="00A8"/>
            </w:r>
            <w:r>
              <w:rPr>
                <w:rFonts w:hint="eastAsia" w:ascii="宋体" w:hAnsi="宋体" w:eastAsia="宋体" w:cs="宋体"/>
                <w:color w:val="auto"/>
                <w:sz w:val="24"/>
              </w:rPr>
              <w:t>改建</w:t>
            </w:r>
          </w:p>
          <w:p w14:paraId="00BBE291">
            <w:pPr>
              <w:jc w:val="left"/>
              <w:rPr>
                <w:rFonts w:hint="eastAsia" w:ascii="宋体" w:hAnsi="宋体" w:eastAsia="宋体" w:cs="宋体"/>
                <w:color w:val="auto"/>
                <w:sz w:val="24"/>
              </w:rPr>
            </w:pPr>
            <w:r>
              <w:rPr>
                <w:rFonts w:hint="eastAsia" w:ascii="宋体" w:hAnsi="宋体" w:eastAsia="宋体" w:cs="宋体"/>
                <w:color w:val="auto"/>
                <w:sz w:val="24"/>
              </w:rPr>
              <w:sym w:font="Wingdings" w:char="00A8"/>
            </w:r>
            <w:r>
              <w:rPr>
                <w:rFonts w:hint="eastAsia" w:ascii="宋体" w:hAnsi="宋体" w:eastAsia="宋体" w:cs="宋体"/>
                <w:color w:val="auto"/>
                <w:sz w:val="24"/>
              </w:rPr>
              <w:t>扩建</w:t>
            </w:r>
          </w:p>
          <w:p w14:paraId="42EF8C59">
            <w:pPr>
              <w:jc w:val="left"/>
              <w:rPr>
                <w:rFonts w:hint="eastAsia" w:ascii="宋体" w:hAnsi="宋体" w:eastAsia="宋体" w:cs="宋体"/>
                <w:color w:val="auto"/>
                <w:sz w:val="24"/>
              </w:rPr>
            </w:pPr>
            <w:r>
              <w:rPr>
                <w:rFonts w:hint="eastAsia" w:ascii="宋体" w:hAnsi="宋体" w:eastAsia="宋体" w:cs="宋体"/>
                <w:color w:val="auto"/>
                <w:sz w:val="24"/>
              </w:rPr>
              <w:sym w:font="Wingdings" w:char="00A8"/>
            </w:r>
            <w:r>
              <w:rPr>
                <w:rFonts w:hint="eastAsia" w:ascii="宋体" w:hAnsi="宋体" w:eastAsia="宋体" w:cs="宋体"/>
                <w:color w:val="auto"/>
                <w:sz w:val="24"/>
              </w:rPr>
              <w:t>技术改造</w:t>
            </w:r>
          </w:p>
        </w:tc>
        <w:tc>
          <w:tcPr>
            <w:tcW w:w="1893" w:type="dxa"/>
            <w:vAlign w:val="center"/>
          </w:tcPr>
          <w:p w14:paraId="7AE80A98">
            <w:pPr>
              <w:adjustRightInd w:val="0"/>
              <w:snapToGrid w:val="0"/>
              <w:jc w:val="center"/>
              <w:rPr>
                <w:rFonts w:hint="eastAsia" w:ascii="宋体" w:hAnsi="宋体" w:eastAsia="宋体" w:cs="宋体"/>
                <w:b/>
                <w:bCs/>
                <w:color w:val="auto"/>
                <w:sz w:val="24"/>
              </w:rPr>
            </w:pPr>
            <w:r>
              <w:rPr>
                <w:rFonts w:hint="eastAsia" w:ascii="宋体" w:hAnsi="宋体" w:eastAsia="宋体" w:cs="宋体"/>
                <w:b/>
                <w:bCs/>
                <w:color w:val="auto"/>
                <w:sz w:val="24"/>
              </w:rPr>
              <w:t>建设项目</w:t>
            </w:r>
          </w:p>
          <w:p w14:paraId="32EB73D6">
            <w:pPr>
              <w:adjustRightInd w:val="0"/>
              <w:snapToGrid w:val="0"/>
              <w:jc w:val="center"/>
              <w:rPr>
                <w:rFonts w:hint="eastAsia" w:ascii="宋体" w:hAnsi="宋体" w:eastAsia="宋体" w:cs="宋体"/>
                <w:b/>
                <w:bCs/>
                <w:color w:val="auto"/>
                <w:sz w:val="24"/>
              </w:rPr>
            </w:pPr>
            <w:r>
              <w:rPr>
                <w:rFonts w:hint="eastAsia" w:ascii="宋体" w:hAnsi="宋体" w:eastAsia="宋体" w:cs="宋体"/>
                <w:b/>
                <w:bCs/>
                <w:color w:val="auto"/>
                <w:sz w:val="24"/>
              </w:rPr>
              <w:t>申报情形</w:t>
            </w:r>
          </w:p>
        </w:tc>
        <w:tc>
          <w:tcPr>
            <w:tcW w:w="2985" w:type="dxa"/>
            <w:vAlign w:val="center"/>
          </w:tcPr>
          <w:p w14:paraId="41544D37">
            <w:pPr>
              <w:jc w:val="left"/>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eastAsia="宋体" w:cs="宋体"/>
                <w:color w:val="auto"/>
                <w:sz w:val="24"/>
              </w:rPr>
              <w:t xml:space="preserve">首次申报项目            </w:t>
            </w:r>
            <w:r>
              <w:rPr>
                <w:rFonts w:hint="eastAsia" w:ascii="宋体" w:hAnsi="宋体" w:eastAsia="宋体" w:cs="宋体"/>
                <w:color w:val="auto"/>
                <w:sz w:val="24"/>
              </w:rPr>
              <w:sym w:font="Wingdings" w:char="00A8"/>
            </w:r>
            <w:r>
              <w:rPr>
                <w:rFonts w:hint="eastAsia" w:ascii="宋体" w:hAnsi="宋体" w:eastAsia="宋体" w:cs="宋体"/>
                <w:color w:val="auto"/>
                <w:sz w:val="24"/>
              </w:rPr>
              <w:t>不予批准后再次申报项目</w:t>
            </w:r>
          </w:p>
          <w:p w14:paraId="5A230AAD">
            <w:pPr>
              <w:jc w:val="left"/>
              <w:rPr>
                <w:rFonts w:hint="eastAsia" w:ascii="宋体" w:hAnsi="宋体" w:eastAsia="宋体" w:cs="宋体"/>
                <w:color w:val="auto"/>
                <w:sz w:val="24"/>
              </w:rPr>
            </w:pPr>
            <w:r>
              <w:rPr>
                <w:rFonts w:hint="eastAsia" w:ascii="宋体" w:hAnsi="宋体" w:eastAsia="宋体" w:cs="宋体"/>
                <w:color w:val="auto"/>
                <w:sz w:val="24"/>
              </w:rPr>
              <w:sym w:font="Wingdings" w:char="00A8"/>
            </w:r>
            <w:r>
              <w:rPr>
                <w:rFonts w:hint="eastAsia" w:ascii="宋体" w:hAnsi="宋体" w:eastAsia="宋体" w:cs="宋体"/>
                <w:color w:val="auto"/>
                <w:sz w:val="24"/>
              </w:rPr>
              <w:t xml:space="preserve">超五年重新审核项目     </w:t>
            </w:r>
          </w:p>
          <w:p w14:paraId="0D5D6492">
            <w:pPr>
              <w:jc w:val="left"/>
              <w:rPr>
                <w:rFonts w:hint="eastAsia" w:ascii="宋体" w:hAnsi="宋体" w:eastAsia="宋体" w:cs="宋体"/>
                <w:color w:val="auto"/>
                <w:sz w:val="24"/>
              </w:rPr>
            </w:pPr>
            <w:r>
              <w:rPr>
                <w:rFonts w:hint="eastAsia" w:ascii="宋体" w:hAnsi="宋体" w:eastAsia="宋体" w:cs="宋体"/>
                <w:color w:val="auto"/>
                <w:sz w:val="24"/>
              </w:rPr>
              <w:sym w:font="Wingdings" w:char="00A8"/>
            </w:r>
            <w:r>
              <w:rPr>
                <w:rFonts w:hint="eastAsia" w:ascii="宋体" w:hAnsi="宋体" w:eastAsia="宋体" w:cs="宋体"/>
                <w:color w:val="auto"/>
                <w:sz w:val="24"/>
              </w:rPr>
              <w:t>重大变动重新报批项目</w:t>
            </w:r>
          </w:p>
        </w:tc>
      </w:tr>
      <w:tr w14:paraId="2D89E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2123" w:type="dxa"/>
            <w:tcMar>
              <w:top w:w="16" w:type="dxa"/>
              <w:left w:w="16" w:type="dxa"/>
              <w:right w:w="16" w:type="dxa"/>
            </w:tcMar>
            <w:vAlign w:val="center"/>
          </w:tcPr>
          <w:p w14:paraId="66748BE2">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项目审批（核准/备案）部门（选填）</w:t>
            </w:r>
          </w:p>
        </w:tc>
        <w:tc>
          <w:tcPr>
            <w:tcW w:w="1820" w:type="dxa"/>
            <w:vAlign w:val="center"/>
          </w:tcPr>
          <w:p w14:paraId="20275118">
            <w:pPr>
              <w:adjustRightInd w:val="0"/>
              <w:snapToGrid w:val="0"/>
              <w:jc w:val="center"/>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杭锦旗发展和改革委员会</w:t>
            </w:r>
          </w:p>
        </w:tc>
        <w:tc>
          <w:tcPr>
            <w:tcW w:w="1893" w:type="dxa"/>
            <w:vAlign w:val="center"/>
          </w:tcPr>
          <w:p w14:paraId="1F5EC017">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项目审批（核准/备案）文号（选填）</w:t>
            </w:r>
          </w:p>
        </w:tc>
        <w:tc>
          <w:tcPr>
            <w:tcW w:w="2985" w:type="dxa"/>
            <w:vAlign w:val="center"/>
          </w:tcPr>
          <w:p w14:paraId="10FBF8F1">
            <w:pPr>
              <w:adjustRightInd w:val="0"/>
              <w:snapToGrid w:val="0"/>
              <w:jc w:val="center"/>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w:t>
            </w:r>
          </w:p>
        </w:tc>
      </w:tr>
      <w:tr w14:paraId="3C7DF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1F58BC3C">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总投资（万元）</w:t>
            </w:r>
          </w:p>
        </w:tc>
        <w:tc>
          <w:tcPr>
            <w:tcW w:w="1820" w:type="dxa"/>
            <w:vAlign w:val="center"/>
          </w:tcPr>
          <w:p w14:paraId="2A3A0478">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3000</w:t>
            </w:r>
          </w:p>
        </w:tc>
        <w:tc>
          <w:tcPr>
            <w:tcW w:w="1893" w:type="dxa"/>
            <w:tcMar>
              <w:top w:w="16" w:type="dxa"/>
              <w:left w:w="16" w:type="dxa"/>
              <w:right w:w="16" w:type="dxa"/>
            </w:tcMar>
            <w:vAlign w:val="center"/>
          </w:tcPr>
          <w:p w14:paraId="0ECA2BB1">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环保投资（万元）</w:t>
            </w:r>
          </w:p>
        </w:tc>
        <w:tc>
          <w:tcPr>
            <w:tcW w:w="2985" w:type="dxa"/>
            <w:vAlign w:val="center"/>
          </w:tcPr>
          <w:p w14:paraId="7CFACC56">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45</w:t>
            </w:r>
          </w:p>
        </w:tc>
      </w:tr>
      <w:tr w14:paraId="14624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46A40245">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环保投资占比（%）</w:t>
            </w:r>
          </w:p>
        </w:tc>
        <w:tc>
          <w:tcPr>
            <w:tcW w:w="1820" w:type="dxa"/>
            <w:vAlign w:val="center"/>
          </w:tcPr>
          <w:p w14:paraId="1CF7EDD5">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1.5</w:t>
            </w:r>
          </w:p>
        </w:tc>
        <w:tc>
          <w:tcPr>
            <w:tcW w:w="1893" w:type="dxa"/>
            <w:tcMar>
              <w:top w:w="16" w:type="dxa"/>
              <w:left w:w="16" w:type="dxa"/>
              <w:right w:w="16" w:type="dxa"/>
            </w:tcMar>
            <w:vAlign w:val="center"/>
          </w:tcPr>
          <w:p w14:paraId="6E6BB2E8">
            <w:pPr>
              <w:adjustRightInd w:val="0"/>
              <w:snapToGrid w:val="0"/>
              <w:jc w:val="center"/>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施工工期</w:t>
            </w:r>
          </w:p>
        </w:tc>
        <w:tc>
          <w:tcPr>
            <w:tcW w:w="2985" w:type="dxa"/>
            <w:vAlign w:val="center"/>
          </w:tcPr>
          <w:p w14:paraId="34BB66C4">
            <w:pPr>
              <w:adjustRightInd w:val="0"/>
              <w:snapToGrid w:val="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6</w:t>
            </w:r>
            <w:r>
              <w:rPr>
                <w:rFonts w:hint="default" w:ascii="Times New Roman" w:hAnsi="Times New Roman" w:eastAsia="宋体" w:cs="Times New Roman"/>
                <w:color w:val="auto"/>
                <w:sz w:val="24"/>
                <w:highlight w:val="none"/>
              </w:rPr>
              <w:t>个月</w:t>
            </w:r>
          </w:p>
        </w:tc>
      </w:tr>
      <w:tr w14:paraId="6B19E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123" w:type="dxa"/>
            <w:tcMar>
              <w:top w:w="16" w:type="dxa"/>
              <w:left w:w="16" w:type="dxa"/>
              <w:right w:w="16" w:type="dxa"/>
            </w:tcMar>
            <w:vAlign w:val="center"/>
          </w:tcPr>
          <w:p w14:paraId="19BF3D7F">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是否开工建设</w:t>
            </w:r>
          </w:p>
        </w:tc>
        <w:tc>
          <w:tcPr>
            <w:tcW w:w="1820" w:type="dxa"/>
            <w:vAlign w:val="center"/>
          </w:tcPr>
          <w:p w14:paraId="73B861CA">
            <w:pPr>
              <w:adjustRightInd w:val="0"/>
              <w:snapToGrid w:val="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rPr>
              <w:t>否</w:t>
            </w:r>
          </w:p>
          <w:p w14:paraId="1996BEEE">
            <w:pPr>
              <w:adjustRightInd w:val="0"/>
              <w:snapToGrid w:val="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sym w:font="Wingdings" w:char="00A8"/>
            </w:r>
            <w:r>
              <w:rPr>
                <w:rFonts w:hint="default" w:ascii="Times New Roman" w:hAnsi="Times New Roman" w:eastAsia="宋体" w:cs="Times New Roman"/>
                <w:color w:val="auto"/>
                <w:sz w:val="24"/>
              </w:rPr>
              <w:t>是</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u w:val="single"/>
              </w:rPr>
              <w:t xml:space="preserve">        </w:t>
            </w:r>
          </w:p>
        </w:tc>
        <w:tc>
          <w:tcPr>
            <w:tcW w:w="1893" w:type="dxa"/>
            <w:tcMar>
              <w:top w:w="16" w:type="dxa"/>
              <w:left w:w="16" w:type="dxa"/>
              <w:right w:w="16" w:type="dxa"/>
            </w:tcMar>
            <w:vAlign w:val="center"/>
          </w:tcPr>
          <w:p w14:paraId="47276270">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pacing w:val="-6"/>
                <w:sz w:val="24"/>
              </w:rPr>
              <w:t>用地面积（</w:t>
            </w:r>
            <w:r>
              <w:rPr>
                <w:rFonts w:hint="default" w:ascii="Times New Roman" w:hAnsi="Times New Roman" w:eastAsia="宋体" w:cs="Times New Roman"/>
                <w:b/>
                <w:bCs/>
                <w:color w:val="auto"/>
                <w:spacing w:val="-6"/>
                <w:sz w:val="24"/>
                <w:vertAlign w:val="baseline"/>
                <w:lang w:eastAsia="zh-CN"/>
              </w:rPr>
              <w:t>m</w:t>
            </w:r>
            <w:r>
              <w:rPr>
                <w:rFonts w:hint="default" w:ascii="Times New Roman" w:hAnsi="Times New Roman" w:eastAsia="宋体" w:cs="Times New Roman"/>
                <w:b/>
                <w:bCs/>
                <w:color w:val="auto"/>
                <w:spacing w:val="-6"/>
                <w:sz w:val="24"/>
                <w:vertAlign w:val="superscript"/>
                <w:lang w:eastAsia="zh-CN"/>
              </w:rPr>
              <w:t>2</w:t>
            </w:r>
            <w:r>
              <w:rPr>
                <w:rFonts w:hint="default" w:ascii="Times New Roman" w:hAnsi="Times New Roman" w:eastAsia="宋体" w:cs="Times New Roman"/>
                <w:b/>
                <w:bCs/>
                <w:color w:val="auto"/>
                <w:spacing w:val="-6"/>
                <w:sz w:val="24"/>
              </w:rPr>
              <w:t>）</w:t>
            </w:r>
          </w:p>
        </w:tc>
        <w:tc>
          <w:tcPr>
            <w:tcW w:w="2985" w:type="dxa"/>
            <w:vAlign w:val="center"/>
          </w:tcPr>
          <w:p w14:paraId="4CF84272">
            <w:pPr>
              <w:adjustRightInd w:val="0"/>
              <w:snapToGrid w:val="0"/>
              <w:jc w:val="center"/>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lang w:eastAsia="zh-CN"/>
              </w:rPr>
              <w:t>11801.62</w:t>
            </w:r>
          </w:p>
        </w:tc>
      </w:tr>
      <w:tr w14:paraId="5F5A8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23" w:type="dxa"/>
            <w:vAlign w:val="center"/>
          </w:tcPr>
          <w:p w14:paraId="5CDF6B3B">
            <w:pPr>
              <w:autoSpaceDE w:val="0"/>
              <w:autoSpaceDN w:val="0"/>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专项评价设置情况</w:t>
            </w:r>
          </w:p>
        </w:tc>
        <w:tc>
          <w:tcPr>
            <w:tcW w:w="6698" w:type="dxa"/>
            <w:gridSpan w:val="3"/>
            <w:vAlign w:val="center"/>
          </w:tcPr>
          <w:p w14:paraId="0221A242">
            <w:pPr>
              <w:autoSpaceDE w:val="0"/>
              <w:autoSpaceDN w:val="0"/>
              <w:adjustRightInd w:val="0"/>
              <w:snapToGrid w:val="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无</w:t>
            </w:r>
          </w:p>
        </w:tc>
      </w:tr>
      <w:tr w14:paraId="54C3A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2DEFC799">
            <w:pPr>
              <w:autoSpaceDE w:val="0"/>
              <w:autoSpaceDN w:val="0"/>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sz w:val="24"/>
              </w:rPr>
              <w:t>规划情况</w:t>
            </w:r>
          </w:p>
        </w:tc>
        <w:tc>
          <w:tcPr>
            <w:tcW w:w="6698" w:type="dxa"/>
            <w:gridSpan w:val="3"/>
            <w:vAlign w:val="center"/>
          </w:tcPr>
          <w:p w14:paraId="62C904A2">
            <w:pPr>
              <w:autoSpaceDE w:val="0"/>
              <w:autoSpaceDN w:val="0"/>
              <w:adjustRightInd w:val="0"/>
              <w:snapToGrid w:val="0"/>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无</w:t>
            </w:r>
          </w:p>
        </w:tc>
      </w:tr>
      <w:tr w14:paraId="62F13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23" w:type="dxa"/>
            <w:vAlign w:val="center"/>
          </w:tcPr>
          <w:p w14:paraId="7045A3C9">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规划环境影响</w:t>
            </w:r>
          </w:p>
          <w:p w14:paraId="3AA95267">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sz w:val="24"/>
              </w:rPr>
              <w:t>评价情况</w:t>
            </w:r>
          </w:p>
        </w:tc>
        <w:tc>
          <w:tcPr>
            <w:tcW w:w="6698" w:type="dxa"/>
            <w:gridSpan w:val="3"/>
            <w:vAlign w:val="center"/>
          </w:tcPr>
          <w:p w14:paraId="0CCB00FA">
            <w:pPr>
              <w:autoSpaceDE w:val="0"/>
              <w:autoSpaceDN w:val="0"/>
              <w:adjustRightInd w:val="0"/>
              <w:snapToGrid w:val="0"/>
              <w:spacing w:line="360" w:lineRule="auto"/>
              <w:jc w:val="center"/>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无</w:t>
            </w:r>
          </w:p>
        </w:tc>
      </w:tr>
      <w:tr w14:paraId="2EE57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5B9F785F">
            <w:pPr>
              <w:adjustRightInd w:val="0"/>
              <w:snapToGrid w:val="0"/>
              <w:jc w:val="center"/>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规划及规划环境</w:t>
            </w:r>
          </w:p>
          <w:p w14:paraId="0FD9BA6B">
            <w:pPr>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sz w:val="24"/>
              </w:rPr>
              <w:t>影响评价符合性分析</w:t>
            </w:r>
          </w:p>
        </w:tc>
        <w:tc>
          <w:tcPr>
            <w:tcW w:w="6698" w:type="dxa"/>
            <w:gridSpan w:val="3"/>
            <w:vAlign w:val="center"/>
          </w:tcPr>
          <w:p w14:paraId="2ED14F8C">
            <w:pPr>
              <w:autoSpaceDE w:val="0"/>
              <w:autoSpaceDN w:val="0"/>
              <w:adjustRightInd w:val="0"/>
              <w:snapToGrid w:val="0"/>
              <w:spacing w:line="360" w:lineRule="auto"/>
              <w:jc w:val="center"/>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rPr>
              <w:t>无</w:t>
            </w:r>
          </w:p>
        </w:tc>
      </w:tr>
      <w:tr w14:paraId="483A9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vAlign w:val="center"/>
          </w:tcPr>
          <w:p w14:paraId="34D06401">
            <w:pPr>
              <w:autoSpaceDE w:val="0"/>
              <w:autoSpaceDN w:val="0"/>
              <w:adjustRightInd w:val="0"/>
              <w:snapToGrid w:val="0"/>
              <w:jc w:val="center"/>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其他符合性分析</w:t>
            </w:r>
          </w:p>
        </w:tc>
        <w:tc>
          <w:tcPr>
            <w:tcW w:w="6698" w:type="dxa"/>
            <w:gridSpan w:val="3"/>
            <w:vAlign w:val="center"/>
          </w:tcPr>
          <w:p w14:paraId="39994E95">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eastAsia="zh-CN"/>
              </w:rPr>
              <w:t>“</w:t>
            </w:r>
            <w:r>
              <w:rPr>
                <w:rFonts w:hint="default" w:ascii="Times New Roman" w:hAnsi="Times New Roman" w:eastAsia="宋体" w:cs="Times New Roman"/>
                <w:color w:val="auto"/>
                <w:sz w:val="24"/>
              </w:rPr>
              <w:t>三线一单</w:t>
            </w:r>
            <w:r>
              <w:rPr>
                <w:rFonts w:hint="eastAsia" w:cs="Times New Roman"/>
                <w:color w:val="auto"/>
                <w:sz w:val="24"/>
                <w:lang w:eastAsia="zh-CN"/>
              </w:rPr>
              <w:t>”</w:t>
            </w:r>
            <w:r>
              <w:rPr>
                <w:rFonts w:hint="default" w:ascii="Times New Roman" w:hAnsi="Times New Roman" w:eastAsia="宋体" w:cs="Times New Roman"/>
                <w:color w:val="auto"/>
                <w:sz w:val="24"/>
              </w:rPr>
              <w:t>符合性分析</w:t>
            </w:r>
          </w:p>
          <w:p w14:paraId="49688A43">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（1）生态保护红线</w:t>
            </w:r>
          </w:p>
          <w:p w14:paraId="4A8D07E7">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根据《鄂尔多斯市生态环境分区管控动态更新成果（2023年版）》，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1F750169">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本项目位于</w:t>
            </w:r>
            <w:r>
              <w:rPr>
                <w:rFonts w:hint="default" w:ascii="Times New Roman" w:hAnsi="Times New Roman" w:eastAsia="宋体" w:cs="Times New Roman"/>
                <w:bCs/>
                <w:color w:val="auto"/>
                <w:sz w:val="24"/>
                <w:lang w:eastAsia="zh-CN"/>
              </w:rPr>
              <w:t>锡尼镇团结社区，109国道南、阿四线西</w:t>
            </w:r>
            <w:r>
              <w:rPr>
                <w:rFonts w:hint="default" w:ascii="Times New Roman" w:hAnsi="Times New Roman" w:eastAsia="宋体" w:cs="Times New Roman"/>
                <w:bCs/>
                <w:color w:val="auto"/>
                <w:sz w:val="24"/>
              </w:rPr>
              <w:t>，经调查评价范围内无饮用水水源地、自然保护区、风景名胜区等特殊环境敏感区，不涉及生态环境脆弱区、禁止开发区域以及其他各类保护地，项目的建设符合生态保护红线的要求。</w:t>
            </w:r>
          </w:p>
          <w:p w14:paraId="66C3E079">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综上所述，本项目符合生态保护红线的要求。</w:t>
            </w:r>
          </w:p>
          <w:p w14:paraId="03877F2B">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（2）环境质量底线</w:t>
            </w:r>
          </w:p>
          <w:p w14:paraId="002635BE">
            <w:pPr>
              <w:autoSpaceDE w:val="0"/>
              <w:autoSpaceDN w:val="0"/>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根据2024年6月内蒙古自治区生态环境厅发布的《2023年内蒙古自治区生态环境状况公报》，报告指出</w:t>
            </w:r>
            <w:r>
              <w:rPr>
                <w:rFonts w:hint="eastAsia" w:cs="Times New Roman"/>
                <w:bCs/>
                <w:color w:val="auto"/>
                <w:sz w:val="24"/>
                <w:lang w:eastAsia="zh-CN"/>
              </w:rPr>
              <w:t>“</w:t>
            </w:r>
            <w:r>
              <w:rPr>
                <w:rFonts w:hint="default" w:ascii="Times New Roman" w:hAnsi="Times New Roman" w:eastAsia="宋体" w:cs="Times New Roman"/>
                <w:bCs/>
                <w:color w:val="auto"/>
                <w:sz w:val="24"/>
              </w:rPr>
              <w:t>2023年，全区12个盟市中，除乌海市外，其他11个盟市环境空气质量均达标</w:t>
            </w:r>
            <w:r>
              <w:rPr>
                <w:rFonts w:hint="eastAsia" w:cs="Times New Roman"/>
                <w:bCs/>
                <w:color w:val="auto"/>
                <w:sz w:val="24"/>
                <w:lang w:eastAsia="zh-CN"/>
              </w:rPr>
              <w:t>”</w:t>
            </w:r>
            <w:r>
              <w:rPr>
                <w:rFonts w:hint="default" w:ascii="Times New Roman" w:hAnsi="Times New Roman" w:eastAsia="宋体" w:cs="Times New Roman"/>
                <w:bCs/>
                <w:color w:val="auto"/>
                <w:sz w:val="24"/>
              </w:rPr>
              <w:t>。故项目所在区域为达标区域。</w:t>
            </w:r>
          </w:p>
          <w:p w14:paraId="54E87870">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bCs/>
                <w:color w:val="auto"/>
                <w:sz w:val="24"/>
                <w:lang w:val="en-US" w:eastAsia="zh-CN"/>
              </w:rPr>
              <w:t>项目</w:t>
            </w:r>
            <w:r>
              <w:rPr>
                <w:rFonts w:hint="default" w:ascii="Times New Roman" w:hAnsi="Times New Roman" w:eastAsia="宋体" w:cs="Times New Roman"/>
                <w:bCs/>
                <w:color w:val="auto"/>
                <w:sz w:val="24"/>
              </w:rPr>
              <w:t>运营过程中会产生一定量的</w:t>
            </w:r>
            <w:r>
              <w:rPr>
                <w:rFonts w:hint="default" w:ascii="Times New Roman" w:hAnsi="Times New Roman" w:eastAsia="宋体" w:cs="Times New Roman"/>
                <w:bCs/>
                <w:color w:val="auto"/>
                <w:sz w:val="24"/>
                <w:highlight w:val="none"/>
              </w:rPr>
              <w:t>废气、废水</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噪声、固废</w:t>
            </w:r>
            <w:r>
              <w:rPr>
                <w:rFonts w:hint="default" w:ascii="Times New Roman" w:hAnsi="Times New Roman" w:eastAsia="宋体" w:cs="Times New Roman"/>
                <w:bCs/>
                <w:color w:val="auto"/>
                <w:sz w:val="24"/>
                <w:lang w:val="en-US" w:eastAsia="zh-CN"/>
              </w:rPr>
              <w:t>等污染</w:t>
            </w:r>
            <w:r>
              <w:rPr>
                <w:rFonts w:hint="default" w:ascii="Times New Roman" w:hAnsi="Times New Roman" w:eastAsia="宋体" w:cs="Times New Roman"/>
                <w:bCs/>
                <w:color w:val="auto"/>
                <w:sz w:val="24"/>
              </w:rPr>
              <w:t>，采取相应措施后均可达标排放，不会明显降低区域环境质量现状，符合环境质量底线要求。</w:t>
            </w:r>
          </w:p>
          <w:p w14:paraId="7561464A">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（3）资源利用上线</w:t>
            </w:r>
          </w:p>
          <w:p w14:paraId="2FD278CC">
            <w:pPr>
              <w:autoSpaceDE w:val="0"/>
              <w:autoSpaceDN w:val="0"/>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bCs/>
                <w:color w:val="auto"/>
                <w:sz w:val="24"/>
              </w:rPr>
              <w:t>本项目不属于高污染、高能耗产业类型，项目资源利用包括水、电、土地和原料，项目用水量、用电量和土地使用量相对较小，即项目水、电等资源利用不会突破区域的资源利用上线</w:t>
            </w:r>
            <w:r>
              <w:rPr>
                <w:rFonts w:hint="default" w:ascii="Times New Roman" w:hAnsi="Times New Roman" w:eastAsia="宋体" w:cs="Times New Roman"/>
                <w:color w:val="auto"/>
                <w:sz w:val="24"/>
              </w:rPr>
              <w:t>。</w:t>
            </w:r>
          </w:p>
          <w:p w14:paraId="387103F3">
            <w:pPr>
              <w:autoSpaceDE w:val="0"/>
              <w:autoSpaceDN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（4）生态环境准入清单</w:t>
            </w:r>
          </w:p>
          <w:p w14:paraId="62B152F3">
            <w:pPr>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本项目位于</w:t>
            </w:r>
            <w:r>
              <w:rPr>
                <w:rFonts w:hint="default" w:ascii="Times New Roman" w:hAnsi="Times New Roman" w:eastAsia="宋体" w:cs="Times New Roman"/>
                <w:bCs/>
                <w:color w:val="auto"/>
                <w:sz w:val="24"/>
                <w:lang w:eastAsia="zh-CN"/>
              </w:rPr>
              <w:t>鄂尔多斯市杭锦旗锡尼镇团结社区，109国道南、阿四线西</w:t>
            </w:r>
            <w:r>
              <w:rPr>
                <w:rFonts w:hint="default" w:ascii="Times New Roman" w:hAnsi="Times New Roman" w:eastAsia="宋体" w:cs="Times New Roman"/>
                <w:bCs/>
                <w:color w:val="auto"/>
                <w:sz w:val="24"/>
              </w:rPr>
              <w:t>，根据《鄂尔多斯市生态环境准入清单》，本项目所在区域为</w:t>
            </w:r>
            <w:r>
              <w:rPr>
                <w:rFonts w:hint="default" w:ascii="Times New Roman" w:hAnsi="Times New Roman" w:eastAsia="宋体" w:cs="Times New Roman"/>
                <w:bCs/>
                <w:color w:val="auto"/>
                <w:sz w:val="24"/>
                <w:highlight w:val="none"/>
              </w:rPr>
              <w:t>重点管控单元，环境管控单元名称</w:t>
            </w:r>
            <w:r>
              <w:rPr>
                <w:rFonts w:hint="eastAsia" w:cs="Times New Roman"/>
                <w:bCs/>
                <w:color w:val="auto"/>
                <w:sz w:val="24"/>
                <w:highlight w:val="none"/>
                <w:lang w:eastAsia="zh-CN"/>
              </w:rPr>
              <w:t>为</w:t>
            </w:r>
            <w:r>
              <w:rPr>
                <w:rFonts w:hint="default" w:ascii="Times New Roman" w:hAnsi="Times New Roman" w:eastAsia="宋体" w:cs="Times New Roman"/>
                <w:bCs/>
                <w:color w:val="auto"/>
                <w:sz w:val="24"/>
                <w:highlight w:val="none"/>
              </w:rPr>
              <w:t>鄂尔多斯新能源产业示范区，管控单元编码为ZH15062520002。</w:t>
            </w:r>
          </w:p>
          <w:p w14:paraId="47C80DAB">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本项目与该单元的管控要求的符合性见下表：</w:t>
            </w:r>
          </w:p>
          <w:p w14:paraId="60C12758">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表1-1  项目与《鄂尔多斯市生态环境准入清单》相符性分析</w:t>
            </w:r>
          </w:p>
          <w:tbl>
            <w:tblPr>
              <w:tblStyle w:val="7"/>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6"/>
              <w:gridCol w:w="2841"/>
              <w:gridCol w:w="2539"/>
              <w:gridCol w:w="641"/>
            </w:tblGrid>
            <w:tr w14:paraId="6A1B2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6DE778A3">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内容</w:t>
                  </w:r>
                </w:p>
              </w:tc>
              <w:tc>
                <w:tcPr>
                  <w:tcW w:w="2193" w:type="pct"/>
                  <w:vAlign w:val="center"/>
                </w:tcPr>
                <w:p w14:paraId="640BF5D5">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管控要求</w:t>
                  </w:r>
                </w:p>
              </w:tc>
              <w:tc>
                <w:tcPr>
                  <w:tcW w:w="1960" w:type="pct"/>
                  <w:vAlign w:val="center"/>
                </w:tcPr>
                <w:p w14:paraId="39E2C685">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符合性分析</w:t>
                  </w:r>
                </w:p>
              </w:tc>
              <w:tc>
                <w:tcPr>
                  <w:tcW w:w="494" w:type="pct"/>
                  <w:vAlign w:val="center"/>
                </w:tcPr>
                <w:p w14:paraId="4BE6A37F">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相符性</w:t>
                  </w:r>
                </w:p>
              </w:tc>
            </w:tr>
            <w:tr w14:paraId="54F46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shd w:val="clear" w:color="auto" w:fill="auto"/>
                  <w:vAlign w:val="center"/>
                </w:tcPr>
                <w:p w14:paraId="2FD01B82">
                  <w:pPr>
                    <w:bidi w:val="0"/>
                    <w:rPr>
                      <w:rFonts w:hint="default" w:ascii="Times New Roman" w:hAnsi="Times New Roman" w:eastAsia="宋体" w:cs="Times New Roman"/>
                      <w:color w:val="auto"/>
                      <w:szCs w:val="21"/>
                      <w:lang w:val="en-US" w:eastAsia="zh-CN" w:bidi="ar-SA"/>
                    </w:rPr>
                  </w:pPr>
                  <w:r>
                    <w:rPr>
                      <w:rFonts w:hint="default" w:ascii="Times New Roman" w:hAnsi="Times New Roman" w:eastAsia="宋体" w:cs="Times New Roman"/>
                      <w:color w:val="auto"/>
                    </w:rPr>
                    <w:t>空间布局约束</w:t>
                  </w:r>
                </w:p>
              </w:tc>
              <w:tc>
                <w:tcPr>
                  <w:tcW w:w="2193" w:type="pct"/>
                  <w:shd w:val="clear" w:color="auto" w:fill="auto"/>
                  <w:vAlign w:val="center"/>
                </w:tcPr>
                <w:p w14:paraId="6F178FCC">
                  <w:pPr>
                    <w:widowControl/>
                    <w:jc w:val="left"/>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1.禁止不符合园区产业定位及规划环评等要求的项目入园；对于国家明令淘汰的落后产能和不符合国家产业政策的项目，禁止向工业园区转移。</w:t>
                  </w:r>
                </w:p>
                <w:p w14:paraId="2027CA40">
                  <w:pPr>
                    <w:bidi w:val="0"/>
                    <w:rPr>
                      <w:rFonts w:hint="default" w:ascii="Times New Roman" w:hAnsi="Times New Roman" w:eastAsia="宋体" w:cs="Times New Roman"/>
                      <w:color w:val="auto"/>
                      <w:szCs w:val="21"/>
                      <w:lang w:val="en-US" w:eastAsia="zh-CN" w:bidi="ar-SA"/>
                    </w:rPr>
                  </w:pPr>
                  <w:r>
                    <w:rPr>
                      <w:rFonts w:hint="default" w:ascii="Times New Roman" w:hAnsi="Times New Roman" w:eastAsia="宋体" w:cs="Times New Roman"/>
                      <w:color w:val="auto"/>
                    </w:rPr>
                    <w:t>2.与滞洪区、自然保护区和居民点等环境敏感区之间设置合理的防护隔离带。</w:t>
                  </w:r>
                </w:p>
              </w:tc>
              <w:tc>
                <w:tcPr>
                  <w:tcW w:w="1960" w:type="pct"/>
                  <w:shd w:val="clear" w:color="auto" w:fill="auto"/>
                  <w:vAlign w:val="center"/>
                </w:tcPr>
                <w:p w14:paraId="7FCA74E1">
                  <w:pPr>
                    <w:bidi w:val="0"/>
                    <w:rPr>
                      <w:rFonts w:hint="default" w:ascii="Times New Roman" w:hAnsi="Times New Roman" w:eastAsia="宋体" w:cs="Times New Roman"/>
                      <w:color w:val="auto"/>
                    </w:rPr>
                  </w:pPr>
                  <w:r>
                    <w:rPr>
                      <w:rFonts w:hint="default" w:ascii="Times New Roman" w:hAnsi="Times New Roman" w:eastAsia="宋体" w:cs="Times New Roman"/>
                      <w:color w:val="auto"/>
                    </w:rPr>
                    <w:t>1.本项目为</w:t>
                  </w:r>
                  <w:r>
                    <w:rPr>
                      <w:rFonts w:hint="default" w:ascii="Times New Roman" w:hAnsi="Times New Roman" w:eastAsia="宋体" w:cs="Times New Roman"/>
                      <w:color w:val="auto"/>
                      <w:lang w:val="en-US" w:eastAsia="zh-CN"/>
                    </w:rPr>
                    <w:t>保健食品制造项目</w:t>
                  </w:r>
                  <w:r>
                    <w:rPr>
                      <w:rFonts w:hint="default" w:ascii="Times New Roman" w:hAnsi="Times New Roman" w:eastAsia="宋体" w:cs="Times New Roman"/>
                      <w:color w:val="auto"/>
                    </w:rPr>
                    <w:t>，符合国家产业政策。</w:t>
                  </w:r>
                </w:p>
                <w:p w14:paraId="02C46344">
                  <w:pPr>
                    <w:bidi w:val="0"/>
                    <w:rPr>
                      <w:rFonts w:hint="default" w:ascii="Times New Roman" w:hAnsi="Times New Roman" w:eastAsia="宋体" w:cs="Times New Roman"/>
                      <w:color w:val="auto"/>
                      <w:szCs w:val="21"/>
                      <w:lang w:val="en-US" w:eastAsia="zh-CN" w:bidi="ar-SA"/>
                    </w:rPr>
                  </w:pPr>
                  <w:r>
                    <w:rPr>
                      <w:rFonts w:hint="default" w:ascii="Times New Roman" w:hAnsi="Times New Roman" w:eastAsia="宋体" w:cs="Times New Roman"/>
                      <w:color w:val="auto"/>
                    </w:rPr>
                    <w:t>2.本项目</w:t>
                  </w:r>
                  <w:r>
                    <w:rPr>
                      <w:rFonts w:hint="default" w:ascii="Times New Roman" w:hAnsi="Times New Roman" w:eastAsia="宋体" w:cs="Times New Roman"/>
                      <w:color w:val="auto"/>
                      <w:lang w:val="en-US" w:eastAsia="zh-CN"/>
                    </w:rPr>
                    <w:t>四周均为空地，</w:t>
                  </w:r>
                  <w:r>
                    <w:rPr>
                      <w:rFonts w:hint="default" w:ascii="Times New Roman" w:hAnsi="Times New Roman" w:eastAsia="宋体" w:cs="Times New Roman"/>
                      <w:color w:val="auto"/>
                    </w:rPr>
                    <w:t>厂址500</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范围内</w:t>
                  </w:r>
                  <w:r>
                    <w:rPr>
                      <w:rFonts w:hint="eastAsia" w:cs="Times New Roman"/>
                      <w:color w:val="auto"/>
                      <w:lang w:eastAsia="zh-CN"/>
                    </w:rPr>
                    <w:t>有</w:t>
                  </w:r>
                  <w:r>
                    <w:rPr>
                      <w:rFonts w:hint="default" w:ascii="Times New Roman" w:hAnsi="Times New Roman" w:eastAsia="宋体" w:cs="Times New Roman"/>
                      <w:color w:val="auto"/>
                      <w:lang w:val="en-US" w:eastAsia="zh-CN"/>
                    </w:rPr>
                    <w:t>3个住宅小区，距离最近的为西北侧390m处的</w:t>
                  </w:r>
                  <w:r>
                    <w:rPr>
                      <w:rFonts w:hint="eastAsia" w:cs="Times New Roman"/>
                      <w:color w:val="auto"/>
                      <w:lang w:val="en-US" w:eastAsia="zh-CN"/>
                    </w:rPr>
                    <w:t>日月轩</w:t>
                  </w:r>
                  <w:r>
                    <w:rPr>
                      <w:rFonts w:hint="default" w:ascii="Times New Roman" w:hAnsi="Times New Roman" w:eastAsia="宋体" w:cs="Times New Roman"/>
                      <w:color w:val="auto"/>
                      <w:lang w:val="en-US" w:eastAsia="zh-CN"/>
                    </w:rPr>
                    <w:t>小区</w:t>
                  </w:r>
                  <w:r>
                    <w:rPr>
                      <w:rFonts w:hint="default" w:ascii="Times New Roman" w:hAnsi="Times New Roman" w:eastAsia="宋体" w:cs="Times New Roman"/>
                      <w:color w:val="auto"/>
                    </w:rPr>
                    <w:t>。</w:t>
                  </w:r>
                </w:p>
              </w:tc>
              <w:tc>
                <w:tcPr>
                  <w:tcW w:w="494" w:type="pct"/>
                  <w:shd w:val="clear" w:color="auto" w:fill="auto"/>
                  <w:vAlign w:val="center"/>
                </w:tcPr>
                <w:p w14:paraId="1B70E456">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符合</w:t>
                  </w:r>
                </w:p>
              </w:tc>
            </w:tr>
            <w:tr w14:paraId="095254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shd w:val="clear" w:color="auto" w:fill="auto"/>
                  <w:vAlign w:val="center"/>
                </w:tcPr>
                <w:p w14:paraId="37C6003B">
                  <w:pPr>
                    <w:bidi w:val="0"/>
                    <w:rPr>
                      <w:rFonts w:hint="default" w:ascii="Times New Roman" w:hAnsi="Times New Roman" w:eastAsia="宋体" w:cs="Times New Roman"/>
                      <w:color w:val="auto"/>
                      <w:szCs w:val="21"/>
                      <w:lang w:val="en-US" w:eastAsia="zh-CN" w:bidi="ar-SA"/>
                    </w:rPr>
                  </w:pPr>
                  <w:r>
                    <w:rPr>
                      <w:rFonts w:hint="default" w:ascii="Times New Roman" w:hAnsi="Times New Roman" w:eastAsia="宋体" w:cs="Times New Roman"/>
                      <w:color w:val="auto"/>
                    </w:rPr>
                    <w:t>污染物排放管控</w:t>
                  </w:r>
                </w:p>
              </w:tc>
              <w:tc>
                <w:tcPr>
                  <w:tcW w:w="2193" w:type="pct"/>
                  <w:shd w:val="clear" w:color="auto" w:fill="auto"/>
                  <w:vAlign w:val="center"/>
                </w:tcPr>
                <w:p w14:paraId="14D62868">
                  <w:pPr>
                    <w:bidi w:val="0"/>
                    <w:rPr>
                      <w:rFonts w:hint="default" w:ascii="Times New Roman" w:hAnsi="Times New Roman" w:eastAsia="宋体" w:cs="Times New Roman"/>
                      <w:color w:val="auto"/>
                    </w:rPr>
                  </w:pPr>
                  <w:r>
                    <w:rPr>
                      <w:rFonts w:hint="default" w:ascii="Times New Roman" w:hAnsi="Times New Roman" w:eastAsia="宋体" w:cs="Times New Roman"/>
                      <w:color w:val="auto"/>
                    </w:rPr>
                    <w:t>1.按</w:t>
                  </w:r>
                  <w:r>
                    <w:rPr>
                      <w:rFonts w:hint="eastAsia" w:cs="Times New Roman"/>
                      <w:color w:val="auto"/>
                      <w:lang w:eastAsia="zh-CN"/>
                    </w:rPr>
                    <w:t>“</w:t>
                  </w:r>
                  <w:r>
                    <w:rPr>
                      <w:rFonts w:hint="default" w:ascii="Times New Roman" w:hAnsi="Times New Roman" w:eastAsia="宋体" w:cs="Times New Roman"/>
                      <w:color w:val="auto"/>
                    </w:rPr>
                    <w:t>清污分流</w:t>
                  </w:r>
                  <w:r>
                    <w:rPr>
                      <w:rFonts w:hint="eastAsia" w:cs="Times New Roman"/>
                      <w:color w:val="auto"/>
                      <w:lang w:eastAsia="zh-CN"/>
                    </w:rPr>
                    <w:t>”“</w:t>
                  </w:r>
                  <w:r>
                    <w:rPr>
                      <w:rFonts w:hint="default" w:ascii="Times New Roman" w:hAnsi="Times New Roman" w:eastAsia="宋体" w:cs="Times New Roman"/>
                      <w:color w:val="auto"/>
                    </w:rPr>
                    <w:t>雨污分流</w:t>
                  </w:r>
                  <w:r>
                    <w:rPr>
                      <w:rFonts w:hint="eastAsia" w:cs="Times New Roman"/>
                      <w:color w:val="auto"/>
                      <w:lang w:eastAsia="zh-CN"/>
                    </w:rPr>
                    <w:t>”“</w:t>
                  </w:r>
                  <w:r>
                    <w:rPr>
                      <w:rFonts w:hint="default" w:ascii="Times New Roman" w:hAnsi="Times New Roman" w:eastAsia="宋体" w:cs="Times New Roman"/>
                      <w:color w:val="auto"/>
                    </w:rPr>
                    <w:t>污污分流</w:t>
                  </w:r>
                  <w:r>
                    <w:rPr>
                      <w:rFonts w:hint="eastAsia" w:cs="Times New Roman"/>
                      <w:color w:val="auto"/>
                      <w:lang w:eastAsia="zh-CN"/>
                    </w:rPr>
                    <w:t>”</w:t>
                  </w:r>
                  <w:r>
                    <w:rPr>
                      <w:rFonts w:hint="default" w:ascii="Times New Roman" w:hAnsi="Times New Roman" w:eastAsia="宋体" w:cs="Times New Roman"/>
                      <w:color w:val="auto"/>
                    </w:rPr>
                    <w:t>原则，污水应收尽收，全部回用或作为景观用水不外排。</w:t>
                  </w:r>
                </w:p>
                <w:p w14:paraId="14C3B45E">
                  <w:pPr>
                    <w:bidi w:val="0"/>
                    <w:rPr>
                      <w:rFonts w:hint="default" w:ascii="Times New Roman" w:hAnsi="Times New Roman" w:eastAsia="宋体" w:cs="Times New Roman"/>
                      <w:color w:val="auto"/>
                    </w:rPr>
                  </w:pPr>
                  <w:r>
                    <w:rPr>
                      <w:rFonts w:hint="default" w:ascii="Times New Roman" w:hAnsi="Times New Roman" w:eastAsia="宋体" w:cs="Times New Roman"/>
                      <w:color w:val="auto"/>
                    </w:rPr>
                    <w:t>2.加强对废气特别是有毒及恶臭气体的收集和处置，严格控制挥发性有机物（VOCs）排放。</w:t>
                  </w:r>
                </w:p>
                <w:p w14:paraId="23771B6B">
                  <w:pPr>
                    <w:bidi w:val="0"/>
                    <w:rPr>
                      <w:rFonts w:hint="default" w:ascii="Times New Roman" w:hAnsi="Times New Roman" w:eastAsia="宋体" w:cs="Times New Roman"/>
                      <w:color w:val="auto"/>
                    </w:rPr>
                  </w:pPr>
                  <w:r>
                    <w:rPr>
                      <w:rFonts w:hint="default" w:ascii="Times New Roman" w:hAnsi="Times New Roman" w:eastAsia="宋体" w:cs="Times New Roman"/>
                      <w:color w:val="auto"/>
                    </w:rPr>
                    <w:t>3.固体废物产生量大的化工园区应配套建设固体废物处置设施。</w:t>
                  </w:r>
                </w:p>
                <w:p w14:paraId="0FACF025">
                  <w:pPr>
                    <w:bidi w:val="0"/>
                    <w:rPr>
                      <w:rFonts w:hint="default" w:ascii="Times New Roman" w:hAnsi="Times New Roman" w:eastAsia="宋体" w:cs="Times New Roman"/>
                      <w:color w:val="auto"/>
                    </w:rPr>
                  </w:pPr>
                  <w:r>
                    <w:rPr>
                      <w:rFonts w:hint="default" w:ascii="Times New Roman" w:hAnsi="Times New Roman" w:eastAsia="宋体" w:cs="Times New Roman"/>
                      <w:color w:val="auto"/>
                    </w:rPr>
                    <w:t>4.重点行业粉状物料堆场实现全封闭，块状物料</w:t>
                  </w:r>
                  <w:r>
                    <w:rPr>
                      <w:rFonts w:hint="eastAsia" w:cs="Times New Roman"/>
                      <w:color w:val="auto"/>
                      <w:lang w:eastAsia="zh-CN"/>
                    </w:rPr>
                    <w:t>堆场</w:t>
                  </w:r>
                  <w:r>
                    <w:rPr>
                      <w:rFonts w:hint="default" w:ascii="Times New Roman" w:hAnsi="Times New Roman" w:eastAsia="宋体" w:cs="Times New Roman"/>
                      <w:color w:val="auto"/>
                    </w:rPr>
                    <w:t>安装抑尘设施。</w:t>
                  </w:r>
                </w:p>
                <w:p w14:paraId="634A32E8">
                  <w:pPr>
                    <w:bidi w:val="0"/>
                    <w:rPr>
                      <w:rFonts w:hint="default" w:ascii="Times New Roman" w:hAnsi="Times New Roman" w:eastAsia="宋体" w:cs="Times New Roman"/>
                      <w:color w:val="auto"/>
                      <w:szCs w:val="21"/>
                      <w:lang w:val="en-US" w:eastAsia="zh-CN" w:bidi="ar-SA"/>
                    </w:rPr>
                  </w:pPr>
                  <w:r>
                    <w:rPr>
                      <w:rFonts w:hint="default" w:ascii="Times New Roman" w:hAnsi="Times New Roman" w:eastAsia="宋体" w:cs="Times New Roman"/>
                      <w:color w:val="auto"/>
                    </w:rPr>
                    <w:t>5.燃煤发电机组执行大气污染物超低排放限值。</w:t>
                  </w:r>
                </w:p>
              </w:tc>
              <w:tc>
                <w:tcPr>
                  <w:tcW w:w="1960" w:type="pct"/>
                  <w:shd w:val="clear" w:color="auto" w:fill="auto"/>
                  <w:vAlign w:val="center"/>
                </w:tcPr>
                <w:p w14:paraId="6B797AE2">
                  <w:pPr>
                    <w:bidi w:val="0"/>
                    <w:rPr>
                      <w:rFonts w:hint="default" w:ascii="Times New Roman" w:hAnsi="Times New Roman" w:eastAsia="宋体" w:cs="Times New Roman"/>
                      <w:color w:val="auto"/>
                    </w:rPr>
                  </w:pPr>
                  <w:r>
                    <w:rPr>
                      <w:rFonts w:hint="default" w:ascii="Times New Roman" w:hAnsi="Times New Roman" w:eastAsia="宋体" w:cs="Times New Roman"/>
                      <w:color w:val="auto"/>
                    </w:rPr>
                    <w:t>1.本项目</w:t>
                  </w:r>
                  <w:r>
                    <w:rPr>
                      <w:rFonts w:hint="eastAsia" w:cs="Times New Roman"/>
                      <w:color w:val="auto"/>
                      <w:lang w:eastAsia="zh-CN"/>
                    </w:rPr>
                    <w:t>实行</w:t>
                  </w:r>
                  <w:r>
                    <w:rPr>
                      <w:rFonts w:hint="default" w:ascii="Times New Roman" w:hAnsi="Times New Roman" w:eastAsia="宋体" w:cs="Times New Roman"/>
                      <w:color w:val="auto"/>
                      <w:lang w:eastAsia="zh-CN"/>
                    </w:rPr>
                    <w:t>雨污分流，</w:t>
                  </w:r>
                  <w:r>
                    <w:rPr>
                      <w:rFonts w:hint="default" w:ascii="Times New Roman" w:hAnsi="Times New Roman" w:eastAsia="宋体" w:cs="Times New Roman"/>
                      <w:color w:val="auto"/>
                    </w:rPr>
                    <w:t>污水排入</w:t>
                  </w:r>
                  <w:r>
                    <w:rPr>
                      <w:rFonts w:hint="default" w:ascii="Times New Roman" w:hAnsi="Times New Roman" w:eastAsia="宋体" w:cs="Times New Roman"/>
                      <w:color w:val="auto"/>
                      <w:lang w:val="en-US" w:eastAsia="zh-CN"/>
                    </w:rPr>
                    <w:t>市政污水管网</w:t>
                  </w:r>
                  <w:r>
                    <w:rPr>
                      <w:rFonts w:hint="default" w:ascii="Times New Roman" w:hAnsi="Times New Roman" w:eastAsia="宋体" w:cs="Times New Roman"/>
                      <w:color w:val="auto"/>
                    </w:rPr>
                    <w:t>。</w:t>
                  </w:r>
                </w:p>
                <w:p w14:paraId="718D4895">
                  <w:pPr>
                    <w:bidi w:val="0"/>
                    <w:rPr>
                      <w:rFonts w:hint="default" w:ascii="Times New Roman" w:hAnsi="Times New Roman" w:eastAsia="宋体" w:cs="Times New Roman"/>
                      <w:color w:val="auto"/>
                    </w:rPr>
                  </w:pPr>
                  <w:r>
                    <w:rPr>
                      <w:rFonts w:hint="default" w:ascii="Times New Roman" w:hAnsi="Times New Roman" w:eastAsia="宋体" w:cs="Times New Roman"/>
                      <w:color w:val="auto"/>
                    </w:rPr>
                    <w:t>2.本项目</w:t>
                  </w:r>
                  <w:r>
                    <w:rPr>
                      <w:rFonts w:hint="default" w:ascii="Times New Roman" w:hAnsi="Times New Roman" w:eastAsia="宋体" w:cs="Times New Roman"/>
                      <w:color w:val="auto"/>
                      <w:lang w:val="en-US" w:eastAsia="zh-CN"/>
                    </w:rPr>
                    <w:t>不产生有毒及恶臭气体</w:t>
                  </w:r>
                  <w:r>
                    <w:rPr>
                      <w:rFonts w:hint="default" w:ascii="Times New Roman" w:hAnsi="Times New Roman" w:eastAsia="宋体" w:cs="Times New Roman"/>
                      <w:color w:val="auto"/>
                    </w:rPr>
                    <w:t>。</w:t>
                  </w:r>
                </w:p>
                <w:p w14:paraId="19CD6094">
                  <w:pPr>
                    <w:bidi w:val="0"/>
                    <w:rPr>
                      <w:rFonts w:hint="default" w:ascii="Times New Roman" w:hAnsi="Times New Roman" w:eastAsia="宋体" w:cs="Times New Roman"/>
                      <w:color w:val="auto"/>
                    </w:rPr>
                  </w:pPr>
                  <w:r>
                    <w:rPr>
                      <w:rFonts w:hint="default" w:ascii="Times New Roman" w:hAnsi="Times New Roman" w:eastAsia="宋体" w:cs="Times New Roman"/>
                      <w:color w:val="auto"/>
                    </w:rPr>
                    <w:t>3.本项目固体废物均得到合理处置。</w:t>
                  </w:r>
                </w:p>
                <w:p w14:paraId="0AD4C132">
                  <w:pPr>
                    <w:bidi w:val="0"/>
                    <w:rPr>
                      <w:rFonts w:hint="default" w:ascii="Times New Roman" w:hAnsi="Times New Roman" w:eastAsia="宋体" w:cs="Times New Roman"/>
                      <w:color w:val="auto"/>
                    </w:rPr>
                  </w:pPr>
                  <w:r>
                    <w:rPr>
                      <w:rFonts w:hint="default" w:ascii="Times New Roman" w:hAnsi="Times New Roman" w:eastAsia="宋体" w:cs="Times New Roman"/>
                      <w:color w:val="auto"/>
                    </w:rPr>
                    <w:t>4.本项目无粉状物料堆场。</w:t>
                  </w:r>
                </w:p>
                <w:p w14:paraId="5FFB3A89">
                  <w:pPr>
                    <w:bidi w:val="0"/>
                    <w:rPr>
                      <w:rFonts w:hint="default" w:ascii="Times New Roman" w:hAnsi="Times New Roman" w:eastAsia="宋体" w:cs="Times New Roman"/>
                      <w:color w:val="auto"/>
                      <w:szCs w:val="21"/>
                      <w:lang w:val="en-US" w:eastAsia="zh-CN" w:bidi="ar-SA"/>
                    </w:rPr>
                  </w:pPr>
                  <w:r>
                    <w:rPr>
                      <w:rFonts w:hint="default" w:ascii="Times New Roman" w:hAnsi="Times New Roman" w:eastAsia="宋体" w:cs="Times New Roman"/>
                      <w:color w:val="auto"/>
                    </w:rPr>
                    <w:t>5.本项目不涉及燃煤。</w:t>
                  </w:r>
                </w:p>
              </w:tc>
              <w:tc>
                <w:tcPr>
                  <w:tcW w:w="494" w:type="pct"/>
                  <w:shd w:val="clear" w:color="auto" w:fill="auto"/>
                  <w:vAlign w:val="center"/>
                </w:tcPr>
                <w:p w14:paraId="4B0CB6F3">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符合</w:t>
                  </w:r>
                </w:p>
              </w:tc>
            </w:tr>
            <w:tr w14:paraId="50B789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shd w:val="clear" w:color="auto" w:fill="auto"/>
                  <w:vAlign w:val="center"/>
                </w:tcPr>
                <w:p w14:paraId="54DC9FDB">
                  <w:pPr>
                    <w:bidi w:val="0"/>
                    <w:rPr>
                      <w:rFonts w:hint="default" w:ascii="Times New Roman" w:hAnsi="Times New Roman" w:eastAsia="宋体" w:cs="Times New Roman"/>
                      <w:color w:val="auto"/>
                      <w:szCs w:val="21"/>
                      <w:lang w:val="en-US" w:eastAsia="zh-CN" w:bidi="ar-SA"/>
                    </w:rPr>
                  </w:pPr>
                  <w:r>
                    <w:rPr>
                      <w:rFonts w:hint="default" w:ascii="Times New Roman" w:hAnsi="Times New Roman" w:eastAsia="宋体" w:cs="Times New Roman"/>
                      <w:color w:val="auto"/>
                    </w:rPr>
                    <w:t>资源利用效率要求</w:t>
                  </w:r>
                </w:p>
              </w:tc>
              <w:tc>
                <w:tcPr>
                  <w:tcW w:w="2193" w:type="pct"/>
                  <w:shd w:val="clear" w:color="auto" w:fill="auto"/>
                  <w:vAlign w:val="center"/>
                </w:tcPr>
                <w:p w14:paraId="5F6AD3BA">
                  <w:pPr>
                    <w:bidi w:val="0"/>
                    <w:rPr>
                      <w:rFonts w:hint="default" w:ascii="Times New Roman" w:hAnsi="Times New Roman" w:eastAsia="宋体" w:cs="Times New Roman"/>
                      <w:color w:val="auto"/>
                      <w:szCs w:val="21"/>
                      <w:lang w:val="en-US" w:eastAsia="zh-CN" w:bidi="ar-SA"/>
                    </w:rPr>
                  </w:pPr>
                  <w:r>
                    <w:rPr>
                      <w:rFonts w:hint="default" w:ascii="Times New Roman" w:hAnsi="Times New Roman" w:eastAsia="宋体" w:cs="Times New Roman"/>
                      <w:color w:val="auto"/>
                    </w:rPr>
                    <w:t>严控地下水超采。新建、改建、扩建的高耗水工业项目，禁止擅自使用地下水。食品、制药等项目取用地下水，须经有管理权限的水行政主管部门批准。</w:t>
                  </w:r>
                </w:p>
              </w:tc>
              <w:tc>
                <w:tcPr>
                  <w:tcW w:w="1960" w:type="pct"/>
                  <w:shd w:val="clear" w:color="auto" w:fill="auto"/>
                  <w:vAlign w:val="center"/>
                </w:tcPr>
                <w:p w14:paraId="1EE94414">
                  <w:pPr>
                    <w:bidi w:val="0"/>
                    <w:rPr>
                      <w:rFonts w:hint="default" w:ascii="Times New Roman" w:hAnsi="Times New Roman" w:eastAsia="宋体" w:cs="Times New Roman"/>
                      <w:color w:val="auto"/>
                      <w:szCs w:val="21"/>
                      <w:lang w:val="en-US" w:eastAsia="zh-CN" w:bidi="ar-SA"/>
                    </w:rPr>
                  </w:pPr>
                  <w:r>
                    <w:rPr>
                      <w:rFonts w:hint="default" w:ascii="Times New Roman" w:hAnsi="Times New Roman" w:eastAsia="宋体" w:cs="Times New Roman"/>
                      <w:color w:val="auto"/>
                    </w:rPr>
                    <w:t>本项目不涉及地下水开采</w:t>
                  </w:r>
                  <w:r>
                    <w:rPr>
                      <w:rFonts w:hint="eastAsia" w:cs="Times New Roman"/>
                      <w:color w:val="auto"/>
                      <w:lang w:eastAsia="zh-CN"/>
                    </w:rPr>
                    <w:t>，</w:t>
                  </w:r>
                  <w:r>
                    <w:rPr>
                      <w:rFonts w:hint="default" w:ascii="Times New Roman" w:hAnsi="Times New Roman" w:eastAsia="宋体" w:cs="Times New Roman"/>
                      <w:color w:val="auto"/>
                    </w:rPr>
                    <w:t>不属于高耗水项目。</w:t>
                  </w:r>
                  <w:r>
                    <w:rPr>
                      <w:rFonts w:hint="default" w:ascii="Times New Roman" w:hAnsi="Times New Roman" w:eastAsia="宋体" w:cs="Times New Roman"/>
                      <w:color w:val="auto"/>
                      <w:lang w:val="en-US" w:eastAsia="zh-CN"/>
                    </w:rPr>
                    <w:t>项目用水接自市政给水管网</w:t>
                  </w:r>
                  <w:r>
                    <w:rPr>
                      <w:rFonts w:hint="eastAsia" w:cs="Times New Roman"/>
                      <w:color w:val="auto"/>
                      <w:lang w:val="en-US" w:eastAsia="zh-CN"/>
                    </w:rPr>
                    <w:t>。</w:t>
                  </w:r>
                </w:p>
              </w:tc>
              <w:tc>
                <w:tcPr>
                  <w:tcW w:w="494" w:type="pct"/>
                  <w:shd w:val="clear" w:color="auto" w:fill="auto"/>
                  <w:vAlign w:val="center"/>
                </w:tcPr>
                <w:p w14:paraId="10D284C1">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符合</w:t>
                  </w:r>
                </w:p>
              </w:tc>
            </w:tr>
          </w:tbl>
          <w:p w14:paraId="766D997D">
            <w:pPr>
              <w:autoSpaceDE w:val="0"/>
              <w:autoSpaceDN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2.选址合理性分析</w:t>
            </w:r>
          </w:p>
          <w:p w14:paraId="40A9024F">
            <w:pPr>
              <w:autoSpaceDE w:val="0"/>
              <w:autoSpaceDN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本项目位于</w:t>
            </w:r>
            <w:r>
              <w:rPr>
                <w:rFonts w:hint="default" w:ascii="Times New Roman" w:hAnsi="Times New Roman" w:eastAsia="宋体" w:cs="Times New Roman"/>
                <w:color w:val="auto"/>
                <w:sz w:val="24"/>
                <w:lang w:eastAsia="zh-CN"/>
              </w:rPr>
              <w:t>鄂尔多斯市杭锦旗锡尼镇团结社区，109国道南、阿四线西</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总占地面积11801.62</w:t>
            </w:r>
            <w:r>
              <w:rPr>
                <w:rFonts w:hint="default" w:ascii="Times New Roman" w:hAnsi="Times New Roman" w:eastAsia="宋体" w:cs="Times New Roman"/>
                <w:color w:val="auto"/>
                <w:sz w:val="24"/>
                <w:vertAlign w:val="baseline"/>
                <w:lang w:val="en-US" w:eastAsia="zh-CN"/>
              </w:rPr>
              <w:t>m</w:t>
            </w:r>
            <w:r>
              <w:rPr>
                <w:rFonts w:hint="default" w:ascii="Times New Roman" w:hAnsi="Times New Roman" w:eastAsia="宋体" w:cs="Times New Roman"/>
                <w:color w:val="auto"/>
                <w:sz w:val="24"/>
                <w:vertAlign w:val="superscript"/>
                <w:lang w:val="en-US" w:eastAsia="zh-CN"/>
              </w:rPr>
              <w:t>2</w:t>
            </w:r>
            <w:r>
              <w:rPr>
                <w:rFonts w:hint="default" w:ascii="Times New Roman" w:hAnsi="Times New Roman" w:eastAsia="宋体" w:cs="Times New Roman"/>
                <w:color w:val="auto"/>
                <w:sz w:val="24"/>
                <w:lang w:val="en-US" w:eastAsia="zh-CN"/>
              </w:rPr>
              <w:t>，</w:t>
            </w:r>
            <w:r>
              <w:rPr>
                <w:rFonts w:hint="default" w:ascii="Times New Roman" w:hAnsi="Times New Roman" w:eastAsia="宋体" w:cs="Times New Roman"/>
                <w:color w:val="auto"/>
                <w:sz w:val="24"/>
              </w:rPr>
              <w:t>土地权属为鄂尔多斯市泽鑫水务投资集团有限责任公司</w:t>
            </w:r>
            <w:r>
              <w:rPr>
                <w:rFonts w:hint="default" w:ascii="Times New Roman" w:hAnsi="Times New Roman" w:eastAsia="宋体" w:cs="Times New Roman"/>
                <w:color w:val="auto"/>
                <w:sz w:val="24"/>
                <w:lang w:val="en-US" w:eastAsia="zh-CN"/>
              </w:rPr>
              <w:t>单独所有。</w:t>
            </w:r>
          </w:p>
          <w:p w14:paraId="7793E065">
            <w:pPr>
              <w:autoSpaceDE w:val="0"/>
              <w:autoSpaceDN w:val="0"/>
              <w:spacing w:line="360" w:lineRule="auto"/>
              <w:ind w:firstLine="480" w:firstLineChars="200"/>
              <w:rPr>
                <w:rFonts w:hint="default" w:ascii="Times New Roman" w:hAnsi="Times New Roman" w:eastAsia="宋体" w:cs="Times New Roman"/>
                <w:color w:val="auto"/>
                <w:sz w:val="24"/>
                <w:lang w:val="en-US"/>
              </w:rPr>
            </w:pPr>
            <w:r>
              <w:rPr>
                <w:rFonts w:hint="default" w:ascii="Times New Roman" w:hAnsi="Times New Roman" w:eastAsia="宋体" w:cs="Times New Roman"/>
                <w:bCs/>
                <w:color w:val="auto"/>
                <w:sz w:val="24"/>
              </w:rPr>
              <w:t>本项目厂址500</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rPr>
              <w:t>范围内</w:t>
            </w:r>
            <w:r>
              <w:rPr>
                <w:rFonts w:hint="default" w:ascii="Times New Roman" w:hAnsi="Times New Roman" w:eastAsia="宋体" w:cs="Times New Roman"/>
                <w:bCs/>
                <w:color w:val="auto"/>
                <w:sz w:val="24"/>
                <w:lang w:val="en-US" w:eastAsia="zh-CN"/>
              </w:rPr>
              <w:t>3个住宅小区，</w:t>
            </w:r>
            <w:r>
              <w:rPr>
                <w:rFonts w:hint="eastAsia" w:cs="Times New Roman"/>
                <w:bCs/>
                <w:color w:val="auto"/>
                <w:sz w:val="24"/>
                <w:lang w:val="en-US" w:eastAsia="zh-CN"/>
              </w:rPr>
              <w:t>分别</w:t>
            </w:r>
            <w:r>
              <w:rPr>
                <w:rFonts w:hint="default" w:ascii="Times New Roman" w:hAnsi="Times New Roman" w:eastAsia="宋体" w:cs="Times New Roman"/>
                <w:bCs/>
                <w:color w:val="auto"/>
                <w:sz w:val="24"/>
                <w:lang w:val="en-US" w:eastAsia="zh-CN"/>
              </w:rPr>
              <w:t>为东侧450m处的神华馨苑</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东北侧400m处的明珠小区</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西北侧390m处的</w:t>
            </w:r>
            <w:r>
              <w:rPr>
                <w:rFonts w:hint="eastAsia" w:cs="Times New Roman"/>
                <w:bCs/>
                <w:color w:val="auto"/>
                <w:sz w:val="24"/>
                <w:lang w:val="en-US" w:eastAsia="zh-CN"/>
              </w:rPr>
              <w:t>日月轩</w:t>
            </w:r>
            <w:r>
              <w:rPr>
                <w:rFonts w:hint="default" w:ascii="Times New Roman" w:hAnsi="Times New Roman" w:eastAsia="宋体" w:cs="Times New Roman"/>
                <w:bCs/>
                <w:color w:val="auto"/>
                <w:sz w:val="24"/>
                <w:lang w:val="en-US" w:eastAsia="zh-CN"/>
              </w:rPr>
              <w:t>小区。</w:t>
            </w:r>
            <w:r>
              <w:rPr>
                <w:rFonts w:hint="default" w:ascii="Times New Roman" w:hAnsi="Times New Roman" w:eastAsia="宋体" w:cs="Times New Roman"/>
                <w:bCs/>
                <w:color w:val="auto"/>
                <w:sz w:val="24"/>
              </w:rPr>
              <w:t>通过采取报告表中提出的各项环保措施后，本项目的建设对环境影响较小。</w:t>
            </w:r>
            <w:r>
              <w:rPr>
                <w:rFonts w:hint="default" w:ascii="Times New Roman" w:hAnsi="Times New Roman" w:eastAsia="宋体" w:cs="Times New Roman"/>
                <w:color w:val="auto"/>
                <w:sz w:val="24"/>
                <w:lang w:val="en-US" w:eastAsia="zh-CN"/>
              </w:rPr>
              <w:t>项目</w:t>
            </w:r>
            <w:r>
              <w:rPr>
                <w:rFonts w:hint="default" w:ascii="Times New Roman" w:hAnsi="Times New Roman" w:eastAsia="宋体" w:cs="Times New Roman"/>
                <w:color w:val="auto"/>
                <w:sz w:val="24"/>
              </w:rPr>
              <w:t>所在区域未占用农田、林地、自然保护区、风景名胜区</w:t>
            </w:r>
            <w:r>
              <w:rPr>
                <w:rFonts w:hint="default" w:ascii="Times New Roman" w:hAnsi="Times New Roman" w:eastAsia="宋体" w:cs="Times New Roman"/>
                <w:color w:val="auto"/>
                <w:sz w:val="24"/>
                <w:lang w:eastAsia="zh-CN"/>
              </w:rPr>
              <w:t>、</w:t>
            </w:r>
            <w:r>
              <w:rPr>
                <w:rFonts w:hint="default" w:ascii="Times New Roman" w:hAnsi="Times New Roman" w:eastAsia="宋体" w:cs="Times New Roman"/>
                <w:color w:val="auto"/>
                <w:sz w:val="24"/>
                <w:lang w:val="en-US" w:eastAsia="zh-CN"/>
              </w:rPr>
              <w:t>生态保护红线</w:t>
            </w:r>
            <w:r>
              <w:rPr>
                <w:rFonts w:hint="default" w:ascii="Times New Roman" w:hAnsi="Times New Roman" w:eastAsia="宋体" w:cs="Times New Roman"/>
                <w:color w:val="auto"/>
                <w:sz w:val="24"/>
              </w:rPr>
              <w:t>等</w:t>
            </w:r>
            <w:r>
              <w:rPr>
                <w:rFonts w:hint="default" w:ascii="Times New Roman" w:hAnsi="Times New Roman" w:eastAsia="宋体" w:cs="Times New Roman"/>
                <w:color w:val="auto"/>
                <w:sz w:val="24"/>
                <w:lang w:eastAsia="zh-CN"/>
              </w:rPr>
              <w:t>。</w:t>
            </w:r>
          </w:p>
          <w:p w14:paraId="3949DEF4">
            <w:pPr>
              <w:autoSpaceDE w:val="0"/>
              <w:autoSpaceDN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val="en-US" w:eastAsia="zh-CN"/>
              </w:rPr>
              <w:t>综上</w:t>
            </w:r>
            <w:r>
              <w:rPr>
                <w:rFonts w:hint="default" w:ascii="Times New Roman" w:hAnsi="Times New Roman" w:eastAsia="宋体" w:cs="Times New Roman"/>
                <w:bCs/>
                <w:color w:val="auto"/>
                <w:sz w:val="24"/>
              </w:rPr>
              <w:t>，本项目选址合理</w:t>
            </w:r>
            <w:r>
              <w:rPr>
                <w:rFonts w:hint="default" w:ascii="Times New Roman" w:hAnsi="Times New Roman" w:eastAsia="宋体" w:cs="Times New Roman"/>
                <w:color w:val="auto"/>
                <w:sz w:val="24"/>
              </w:rPr>
              <w:t>。</w:t>
            </w:r>
          </w:p>
          <w:p w14:paraId="61FB10B4">
            <w:pPr>
              <w:autoSpaceDE w:val="0"/>
              <w:autoSpaceDN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3.产业政策符合性分析</w:t>
            </w:r>
          </w:p>
          <w:p w14:paraId="77BCAFF7">
            <w:pPr>
              <w:autoSpaceDE w:val="0"/>
              <w:autoSpaceDN w:val="0"/>
              <w:spacing w:line="360" w:lineRule="auto"/>
              <w:ind w:firstLine="480" w:firstLineChars="200"/>
              <w:jc w:val="left"/>
              <w:rPr>
                <w:rFonts w:hint="default" w:ascii="Times New Roman" w:hAnsi="Times New Roman" w:eastAsia="宋体" w:cs="Times New Roman"/>
                <w:color w:val="auto"/>
                <w:lang w:val="en-US"/>
              </w:rPr>
            </w:pPr>
            <w:r>
              <w:rPr>
                <w:rFonts w:hint="default" w:ascii="Times New Roman" w:hAnsi="Times New Roman" w:eastAsia="宋体" w:cs="Times New Roman"/>
                <w:color w:val="auto"/>
                <w:sz w:val="24"/>
                <w:szCs w:val="24"/>
                <w:lang w:val="en-US" w:eastAsia="zh-CN"/>
              </w:rPr>
              <w:t>2025年5月23日，项目取得杭锦旗发展和改革委员会《项目备案告知书》，项目代码：2505-150625-04-01-772138，项目名称：泽鑫甘草深加工及饮料生产项目。</w:t>
            </w:r>
          </w:p>
          <w:p w14:paraId="3AC8B8DE">
            <w:pPr>
              <w:autoSpaceDE w:val="0"/>
              <w:autoSpaceDN w:val="0"/>
              <w:spacing w:line="360" w:lineRule="auto"/>
              <w:ind w:firstLine="480" w:firstLineChars="20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szCs w:val="24"/>
              </w:rPr>
              <w:t>本项目</w:t>
            </w:r>
            <w:r>
              <w:rPr>
                <w:rFonts w:hint="default" w:ascii="Times New Roman" w:hAnsi="Times New Roman" w:eastAsia="宋体" w:cs="Times New Roman"/>
                <w:color w:val="auto"/>
                <w:sz w:val="24"/>
                <w:szCs w:val="24"/>
                <w:lang w:val="en-US" w:eastAsia="zh-CN"/>
              </w:rPr>
              <w:t>主要生产保健食品和饮品</w:t>
            </w:r>
            <w:r>
              <w:rPr>
                <w:rFonts w:hint="default" w:ascii="Times New Roman" w:hAnsi="Times New Roman" w:eastAsia="宋体" w:cs="Times New Roman"/>
                <w:color w:val="auto"/>
                <w:sz w:val="24"/>
                <w:szCs w:val="24"/>
              </w:rPr>
              <w:t>，项目不属于《产业结构调整指导目录（2024年本）》（中华人民共和国国家发展和改革委员会令第7号，自2024年2月1日起施行）中限制类、淘汰类、鼓励类项目，为允许类项目，项目的建设符合国家产业政策</w:t>
            </w:r>
            <w:r>
              <w:rPr>
                <w:rFonts w:hint="default" w:ascii="Times New Roman" w:hAnsi="Times New Roman" w:eastAsia="宋体" w:cs="Times New Roman"/>
                <w:color w:val="auto"/>
                <w:sz w:val="24"/>
                <w:szCs w:val="24"/>
                <w:lang w:eastAsia="zh-CN"/>
              </w:rPr>
              <w:t>。</w:t>
            </w:r>
          </w:p>
          <w:p w14:paraId="1CB78A1F">
            <w:pPr>
              <w:rPr>
                <w:rFonts w:hint="default" w:ascii="Times New Roman" w:hAnsi="Times New Roman" w:eastAsia="宋体" w:cs="Times New Roman"/>
                <w:color w:val="auto"/>
                <w:sz w:val="24"/>
              </w:rPr>
            </w:pPr>
          </w:p>
        </w:tc>
      </w:tr>
    </w:tbl>
    <w:p w14:paraId="0B2C7212">
      <w:pPr>
        <w:spacing w:line="360" w:lineRule="auto"/>
        <w:outlineLvl w:val="0"/>
        <w:rPr>
          <w:rFonts w:hint="default" w:ascii="Times New Roman" w:hAnsi="Times New Roman" w:eastAsia="宋体" w:cs="Times New Roman"/>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AB15398">
      <w:pPr>
        <w:pStyle w:val="2"/>
        <w:bidi w:val="0"/>
        <w:rPr>
          <w:rFonts w:hint="default" w:ascii="Times New Roman" w:hAnsi="Times New Roman" w:eastAsia="宋体" w:cs="Times New Roman"/>
          <w:color w:val="auto"/>
        </w:rPr>
      </w:pPr>
      <w:r>
        <w:rPr>
          <w:rFonts w:hint="default" w:ascii="Times New Roman" w:hAnsi="Times New Roman" w:eastAsia="宋体" w:cs="Times New Roman"/>
          <w:color w:val="auto"/>
        </w:rPr>
        <w:t>二、建设项目工程分析</w:t>
      </w:r>
    </w:p>
    <w:tbl>
      <w:tblPr>
        <w:tblStyle w:val="7"/>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24"/>
        <w:gridCol w:w="8457"/>
      </w:tblGrid>
      <w:tr w14:paraId="474E3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17" w:hRule="atLeast"/>
          <w:jc w:val="center"/>
        </w:trPr>
        <w:tc>
          <w:tcPr>
            <w:tcW w:w="239" w:type="pct"/>
            <w:vAlign w:val="center"/>
          </w:tcPr>
          <w:p w14:paraId="3FE0D4B9">
            <w:pPr>
              <w:pStyle w:val="3"/>
              <w:adjustRightInd w:val="0"/>
              <w:snapToGrid w:val="0"/>
              <w:spacing w:before="0" w:beforeAutospacing="0" w:after="0" w:afterAutospacing="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建设内容</w:t>
            </w:r>
          </w:p>
        </w:tc>
        <w:tc>
          <w:tcPr>
            <w:tcW w:w="4760" w:type="pct"/>
          </w:tcPr>
          <w:p w14:paraId="2F4D8344">
            <w:pPr>
              <w:spacing w:line="360" w:lineRule="auto"/>
              <w:ind w:firstLine="482" w:firstLineChars="20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1.项目由来</w:t>
            </w:r>
          </w:p>
          <w:p w14:paraId="4E7FCA1A">
            <w:pPr>
              <w:spacing w:line="360" w:lineRule="auto"/>
              <w:ind w:firstLine="480" w:firstLineChars="200"/>
              <w:jc w:val="left"/>
              <w:rPr>
                <w:rFonts w:hint="default" w:ascii="Times New Roman" w:hAnsi="Times New Roman" w:eastAsia="宋体" w:cs="Times New Roman"/>
                <w:bCs/>
                <w:color w:val="auto"/>
                <w:sz w:val="24"/>
                <w:lang w:val="en-US" w:eastAsia="zh-CN" w:bidi="zh-TW"/>
              </w:rPr>
            </w:pPr>
            <w:r>
              <w:rPr>
                <w:rFonts w:hint="default" w:ascii="Times New Roman" w:hAnsi="Times New Roman" w:eastAsia="宋体" w:cs="Times New Roman"/>
                <w:bCs/>
                <w:color w:val="auto"/>
                <w:sz w:val="24"/>
                <w:lang w:val="en-US" w:eastAsia="zh-CN" w:bidi="zh-TW"/>
              </w:rPr>
              <w:t>内蒙古杭锦旗是我国乌拉尔甘草的主产区之一，由于地处库布齐沙漠向黄土高原过渡地带，野生甘草集中分布区域达235.6万亩，占全区草原总面积的28.2%，占内蒙古野生甘草资源总面积的58.3%。可发展甘草的优势产区面积达6800平方公里，占全区土地总面积</w:t>
            </w:r>
            <w:r>
              <w:rPr>
                <w:rFonts w:hint="eastAsia" w:cs="Times New Roman"/>
                <w:bCs/>
                <w:color w:val="auto"/>
                <w:sz w:val="24"/>
                <w:lang w:val="en-US" w:eastAsia="zh-CN" w:bidi="zh-TW"/>
              </w:rPr>
              <w:t>的</w:t>
            </w:r>
            <w:r>
              <w:rPr>
                <w:rFonts w:hint="default" w:ascii="Times New Roman" w:hAnsi="Times New Roman" w:eastAsia="宋体" w:cs="Times New Roman"/>
                <w:bCs/>
                <w:color w:val="auto"/>
                <w:sz w:val="24"/>
                <w:lang w:val="en-US" w:eastAsia="zh-CN" w:bidi="zh-TW"/>
              </w:rPr>
              <w:t>80%以上。由于分布面积大、储量多、品质好，内蒙古杭锦旗甘草色红皮细、骨重粉足、条干顺直，甘草酸和甘草黄酮含量高</w:t>
            </w:r>
            <w:r>
              <w:rPr>
                <w:rFonts w:hint="eastAsia" w:cs="Times New Roman"/>
                <w:bCs/>
                <w:color w:val="auto"/>
                <w:sz w:val="24"/>
                <w:lang w:val="en-US" w:eastAsia="zh-CN" w:bidi="zh-TW"/>
              </w:rPr>
              <w:t>。</w:t>
            </w:r>
            <w:r>
              <w:rPr>
                <w:rFonts w:hint="default" w:ascii="Times New Roman" w:hAnsi="Times New Roman" w:eastAsia="宋体" w:cs="Times New Roman"/>
                <w:bCs/>
                <w:color w:val="auto"/>
                <w:sz w:val="24"/>
                <w:lang w:val="en-US" w:eastAsia="zh-CN" w:bidi="zh-TW"/>
              </w:rPr>
              <w:t>内蒙古杭锦旗是全国乌拉尔甘草的重要产区，是甘草资源集中分布区和</w:t>
            </w:r>
            <w:r>
              <w:rPr>
                <w:rFonts w:hint="eastAsia" w:cs="Times New Roman"/>
                <w:bCs/>
                <w:color w:val="auto"/>
                <w:sz w:val="24"/>
                <w:lang w:val="en-US" w:eastAsia="zh-CN" w:bidi="zh-TW"/>
              </w:rPr>
              <w:t>“</w:t>
            </w:r>
            <w:r>
              <w:rPr>
                <w:rFonts w:hint="default" w:ascii="Times New Roman" w:hAnsi="Times New Roman" w:eastAsia="宋体" w:cs="Times New Roman"/>
                <w:bCs/>
                <w:color w:val="auto"/>
                <w:sz w:val="24"/>
                <w:lang w:val="en-US" w:eastAsia="zh-CN" w:bidi="zh-TW"/>
              </w:rPr>
              <w:t>西正甘草</w:t>
            </w:r>
            <w:r>
              <w:rPr>
                <w:rFonts w:hint="eastAsia" w:cs="Times New Roman"/>
                <w:bCs/>
                <w:color w:val="auto"/>
                <w:sz w:val="24"/>
                <w:lang w:val="en-US" w:eastAsia="zh-CN" w:bidi="zh-TW"/>
              </w:rPr>
              <w:t>”</w:t>
            </w:r>
            <w:r>
              <w:rPr>
                <w:rFonts w:hint="default" w:ascii="Times New Roman" w:hAnsi="Times New Roman" w:eastAsia="宋体" w:cs="Times New Roman"/>
                <w:bCs/>
                <w:color w:val="auto"/>
                <w:sz w:val="24"/>
                <w:lang w:val="en-US" w:eastAsia="zh-CN" w:bidi="zh-TW"/>
              </w:rPr>
              <w:t>的主产区，也是国家中药现代化科技产业中药材基地。</w:t>
            </w:r>
          </w:p>
          <w:p w14:paraId="07592F49">
            <w:pPr>
              <w:spacing w:line="360" w:lineRule="auto"/>
              <w:ind w:firstLine="480" w:firstLineChars="200"/>
              <w:jc w:val="left"/>
              <w:rPr>
                <w:rFonts w:hint="default" w:ascii="Times New Roman" w:hAnsi="Times New Roman" w:eastAsia="宋体" w:cs="Times New Roman"/>
                <w:bCs/>
                <w:color w:val="auto"/>
                <w:sz w:val="24"/>
                <w:lang w:bidi="zh-TW"/>
              </w:rPr>
            </w:pPr>
            <w:r>
              <w:rPr>
                <w:rFonts w:hint="default" w:ascii="Times New Roman" w:hAnsi="Times New Roman" w:eastAsia="宋体" w:cs="Times New Roman"/>
                <w:bCs/>
                <w:color w:val="auto"/>
                <w:sz w:val="24"/>
                <w:lang w:bidi="zh-TW"/>
              </w:rPr>
              <w:t>甘草不仅在中医临床上应用广泛，其制品在食品、保健品、烟草等行业也得到广泛应用，随着科研开发的深入，甘草的用途越来越广泛，需求量在不断扩大，随着科学技术的发展、市场对外开放及国内外需求的转移</w:t>
            </w:r>
            <w:r>
              <w:rPr>
                <w:rFonts w:hint="eastAsia" w:cs="Times New Roman"/>
                <w:bCs/>
                <w:color w:val="auto"/>
                <w:sz w:val="24"/>
                <w:lang w:eastAsia="zh-CN" w:bidi="zh-TW"/>
              </w:rPr>
              <w:t>，</w:t>
            </w:r>
            <w:r>
              <w:rPr>
                <w:rFonts w:hint="default" w:ascii="Times New Roman" w:hAnsi="Times New Roman" w:eastAsia="宋体" w:cs="Times New Roman"/>
                <w:bCs/>
                <w:color w:val="auto"/>
                <w:sz w:val="24"/>
                <w:lang w:bidi="zh-TW"/>
              </w:rPr>
              <w:t>传统的中药及保健品使用方式和效能已明显落后</w:t>
            </w:r>
            <w:r>
              <w:rPr>
                <w:rFonts w:hint="eastAsia" w:cs="Times New Roman"/>
                <w:bCs/>
                <w:color w:val="auto"/>
                <w:sz w:val="24"/>
                <w:lang w:eastAsia="zh-CN" w:bidi="zh-TW"/>
              </w:rPr>
              <w:t>。</w:t>
            </w:r>
            <w:r>
              <w:rPr>
                <w:rFonts w:hint="default" w:ascii="Times New Roman" w:hAnsi="Times New Roman" w:eastAsia="宋体" w:cs="Times New Roman"/>
                <w:bCs/>
                <w:color w:val="auto"/>
                <w:sz w:val="24"/>
                <w:lang w:bidi="zh-TW"/>
              </w:rPr>
              <w:t>需要对中药在不违背中药理论条件下，利用现代提取技术进行加工改造，最大限度地浓缩富集有效成分，提高单位质量中天然药物及保健品的效用和价值。</w:t>
            </w:r>
          </w:p>
          <w:p w14:paraId="772E2302">
            <w:pPr>
              <w:spacing w:line="360" w:lineRule="auto"/>
              <w:ind w:firstLine="480" w:firstLineChars="200"/>
              <w:jc w:val="left"/>
              <w:rPr>
                <w:rFonts w:hint="default" w:ascii="Times New Roman" w:hAnsi="Times New Roman" w:eastAsia="宋体" w:cs="Times New Roman"/>
                <w:bCs/>
                <w:color w:val="auto"/>
                <w:sz w:val="24"/>
                <w:lang w:bidi="zh-TW"/>
              </w:rPr>
            </w:pPr>
            <w:r>
              <w:rPr>
                <w:rFonts w:hint="default" w:ascii="Times New Roman" w:hAnsi="Times New Roman" w:eastAsia="宋体" w:cs="Times New Roman"/>
                <w:bCs/>
                <w:color w:val="auto"/>
                <w:sz w:val="24"/>
                <w:lang w:bidi="zh-TW"/>
              </w:rPr>
              <w:t>甘草经我国传统医学长期临床实践验证，确认其有补脾益气、清热解毒、祛痰止咳、缓急止痛、调和诸药的功效，可用于治疗脾胃虚弱、倦怠乏力、心悸气短、咳嗽多痰、腹腔和四肢疼痛、痈肿疮毒等症，并用之缓解</w:t>
            </w:r>
            <w:r>
              <w:rPr>
                <w:rFonts w:hint="default" w:ascii="Times New Roman" w:hAnsi="Times New Roman" w:eastAsia="宋体" w:cs="Times New Roman"/>
                <w:bCs/>
                <w:color w:val="auto"/>
                <w:sz w:val="24"/>
                <w:lang w:eastAsia="zh-CN" w:bidi="zh-TW"/>
              </w:rPr>
              <w:t>其他药</w:t>
            </w:r>
            <w:r>
              <w:rPr>
                <w:rFonts w:hint="default" w:ascii="Times New Roman" w:hAnsi="Times New Roman" w:eastAsia="宋体" w:cs="Times New Roman"/>
                <w:bCs/>
                <w:color w:val="auto"/>
                <w:sz w:val="24"/>
                <w:lang w:bidi="zh-TW"/>
              </w:rPr>
              <w:t>的毒性。</w:t>
            </w:r>
          </w:p>
          <w:p w14:paraId="6D457910">
            <w:pPr>
              <w:spacing w:line="360" w:lineRule="auto"/>
              <w:ind w:firstLine="480" w:firstLineChars="200"/>
              <w:jc w:val="left"/>
              <w:rPr>
                <w:rFonts w:hint="default" w:ascii="Times New Roman" w:hAnsi="Times New Roman" w:eastAsia="宋体" w:cs="Times New Roman"/>
                <w:bCs/>
                <w:color w:val="auto"/>
                <w:sz w:val="24"/>
                <w:lang w:val="en-US" w:eastAsia="zh-CN" w:bidi="zh-TW"/>
              </w:rPr>
            </w:pPr>
            <w:r>
              <w:rPr>
                <w:rFonts w:hint="default" w:ascii="Times New Roman" w:hAnsi="Times New Roman" w:eastAsia="宋体" w:cs="Times New Roman"/>
                <w:bCs/>
                <w:color w:val="auto"/>
                <w:sz w:val="24"/>
                <w:lang w:val="en-US" w:eastAsia="zh-CN" w:bidi="zh-TW"/>
              </w:rPr>
              <w:t>在此背景下，鄂尔多斯市泽鑫水务投资集团有限责任公司提出泽鑫甘草深加工及饮料生产项目，年生产2000吨甘草提取物和6000万罐甘草露</w:t>
            </w:r>
            <w:r>
              <w:rPr>
                <w:rFonts w:hint="default" w:ascii="Times New Roman" w:hAnsi="Times New Roman" w:eastAsia="宋体" w:cs="Times New Roman"/>
                <w:bCs/>
                <w:color w:val="auto"/>
                <w:sz w:val="24"/>
                <w:highlight w:val="none"/>
                <w:lang w:val="en-US" w:eastAsia="zh-CN" w:bidi="zh-TW"/>
              </w:rPr>
              <w:t>。</w:t>
            </w:r>
          </w:p>
          <w:p w14:paraId="08E3D94F">
            <w:pPr>
              <w:spacing w:line="360" w:lineRule="auto"/>
              <w:ind w:firstLine="480" w:firstLineChars="200"/>
              <w:jc w:val="left"/>
              <w:rPr>
                <w:rFonts w:hint="default" w:ascii="Times New Roman" w:hAnsi="Times New Roman" w:eastAsia="宋体" w:cs="Times New Roman"/>
                <w:bCs/>
                <w:color w:val="auto"/>
                <w:sz w:val="24"/>
                <w:lang w:bidi="zh-TW"/>
              </w:rPr>
            </w:pPr>
            <w:r>
              <w:rPr>
                <w:rFonts w:hint="default" w:ascii="Times New Roman" w:hAnsi="Times New Roman" w:eastAsia="宋体" w:cs="Times New Roman"/>
                <w:bCs/>
                <w:color w:val="auto"/>
                <w:sz w:val="24"/>
                <w:lang w:bidi="zh-TW"/>
              </w:rPr>
              <w:t>根据《建设项目环境影响评价分类管理名录（2021版）》，本项目属于</w:t>
            </w:r>
            <w:r>
              <w:rPr>
                <w:rFonts w:hint="eastAsia" w:cs="Times New Roman"/>
                <w:bCs/>
                <w:color w:val="auto"/>
                <w:sz w:val="24"/>
                <w:lang w:eastAsia="zh-CN" w:bidi="zh-TW"/>
              </w:rPr>
              <w:t>“</w:t>
            </w:r>
            <w:r>
              <w:rPr>
                <w:rFonts w:hint="default" w:ascii="Times New Roman" w:hAnsi="Times New Roman" w:eastAsia="宋体" w:cs="Times New Roman"/>
                <w:bCs/>
                <w:color w:val="auto"/>
                <w:sz w:val="24"/>
                <w:lang w:val="en-US" w:eastAsia="zh-CN" w:bidi="zh-TW"/>
              </w:rPr>
              <w:t>十一、食品制造业 14</w:t>
            </w:r>
            <w:r>
              <w:rPr>
                <w:rFonts w:hint="eastAsia" w:cs="Times New Roman"/>
                <w:bCs/>
                <w:color w:val="auto"/>
                <w:sz w:val="24"/>
                <w:lang w:val="en-US" w:eastAsia="zh-CN" w:bidi="zh-TW"/>
              </w:rPr>
              <w:t>”</w:t>
            </w:r>
            <w:r>
              <w:rPr>
                <w:rFonts w:hint="default" w:ascii="Times New Roman" w:hAnsi="Times New Roman" w:eastAsia="宋体" w:cs="Times New Roman"/>
                <w:bCs/>
                <w:color w:val="auto"/>
                <w:sz w:val="24"/>
                <w:lang w:val="en-US" w:eastAsia="zh-CN" w:bidi="zh-TW"/>
              </w:rPr>
              <w:t>中</w:t>
            </w:r>
            <w:r>
              <w:rPr>
                <w:rFonts w:hint="eastAsia" w:cs="Times New Roman"/>
                <w:bCs/>
                <w:color w:val="auto"/>
                <w:sz w:val="24"/>
                <w:lang w:val="en-US" w:eastAsia="zh-CN" w:bidi="zh-TW"/>
              </w:rPr>
              <w:t>“</w:t>
            </w:r>
            <w:r>
              <w:rPr>
                <w:rFonts w:hint="default" w:ascii="Times New Roman" w:hAnsi="Times New Roman" w:eastAsia="宋体" w:cs="Times New Roman"/>
                <w:bCs/>
                <w:color w:val="auto"/>
                <w:sz w:val="24"/>
                <w:lang w:val="en-US" w:eastAsia="zh-CN" w:bidi="zh-TW"/>
              </w:rPr>
              <w:t>24其他食品制造 149*－保健食品制造</w:t>
            </w:r>
            <w:r>
              <w:rPr>
                <w:rFonts w:hint="eastAsia" w:cs="Times New Roman"/>
                <w:bCs/>
                <w:color w:val="auto"/>
                <w:sz w:val="24"/>
                <w:lang w:eastAsia="zh-CN" w:bidi="zh-TW"/>
              </w:rPr>
              <w:t>”</w:t>
            </w:r>
            <w:r>
              <w:rPr>
                <w:rFonts w:hint="default" w:ascii="Times New Roman" w:hAnsi="Times New Roman" w:eastAsia="宋体" w:cs="Times New Roman"/>
                <w:bCs/>
                <w:color w:val="auto"/>
                <w:sz w:val="24"/>
                <w:lang w:bidi="zh-TW"/>
              </w:rPr>
              <w:t>，需编制环境影响评价报告表。因此，</w:t>
            </w:r>
            <w:r>
              <w:rPr>
                <w:rFonts w:hint="default" w:ascii="Times New Roman" w:hAnsi="Times New Roman" w:eastAsia="宋体" w:cs="Times New Roman"/>
                <w:bCs/>
                <w:color w:val="auto"/>
                <w:sz w:val="24"/>
                <w:lang w:eastAsia="zh-CN"/>
              </w:rPr>
              <w:t>鄂尔多斯市泽鑫水务投资集团有限责任公司</w:t>
            </w:r>
            <w:r>
              <w:rPr>
                <w:rFonts w:hint="default" w:ascii="Times New Roman" w:hAnsi="Times New Roman" w:eastAsia="宋体" w:cs="Times New Roman"/>
                <w:bCs/>
                <w:color w:val="auto"/>
                <w:sz w:val="24"/>
                <w:lang w:bidi="zh-TW"/>
              </w:rPr>
              <w:t>委托我公司承担了本项目的环境影响评价工作。接到委托后，我公司第一时间进行现场踏勘、必要的现状监测及工程分析，依据《建设项目环境影响报告表编制技术指南（污染影响类）（试行）》的要求编制完成了本项目的环境影响评价报告表。</w:t>
            </w:r>
          </w:p>
          <w:p w14:paraId="28145A15">
            <w:pPr>
              <w:spacing w:line="360" w:lineRule="auto"/>
              <w:ind w:firstLine="482" w:firstLineChars="20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2.建设内容</w:t>
            </w:r>
          </w:p>
          <w:p w14:paraId="2FD09BD1">
            <w:pPr>
              <w:spacing w:line="360" w:lineRule="auto"/>
              <w:ind w:firstLine="482" w:firstLineChars="200"/>
              <w:jc w:val="left"/>
              <w:rPr>
                <w:rFonts w:hint="default" w:ascii="Times New Roman" w:hAnsi="Times New Roman" w:eastAsia="宋体" w:cs="Times New Roman"/>
                <w:bCs/>
                <w:color w:val="auto"/>
                <w:sz w:val="24"/>
                <w:lang w:eastAsia="zh-CN"/>
              </w:rPr>
            </w:pPr>
            <w:r>
              <w:rPr>
                <w:rFonts w:hint="default" w:ascii="Times New Roman" w:hAnsi="Times New Roman" w:eastAsia="宋体" w:cs="Times New Roman"/>
                <w:b/>
                <w:bCs/>
                <w:color w:val="auto"/>
                <w:sz w:val="24"/>
              </w:rPr>
              <w:t>项目名称：</w:t>
            </w:r>
            <w:r>
              <w:rPr>
                <w:rFonts w:hint="default" w:ascii="Times New Roman" w:hAnsi="Times New Roman" w:eastAsia="宋体" w:cs="Times New Roman"/>
                <w:bCs/>
                <w:color w:val="auto"/>
                <w:sz w:val="24"/>
                <w:lang w:eastAsia="zh-CN"/>
              </w:rPr>
              <w:t>泽鑫甘草深加工及饮料生产项目</w:t>
            </w:r>
          </w:p>
          <w:p w14:paraId="70F65FA3">
            <w:pPr>
              <w:spacing w:line="360" w:lineRule="auto"/>
              <w:ind w:firstLine="482" w:firstLineChars="200"/>
              <w:jc w:val="left"/>
              <w:rPr>
                <w:rFonts w:hint="default" w:ascii="Times New Roman" w:hAnsi="Times New Roman" w:eastAsia="宋体" w:cs="Times New Roman"/>
                <w:bCs/>
                <w:color w:val="auto"/>
                <w:sz w:val="24"/>
                <w:lang w:eastAsia="zh-CN"/>
              </w:rPr>
            </w:pPr>
            <w:r>
              <w:rPr>
                <w:rFonts w:hint="default" w:ascii="Times New Roman" w:hAnsi="Times New Roman" w:eastAsia="宋体" w:cs="Times New Roman"/>
                <w:b/>
                <w:bCs/>
                <w:color w:val="auto"/>
                <w:sz w:val="24"/>
              </w:rPr>
              <w:t>建设单位：</w:t>
            </w:r>
            <w:r>
              <w:rPr>
                <w:rFonts w:hint="default" w:ascii="Times New Roman" w:hAnsi="Times New Roman" w:eastAsia="宋体" w:cs="Times New Roman"/>
                <w:bCs/>
                <w:color w:val="auto"/>
                <w:sz w:val="24"/>
                <w:lang w:eastAsia="zh-CN"/>
              </w:rPr>
              <w:t>鄂尔多斯市泽鑫水务投资集团有限责任公司</w:t>
            </w:r>
          </w:p>
          <w:p w14:paraId="36BFF1B1">
            <w:pPr>
              <w:spacing w:line="360" w:lineRule="auto"/>
              <w:ind w:firstLine="482" w:firstLineChars="200"/>
              <w:jc w:val="left"/>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rPr>
              <w:t>建设性质：</w:t>
            </w:r>
            <w:r>
              <w:rPr>
                <w:rFonts w:hint="default" w:ascii="Times New Roman" w:hAnsi="Times New Roman" w:eastAsia="宋体" w:cs="Times New Roman"/>
                <w:b w:val="0"/>
                <w:bCs w:val="0"/>
                <w:color w:val="auto"/>
                <w:sz w:val="24"/>
                <w:lang w:val="en-US" w:eastAsia="zh-CN"/>
              </w:rPr>
              <w:t>新建</w:t>
            </w:r>
          </w:p>
          <w:p w14:paraId="4A58C1F9">
            <w:pPr>
              <w:spacing w:line="360" w:lineRule="auto"/>
              <w:ind w:firstLine="482"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
                <w:bCs/>
                <w:color w:val="auto"/>
                <w:sz w:val="24"/>
              </w:rPr>
              <w:t>建设地点：</w:t>
            </w:r>
            <w:bookmarkStart w:id="2" w:name="_Hlk172558676"/>
            <w:r>
              <w:rPr>
                <w:rFonts w:hint="default" w:ascii="Times New Roman" w:hAnsi="Times New Roman" w:eastAsia="宋体" w:cs="Times New Roman"/>
                <w:bCs/>
                <w:color w:val="auto"/>
                <w:sz w:val="24"/>
              </w:rPr>
              <w:t>项目位于内蒙古自治区</w:t>
            </w:r>
            <w:bookmarkEnd w:id="2"/>
            <w:r>
              <w:rPr>
                <w:rFonts w:hint="default" w:ascii="Times New Roman" w:hAnsi="Times New Roman" w:eastAsia="宋体" w:cs="Times New Roman"/>
                <w:bCs/>
                <w:color w:val="auto"/>
                <w:sz w:val="24"/>
                <w:lang w:eastAsia="zh-CN"/>
              </w:rPr>
              <w:t>鄂尔多斯市杭锦旗锡尼镇团结社区，109国道南、阿四线西</w:t>
            </w:r>
            <w:r>
              <w:rPr>
                <w:rFonts w:hint="eastAsia" w:cs="Times New Roman"/>
                <w:bCs/>
                <w:color w:val="auto"/>
                <w:sz w:val="24"/>
                <w:lang w:eastAsia="zh-CN"/>
              </w:rPr>
              <w:t>。</w:t>
            </w:r>
            <w:r>
              <w:rPr>
                <w:rFonts w:hint="default" w:ascii="Times New Roman" w:hAnsi="Times New Roman" w:eastAsia="宋体" w:cs="Times New Roman"/>
                <w:bCs/>
                <w:color w:val="auto"/>
                <w:sz w:val="24"/>
                <w:lang w:val="en-US" w:eastAsia="zh-CN"/>
              </w:rPr>
              <w:t>项目</w:t>
            </w:r>
            <w:r>
              <w:rPr>
                <w:rFonts w:hint="default" w:ascii="Times New Roman" w:hAnsi="Times New Roman" w:eastAsia="宋体" w:cs="Times New Roman"/>
                <w:bCs/>
                <w:color w:val="auto"/>
                <w:sz w:val="24"/>
              </w:rPr>
              <w:t>中心地理坐标为：E10</w:t>
            </w:r>
            <w:r>
              <w:rPr>
                <w:rFonts w:hint="default" w:ascii="Times New Roman" w:hAnsi="Times New Roman" w:eastAsia="宋体" w:cs="Times New Roman"/>
                <w:bCs/>
                <w:color w:val="auto"/>
                <w:sz w:val="24"/>
                <w:lang w:val="en-US" w:eastAsia="zh-CN"/>
              </w:rPr>
              <w:t>8</w:t>
            </w:r>
            <w:r>
              <w:rPr>
                <w:rFonts w:hint="default" w:ascii="Times New Roman" w:hAnsi="Times New Roman" w:eastAsia="宋体" w:cs="Times New Roman"/>
                <w:bCs/>
                <w:color w:val="auto"/>
                <w:sz w:val="24"/>
              </w:rPr>
              <w:t>°</w:t>
            </w:r>
            <w:r>
              <w:rPr>
                <w:rFonts w:hint="default" w:ascii="Times New Roman" w:hAnsi="Times New Roman" w:eastAsia="宋体" w:cs="Times New Roman"/>
                <w:bCs/>
                <w:color w:val="auto"/>
                <w:sz w:val="24"/>
                <w:lang w:val="en-US" w:eastAsia="zh-CN"/>
              </w:rPr>
              <w:t>44</w:t>
            </w:r>
            <w:r>
              <w:rPr>
                <w:rFonts w:hint="default" w:ascii="Times New Roman" w:hAnsi="Times New Roman" w:eastAsia="宋体" w:cs="Times New Roman"/>
                <w:bCs/>
                <w:color w:val="auto"/>
                <w:sz w:val="24"/>
              </w:rPr>
              <w:t>'</w:t>
            </w:r>
            <w:r>
              <w:rPr>
                <w:rFonts w:hint="default" w:ascii="Times New Roman" w:hAnsi="Times New Roman" w:eastAsia="宋体" w:cs="Times New Roman"/>
                <w:bCs/>
                <w:color w:val="auto"/>
                <w:sz w:val="24"/>
                <w:lang w:val="en-US" w:eastAsia="zh-CN"/>
              </w:rPr>
              <w:t>3.889</w:t>
            </w:r>
            <w:r>
              <w:rPr>
                <w:rFonts w:hint="default" w:ascii="Times New Roman" w:hAnsi="Times New Roman" w:eastAsia="宋体" w:cs="Times New Roman"/>
                <w:bCs/>
                <w:color w:val="auto"/>
                <w:sz w:val="24"/>
              </w:rPr>
              <w:t>"，N39°</w:t>
            </w:r>
            <w:r>
              <w:rPr>
                <w:rFonts w:hint="default" w:ascii="Times New Roman" w:hAnsi="Times New Roman" w:eastAsia="宋体" w:cs="Times New Roman"/>
                <w:bCs/>
                <w:color w:val="auto"/>
                <w:sz w:val="24"/>
                <w:lang w:val="en-US" w:eastAsia="zh-CN"/>
              </w:rPr>
              <w:t>48</w:t>
            </w:r>
            <w:r>
              <w:rPr>
                <w:rFonts w:hint="default" w:ascii="Times New Roman" w:hAnsi="Times New Roman" w:eastAsia="宋体" w:cs="Times New Roman"/>
                <w:bCs/>
                <w:color w:val="auto"/>
                <w:sz w:val="24"/>
              </w:rPr>
              <w:t>'</w:t>
            </w:r>
            <w:r>
              <w:rPr>
                <w:rFonts w:hint="default" w:ascii="Times New Roman" w:hAnsi="Times New Roman" w:eastAsia="宋体" w:cs="Times New Roman"/>
                <w:bCs/>
                <w:color w:val="auto"/>
                <w:sz w:val="24"/>
                <w:lang w:val="en-US" w:eastAsia="zh-CN"/>
              </w:rPr>
              <w:t>50.686</w:t>
            </w:r>
            <w:r>
              <w:rPr>
                <w:rFonts w:hint="default" w:ascii="Times New Roman" w:hAnsi="Times New Roman" w:eastAsia="宋体" w:cs="Times New Roman"/>
                <w:bCs/>
                <w:color w:val="auto"/>
                <w:sz w:val="24"/>
              </w:rPr>
              <w:t>"。项目地理位置图见附图2。</w:t>
            </w:r>
          </w:p>
          <w:p w14:paraId="26897B07">
            <w:pPr>
              <w:spacing w:line="360" w:lineRule="auto"/>
              <w:ind w:firstLine="482" w:firstLineChars="200"/>
              <w:jc w:val="left"/>
              <w:rPr>
                <w:rFonts w:hint="default" w:ascii="Times New Roman" w:hAnsi="Times New Roman" w:eastAsia="宋体" w:cs="Times New Roman"/>
                <w:b w:val="0"/>
                <w:bCs w:val="0"/>
                <w:color w:val="auto"/>
                <w:sz w:val="24"/>
              </w:rPr>
            </w:pPr>
            <w:r>
              <w:rPr>
                <w:rFonts w:hint="default" w:ascii="Times New Roman" w:hAnsi="Times New Roman" w:eastAsia="宋体" w:cs="Times New Roman"/>
                <w:b/>
                <w:bCs/>
                <w:color w:val="auto"/>
                <w:sz w:val="24"/>
              </w:rPr>
              <w:t>建设内容及规模：</w:t>
            </w:r>
            <w:r>
              <w:rPr>
                <w:rFonts w:hint="default" w:ascii="Times New Roman" w:hAnsi="Times New Roman" w:eastAsia="宋体" w:cs="Times New Roman"/>
                <w:b w:val="0"/>
                <w:bCs w:val="0"/>
                <w:color w:val="auto"/>
                <w:sz w:val="24"/>
                <w:lang w:val="en-US" w:eastAsia="zh-CN"/>
              </w:rPr>
              <w:t>项目主要建设甘草深加工厂房（1#厂房）和甘草露生产厂房（2#厂房），在1#厂房建设2000吨/年甘草提取物生产线，在2#厂房建设6000万罐/年甘草露生产线。配套建设锅炉房、水泵房及循环水池等辅助设施。</w:t>
            </w:r>
          </w:p>
          <w:p w14:paraId="4002D94A">
            <w:pPr>
              <w:spacing w:line="360" w:lineRule="auto"/>
              <w:ind w:firstLine="482" w:firstLineChars="20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占地面积：</w:t>
            </w:r>
            <w:r>
              <w:rPr>
                <w:rFonts w:hint="default" w:ascii="Times New Roman" w:hAnsi="Times New Roman" w:eastAsia="宋体" w:cs="Times New Roman"/>
                <w:color w:val="auto"/>
                <w:sz w:val="24"/>
              </w:rPr>
              <w:t>本项目占地面积</w:t>
            </w:r>
            <w:r>
              <w:rPr>
                <w:rFonts w:hint="default" w:ascii="Times New Roman" w:hAnsi="Times New Roman" w:eastAsia="宋体" w:cs="Times New Roman"/>
                <w:color w:val="auto"/>
                <w:sz w:val="24"/>
                <w:lang w:eastAsia="zh-CN"/>
              </w:rPr>
              <w:t>11801.62</w:t>
            </w:r>
            <w:r>
              <w:rPr>
                <w:rFonts w:hint="default" w:ascii="Times New Roman" w:hAnsi="Times New Roman" w:eastAsia="宋体" w:cs="Times New Roman"/>
                <w:color w:val="auto"/>
                <w:sz w:val="24"/>
                <w:vertAlign w:val="baseline"/>
                <w:lang w:eastAsia="zh-CN"/>
              </w:rPr>
              <w:t>m</w:t>
            </w:r>
            <w:r>
              <w:rPr>
                <w:rFonts w:hint="default" w:ascii="Times New Roman" w:hAnsi="Times New Roman" w:eastAsia="宋体" w:cs="Times New Roman"/>
                <w:color w:val="auto"/>
                <w:sz w:val="24"/>
                <w:vertAlign w:val="superscript"/>
                <w:lang w:eastAsia="zh-CN"/>
              </w:rPr>
              <w:t>2</w:t>
            </w:r>
            <w:r>
              <w:rPr>
                <w:rFonts w:hint="default" w:ascii="Times New Roman" w:hAnsi="Times New Roman" w:eastAsia="宋体" w:cs="Times New Roman"/>
                <w:color w:val="auto"/>
                <w:sz w:val="24"/>
              </w:rPr>
              <w:t>。</w:t>
            </w:r>
          </w:p>
          <w:p w14:paraId="4856B011">
            <w:pPr>
              <w:spacing w:line="360" w:lineRule="auto"/>
              <w:ind w:firstLine="482" w:firstLineChars="200"/>
              <w:jc w:val="left"/>
              <w:rPr>
                <w:rFonts w:hint="default" w:ascii="Times New Roman" w:hAnsi="Times New Roman" w:eastAsia="宋体" w:cs="Times New Roman"/>
                <w:b/>
                <w:bCs/>
                <w:iCs/>
                <w:color w:val="auto"/>
                <w:sz w:val="24"/>
              </w:rPr>
            </w:pPr>
            <w:r>
              <w:rPr>
                <w:rFonts w:hint="default" w:ascii="Times New Roman" w:hAnsi="Times New Roman" w:eastAsia="宋体" w:cs="Times New Roman"/>
                <w:b/>
                <w:bCs/>
                <w:color w:val="auto"/>
                <w:sz w:val="24"/>
              </w:rPr>
              <w:t>项目投资：</w:t>
            </w:r>
            <w:r>
              <w:rPr>
                <w:rFonts w:hint="default" w:ascii="Times New Roman" w:hAnsi="Times New Roman" w:eastAsia="宋体" w:cs="Times New Roman"/>
                <w:b w:val="0"/>
                <w:bCs w:val="0"/>
                <w:color w:val="auto"/>
                <w:sz w:val="24"/>
                <w:lang w:val="en-US" w:eastAsia="zh-CN"/>
              </w:rPr>
              <w:t>本次</w:t>
            </w:r>
            <w:r>
              <w:rPr>
                <w:rFonts w:hint="default" w:ascii="Times New Roman" w:hAnsi="Times New Roman" w:eastAsia="宋体" w:cs="Times New Roman"/>
                <w:bCs/>
                <w:color w:val="auto"/>
                <w:sz w:val="24"/>
              </w:rPr>
              <w:t>总投资为</w:t>
            </w:r>
            <w:r>
              <w:rPr>
                <w:rFonts w:hint="default" w:ascii="Times New Roman" w:hAnsi="Times New Roman" w:eastAsia="宋体" w:cs="Times New Roman"/>
                <w:bCs/>
                <w:color w:val="auto"/>
                <w:sz w:val="24"/>
                <w:lang w:eastAsia="zh-CN"/>
              </w:rPr>
              <w:t>3000万元</w:t>
            </w:r>
            <w:r>
              <w:rPr>
                <w:rFonts w:hint="default" w:ascii="Times New Roman" w:hAnsi="Times New Roman" w:eastAsia="宋体" w:cs="Times New Roman"/>
                <w:bCs/>
                <w:color w:val="auto"/>
                <w:sz w:val="24"/>
              </w:rPr>
              <w:t>，</w:t>
            </w:r>
            <w:r>
              <w:rPr>
                <w:rFonts w:hint="default" w:ascii="Times New Roman" w:hAnsi="Times New Roman" w:eastAsia="宋体" w:cs="Times New Roman"/>
                <w:bCs/>
                <w:color w:val="auto"/>
                <w:sz w:val="24"/>
                <w:lang w:val="en-US" w:eastAsia="zh-CN"/>
              </w:rPr>
              <w:t>其中环保投资45万元，占总投资的1.5%</w:t>
            </w:r>
            <w:r>
              <w:rPr>
                <w:rFonts w:hint="default" w:ascii="Times New Roman" w:hAnsi="Times New Roman" w:eastAsia="宋体" w:cs="Times New Roman"/>
                <w:bCs/>
                <w:color w:val="auto"/>
                <w:sz w:val="24"/>
              </w:rPr>
              <w:t>。</w:t>
            </w:r>
          </w:p>
          <w:p w14:paraId="40AD6141">
            <w:pPr>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本项目工程具体组成见表2-1。</w:t>
            </w:r>
          </w:p>
          <w:p w14:paraId="5678D5BA">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表2-1 项目组成一览表</w:t>
            </w:r>
          </w:p>
          <w:tbl>
            <w:tblPr>
              <w:tblStyle w:val="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301"/>
              <w:gridCol w:w="5214"/>
              <w:gridCol w:w="1064"/>
            </w:tblGrid>
            <w:tr w14:paraId="2D6D19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Borders>
                    <w:bottom w:val="single" w:color="auto" w:sz="4" w:space="0"/>
                  </w:tcBorders>
                  <w:tcMar>
                    <w:left w:w="28" w:type="dxa"/>
                    <w:right w:w="28" w:type="dxa"/>
                  </w:tcMar>
                  <w:vAlign w:val="center"/>
                </w:tcPr>
                <w:p w14:paraId="74AC159C">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类别</w:t>
                  </w:r>
                </w:p>
              </w:tc>
              <w:tc>
                <w:tcPr>
                  <w:tcW w:w="1301" w:type="dxa"/>
                  <w:tcBorders>
                    <w:bottom w:val="single" w:color="auto" w:sz="4" w:space="0"/>
                  </w:tcBorders>
                  <w:tcMar>
                    <w:left w:w="28" w:type="dxa"/>
                    <w:right w:w="28" w:type="dxa"/>
                  </w:tcMar>
                  <w:vAlign w:val="center"/>
                </w:tcPr>
                <w:p w14:paraId="08C60819">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工程名称</w:t>
                  </w:r>
                </w:p>
              </w:tc>
              <w:tc>
                <w:tcPr>
                  <w:tcW w:w="5214" w:type="dxa"/>
                  <w:tcBorders>
                    <w:bottom w:val="single" w:color="auto" w:sz="4" w:space="0"/>
                  </w:tcBorders>
                  <w:tcMar>
                    <w:left w:w="28" w:type="dxa"/>
                    <w:right w:w="28" w:type="dxa"/>
                  </w:tcMar>
                  <w:vAlign w:val="center"/>
                </w:tcPr>
                <w:p w14:paraId="30315577">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建设内容及规模</w:t>
                  </w:r>
                </w:p>
              </w:tc>
              <w:tc>
                <w:tcPr>
                  <w:tcW w:w="1064" w:type="dxa"/>
                  <w:tcBorders>
                    <w:bottom w:val="single" w:color="auto" w:sz="4" w:space="0"/>
                  </w:tcBorders>
                  <w:vAlign w:val="center"/>
                </w:tcPr>
                <w:p w14:paraId="6FA87A6A">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备注</w:t>
                  </w:r>
                </w:p>
              </w:tc>
            </w:tr>
            <w:tr w14:paraId="7DED99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Merge w:val="restart"/>
                  <w:tcBorders>
                    <w:top w:val="single" w:color="auto" w:sz="4" w:space="0"/>
                    <w:left w:val="nil"/>
                    <w:bottom w:val="single" w:color="auto" w:sz="4" w:space="0"/>
                  </w:tcBorders>
                  <w:tcMar>
                    <w:left w:w="28" w:type="dxa"/>
                    <w:right w:w="28" w:type="dxa"/>
                  </w:tcMar>
                  <w:vAlign w:val="center"/>
                </w:tcPr>
                <w:p w14:paraId="4D7B6AAE">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主体</w:t>
                  </w:r>
                </w:p>
                <w:p w14:paraId="12B8713A">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工程</w:t>
                  </w:r>
                </w:p>
              </w:tc>
              <w:tc>
                <w:tcPr>
                  <w:tcW w:w="1301" w:type="dxa"/>
                  <w:tcBorders>
                    <w:top w:val="single" w:color="auto" w:sz="4" w:space="0"/>
                    <w:bottom w:val="single" w:color="auto" w:sz="4" w:space="0"/>
                  </w:tcBorders>
                  <w:tcMar>
                    <w:left w:w="28" w:type="dxa"/>
                    <w:right w:w="28" w:type="dxa"/>
                  </w:tcMar>
                  <w:vAlign w:val="center"/>
                </w:tcPr>
                <w:p w14:paraId="48DC73A5">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甘草深加工厂房（1#厂房）</w:t>
                  </w:r>
                </w:p>
              </w:tc>
              <w:tc>
                <w:tcPr>
                  <w:tcW w:w="5214" w:type="dxa"/>
                  <w:tcBorders>
                    <w:top w:val="single" w:color="auto" w:sz="4" w:space="0"/>
                    <w:bottom w:val="single" w:color="auto" w:sz="4" w:space="0"/>
                  </w:tcBorders>
                  <w:tcMar>
                    <w:left w:w="28" w:type="dxa"/>
                    <w:right w:w="28" w:type="dxa"/>
                  </w:tcMar>
                  <w:vAlign w:val="center"/>
                </w:tcPr>
                <w:p w14:paraId="4C4D55E9">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占地面积2060.45</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2</w:t>
                  </w:r>
                  <w:r>
                    <w:rPr>
                      <w:rFonts w:hint="default" w:ascii="Times New Roman" w:hAnsi="Times New Roman" w:eastAsia="宋体" w:cs="Times New Roman"/>
                      <w:color w:val="auto"/>
                      <w:szCs w:val="21"/>
                      <w:lang w:val="en-US" w:eastAsia="zh-CN"/>
                    </w:rPr>
                    <w:t>，建筑面积4952.39</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2</w:t>
                  </w:r>
                  <w:r>
                    <w:rPr>
                      <w:rFonts w:hint="default" w:ascii="Times New Roman" w:hAnsi="Times New Roman" w:eastAsia="宋体" w:cs="Times New Roman"/>
                      <w:color w:val="auto"/>
                      <w:szCs w:val="21"/>
                      <w:lang w:val="en-US" w:eastAsia="zh-CN"/>
                    </w:rPr>
                    <w:t>，2F，采用钢架结构，第一层建设2000吨/年甘草提取物生产线1条，第二层建设综合办公区、成品包装车间、仓库</w:t>
                  </w:r>
                  <w:r>
                    <w:rPr>
                      <w:rFonts w:hint="default" w:ascii="Times New Roman" w:hAnsi="Times New Roman" w:eastAsia="宋体" w:cs="Times New Roman"/>
                      <w:color w:val="auto"/>
                      <w:szCs w:val="21"/>
                    </w:rPr>
                    <w:t>。</w:t>
                  </w:r>
                </w:p>
              </w:tc>
              <w:tc>
                <w:tcPr>
                  <w:tcW w:w="1064" w:type="dxa"/>
                  <w:tcBorders>
                    <w:top w:val="single" w:color="auto" w:sz="4" w:space="0"/>
                    <w:bottom w:val="single" w:color="auto" w:sz="4" w:space="0"/>
                    <w:right w:val="nil"/>
                  </w:tcBorders>
                  <w:vAlign w:val="center"/>
                </w:tcPr>
                <w:p w14:paraId="4DE5A4BC">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新</w:t>
                  </w:r>
                  <w:r>
                    <w:rPr>
                      <w:rFonts w:hint="default" w:ascii="Times New Roman" w:hAnsi="Times New Roman" w:eastAsia="宋体" w:cs="Times New Roman"/>
                      <w:color w:val="auto"/>
                      <w:szCs w:val="21"/>
                    </w:rPr>
                    <w:t>建</w:t>
                  </w:r>
                </w:p>
              </w:tc>
            </w:tr>
            <w:tr w14:paraId="081250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2" w:type="dxa"/>
                  <w:vMerge w:val="continue"/>
                  <w:tcBorders>
                    <w:top w:val="single" w:color="auto" w:sz="4" w:space="0"/>
                    <w:left w:val="nil"/>
                  </w:tcBorders>
                  <w:tcMar>
                    <w:left w:w="28" w:type="dxa"/>
                    <w:right w:w="28" w:type="dxa"/>
                  </w:tcMar>
                  <w:vAlign w:val="center"/>
                </w:tcPr>
                <w:p w14:paraId="636816AC">
                  <w:pPr>
                    <w:adjustRightInd w:val="0"/>
                    <w:snapToGrid w:val="0"/>
                    <w:jc w:val="center"/>
                    <w:rPr>
                      <w:rFonts w:hint="default" w:ascii="Times New Roman" w:hAnsi="Times New Roman" w:eastAsia="宋体" w:cs="Times New Roman"/>
                      <w:color w:val="auto"/>
                      <w:szCs w:val="21"/>
                    </w:rPr>
                  </w:pPr>
                </w:p>
              </w:tc>
              <w:tc>
                <w:tcPr>
                  <w:tcW w:w="1301" w:type="dxa"/>
                  <w:tcBorders>
                    <w:top w:val="single" w:color="auto" w:sz="4" w:space="0"/>
                  </w:tcBorders>
                  <w:tcMar>
                    <w:left w:w="28" w:type="dxa"/>
                    <w:right w:w="28" w:type="dxa"/>
                  </w:tcMar>
                  <w:vAlign w:val="center"/>
                </w:tcPr>
                <w:p w14:paraId="2ED29E5A">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甘草露生产厂房（2#厂房）</w:t>
                  </w:r>
                </w:p>
              </w:tc>
              <w:tc>
                <w:tcPr>
                  <w:tcW w:w="5214" w:type="dxa"/>
                  <w:tcBorders>
                    <w:top w:val="single" w:color="auto" w:sz="4" w:space="0"/>
                  </w:tcBorders>
                  <w:tcMar>
                    <w:left w:w="28" w:type="dxa"/>
                    <w:right w:w="28" w:type="dxa"/>
                  </w:tcMar>
                  <w:vAlign w:val="center"/>
                </w:tcPr>
                <w:p w14:paraId="687661CB">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占地面积2602.31</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2</w:t>
                  </w:r>
                  <w:r>
                    <w:rPr>
                      <w:rFonts w:hint="default" w:ascii="Times New Roman" w:hAnsi="Times New Roman" w:eastAsia="宋体" w:cs="Times New Roman"/>
                      <w:color w:val="auto"/>
                      <w:szCs w:val="21"/>
                      <w:lang w:val="en-US" w:eastAsia="zh-CN"/>
                    </w:rPr>
                    <w:t>，建筑面积2602.31</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2</w:t>
                  </w:r>
                  <w:r>
                    <w:rPr>
                      <w:rFonts w:hint="default" w:ascii="Times New Roman" w:hAnsi="Times New Roman" w:eastAsia="宋体" w:cs="Times New Roman"/>
                      <w:color w:val="auto"/>
                      <w:szCs w:val="21"/>
                      <w:lang w:val="en-US" w:eastAsia="zh-CN"/>
                    </w:rPr>
                    <w:t>，1F，采用钢架结构，建设6000万罐/年甘草露生产线一条。</w:t>
                  </w:r>
                </w:p>
              </w:tc>
              <w:tc>
                <w:tcPr>
                  <w:tcW w:w="1064" w:type="dxa"/>
                  <w:tcBorders>
                    <w:top w:val="single" w:color="auto" w:sz="4" w:space="0"/>
                  </w:tcBorders>
                  <w:vAlign w:val="center"/>
                </w:tcPr>
                <w:p w14:paraId="2F82C6C4">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新建</w:t>
                  </w:r>
                </w:p>
              </w:tc>
            </w:tr>
            <w:tr w14:paraId="5017F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214ED420">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辅助工程</w:t>
                  </w:r>
                </w:p>
              </w:tc>
              <w:tc>
                <w:tcPr>
                  <w:tcW w:w="1301" w:type="dxa"/>
                  <w:tcBorders>
                    <w:top w:val="single" w:color="auto" w:sz="4" w:space="0"/>
                  </w:tcBorders>
                  <w:tcMar>
                    <w:left w:w="28" w:type="dxa"/>
                    <w:right w:w="28" w:type="dxa"/>
                  </w:tcMar>
                  <w:vAlign w:val="center"/>
                </w:tcPr>
                <w:p w14:paraId="682C8B31">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szCs w:val="21"/>
                      <w:lang w:val="en-US" w:eastAsia="zh-CN"/>
                    </w:rPr>
                    <w:t>天然气蒸汽锅炉房</w:t>
                  </w:r>
                </w:p>
              </w:tc>
              <w:tc>
                <w:tcPr>
                  <w:tcW w:w="5214" w:type="dxa"/>
                  <w:tcBorders>
                    <w:top w:val="single" w:color="auto" w:sz="4" w:space="0"/>
                  </w:tcBorders>
                  <w:tcMar>
                    <w:left w:w="28" w:type="dxa"/>
                    <w:right w:w="28" w:type="dxa"/>
                  </w:tcMar>
                  <w:vAlign w:val="center"/>
                </w:tcPr>
                <w:p w14:paraId="0FE4C027">
                  <w:pPr>
                    <w:adjustRightInd w:val="0"/>
                    <w:snapToGrid w:val="0"/>
                    <w:jc w:val="both"/>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建筑面积353.32</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2</w:t>
                  </w:r>
                  <w:r>
                    <w:rPr>
                      <w:rFonts w:hint="default" w:ascii="Times New Roman" w:hAnsi="Times New Roman" w:eastAsia="宋体" w:cs="Times New Roman"/>
                      <w:color w:val="auto"/>
                      <w:szCs w:val="21"/>
                      <w:lang w:val="en-US" w:eastAsia="zh-CN"/>
                    </w:rPr>
                    <w:t>，新建1台WNS8-1.25-YQ燃气蒸汽锅炉，额定蒸发量8t/h，配备低氮燃烧系统及软水机。</w:t>
                  </w:r>
                </w:p>
              </w:tc>
              <w:tc>
                <w:tcPr>
                  <w:tcW w:w="1064" w:type="dxa"/>
                  <w:vAlign w:val="center"/>
                </w:tcPr>
                <w:p w14:paraId="55AC5A7A">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新</w:t>
                  </w:r>
                  <w:r>
                    <w:rPr>
                      <w:rFonts w:hint="default" w:ascii="Times New Roman" w:hAnsi="Times New Roman" w:eastAsia="宋体" w:cs="Times New Roman"/>
                      <w:color w:val="auto"/>
                      <w:szCs w:val="21"/>
                    </w:rPr>
                    <w:t>建</w:t>
                  </w:r>
                </w:p>
              </w:tc>
            </w:tr>
            <w:tr w14:paraId="0C8092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31F194D">
                  <w:pPr>
                    <w:adjustRightInd w:val="0"/>
                    <w:snapToGrid w:val="0"/>
                    <w:jc w:val="center"/>
                    <w:rPr>
                      <w:rFonts w:hint="default" w:ascii="Times New Roman" w:hAnsi="Times New Roman" w:eastAsia="宋体" w:cs="Times New Roman"/>
                      <w:color w:val="auto"/>
                      <w:szCs w:val="21"/>
                    </w:rPr>
                  </w:pPr>
                </w:p>
              </w:tc>
              <w:tc>
                <w:tcPr>
                  <w:tcW w:w="1301" w:type="dxa"/>
                  <w:tcBorders>
                    <w:top w:val="single" w:color="auto" w:sz="4" w:space="0"/>
                  </w:tcBorders>
                  <w:tcMar>
                    <w:left w:w="28" w:type="dxa"/>
                    <w:right w:w="28" w:type="dxa"/>
                  </w:tcMar>
                  <w:vAlign w:val="center"/>
                </w:tcPr>
                <w:p w14:paraId="540D93CE">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水泵房</w:t>
                  </w:r>
                </w:p>
              </w:tc>
              <w:tc>
                <w:tcPr>
                  <w:tcW w:w="5214" w:type="dxa"/>
                  <w:tcBorders>
                    <w:top w:val="single" w:color="auto" w:sz="4" w:space="0"/>
                  </w:tcBorders>
                  <w:tcMar>
                    <w:left w:w="28" w:type="dxa"/>
                    <w:right w:w="28" w:type="dxa"/>
                  </w:tcMar>
                  <w:vAlign w:val="center"/>
                </w:tcPr>
                <w:p w14:paraId="4C6EA96F">
                  <w:pPr>
                    <w:adjustRightInd w:val="0"/>
                    <w:snapToGrid w:val="0"/>
                    <w:jc w:val="both"/>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建筑面积83.61</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2</w:t>
                  </w:r>
                  <w:r>
                    <w:rPr>
                      <w:rFonts w:hint="default" w:ascii="Times New Roman" w:hAnsi="Times New Roman" w:eastAsia="宋体" w:cs="Times New Roman"/>
                      <w:color w:val="auto"/>
                      <w:szCs w:val="21"/>
                      <w:lang w:val="en-US" w:eastAsia="zh-CN"/>
                    </w:rPr>
                    <w:t>，位于锅炉房南侧。</w:t>
                  </w:r>
                </w:p>
              </w:tc>
              <w:tc>
                <w:tcPr>
                  <w:tcW w:w="1064" w:type="dxa"/>
                  <w:vAlign w:val="center"/>
                </w:tcPr>
                <w:p w14:paraId="3965CDE7">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新建</w:t>
                  </w:r>
                </w:p>
              </w:tc>
            </w:tr>
            <w:tr w14:paraId="68F194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1F86E7D">
                  <w:pPr>
                    <w:adjustRightInd w:val="0"/>
                    <w:snapToGrid w:val="0"/>
                    <w:jc w:val="center"/>
                    <w:rPr>
                      <w:rFonts w:hint="default" w:ascii="Times New Roman" w:hAnsi="Times New Roman" w:eastAsia="宋体" w:cs="Times New Roman"/>
                      <w:color w:val="auto"/>
                      <w:szCs w:val="21"/>
                    </w:rPr>
                  </w:pPr>
                </w:p>
              </w:tc>
              <w:tc>
                <w:tcPr>
                  <w:tcW w:w="1301" w:type="dxa"/>
                  <w:tcBorders>
                    <w:top w:val="single" w:color="auto" w:sz="4" w:space="0"/>
                  </w:tcBorders>
                  <w:tcMar>
                    <w:left w:w="28" w:type="dxa"/>
                    <w:right w:w="28" w:type="dxa"/>
                  </w:tcMar>
                  <w:vAlign w:val="center"/>
                </w:tcPr>
                <w:p w14:paraId="183BBD3A">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循环水池</w:t>
                  </w:r>
                </w:p>
              </w:tc>
              <w:tc>
                <w:tcPr>
                  <w:tcW w:w="5214" w:type="dxa"/>
                  <w:tcBorders>
                    <w:top w:val="single" w:color="auto" w:sz="4" w:space="0"/>
                  </w:tcBorders>
                  <w:tcMar>
                    <w:left w:w="28" w:type="dxa"/>
                    <w:right w:w="28" w:type="dxa"/>
                  </w:tcMar>
                  <w:vAlign w:val="center"/>
                </w:tcPr>
                <w:p w14:paraId="0DF70F9C">
                  <w:pPr>
                    <w:adjustRightInd w:val="0"/>
                    <w:snapToGrid w:val="0"/>
                    <w:jc w:val="both"/>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位于甘草深加工厂房（1#厂房）西侧，设置2座冷却塔，合计冷却能力为130</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3</w:t>
                  </w:r>
                  <w:r>
                    <w:rPr>
                      <w:rFonts w:hint="default" w:ascii="Times New Roman" w:hAnsi="Times New Roman" w:eastAsia="宋体" w:cs="Times New Roman"/>
                      <w:color w:val="auto"/>
                      <w:szCs w:val="21"/>
                      <w:lang w:val="en-US" w:eastAsia="zh-CN"/>
                    </w:rPr>
                    <w:t>/h（单座冷却能力为80</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3</w:t>
                  </w:r>
                  <w:r>
                    <w:rPr>
                      <w:rFonts w:hint="default" w:ascii="Times New Roman" w:hAnsi="Times New Roman" w:eastAsia="宋体" w:cs="Times New Roman"/>
                      <w:color w:val="auto"/>
                      <w:szCs w:val="21"/>
                      <w:lang w:val="en-US" w:eastAsia="zh-CN"/>
                    </w:rPr>
                    <w:t>/h，1台；单座冷却能力为50</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3</w:t>
                  </w:r>
                  <w:r>
                    <w:rPr>
                      <w:rFonts w:hint="default" w:ascii="Times New Roman" w:hAnsi="Times New Roman" w:eastAsia="宋体" w:cs="Times New Roman"/>
                      <w:color w:val="auto"/>
                      <w:szCs w:val="21"/>
                      <w:lang w:val="en-US" w:eastAsia="zh-CN"/>
                    </w:rPr>
                    <w:t>/h，1台）；循环水池配套布置2台循环水泵（2台Q=80</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3</w:t>
                  </w:r>
                  <w:r>
                    <w:rPr>
                      <w:rFonts w:hint="default" w:ascii="Times New Roman" w:hAnsi="Times New Roman" w:eastAsia="宋体" w:cs="Times New Roman"/>
                      <w:color w:val="auto"/>
                      <w:szCs w:val="21"/>
                      <w:lang w:val="en-US" w:eastAsia="zh-CN"/>
                    </w:rPr>
                    <w:t>/h，P=0.6MPa，N=18.5</w:t>
                  </w:r>
                  <w:r>
                    <w:rPr>
                      <w:rFonts w:hint="eastAsia" w:ascii="Times New Roman" w:hAnsi="Times New Roman" w:eastAsia="宋体" w:cs="Times New Roman"/>
                      <w:color w:val="auto"/>
                      <w:szCs w:val="21"/>
                      <w:lang w:val="en-US" w:eastAsia="zh-CN"/>
                    </w:rPr>
                    <w:t>kW</w:t>
                  </w:r>
                  <w:r>
                    <w:rPr>
                      <w:rFonts w:hint="default" w:ascii="Times New Roman" w:hAnsi="Times New Roman" w:eastAsia="宋体" w:cs="Times New Roman"/>
                      <w:color w:val="auto"/>
                      <w:szCs w:val="21"/>
                      <w:lang w:val="en-US" w:eastAsia="zh-CN"/>
                    </w:rPr>
                    <w:t>）。</w:t>
                  </w:r>
                </w:p>
              </w:tc>
              <w:tc>
                <w:tcPr>
                  <w:tcW w:w="1064" w:type="dxa"/>
                  <w:vAlign w:val="center"/>
                </w:tcPr>
                <w:p w14:paraId="6B51CABE">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新建</w:t>
                  </w:r>
                </w:p>
              </w:tc>
            </w:tr>
            <w:tr w14:paraId="5A0A0B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185A8C7">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公用</w:t>
                  </w:r>
                </w:p>
                <w:p w14:paraId="3FA8A5F9">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工程</w:t>
                  </w:r>
                </w:p>
              </w:tc>
              <w:tc>
                <w:tcPr>
                  <w:tcW w:w="1301" w:type="dxa"/>
                  <w:tcMar>
                    <w:left w:w="28" w:type="dxa"/>
                    <w:right w:w="28" w:type="dxa"/>
                  </w:tcMar>
                  <w:vAlign w:val="center"/>
                </w:tcPr>
                <w:p w14:paraId="43F40677">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给水工程</w:t>
                  </w:r>
                </w:p>
              </w:tc>
              <w:tc>
                <w:tcPr>
                  <w:tcW w:w="5214" w:type="dxa"/>
                  <w:tcMar>
                    <w:left w:w="28" w:type="dxa"/>
                    <w:right w:w="28" w:type="dxa"/>
                  </w:tcMar>
                  <w:vAlign w:val="center"/>
                </w:tcPr>
                <w:p w14:paraId="03A8E83D">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项目用水接自市政给水管网</w:t>
                  </w:r>
                  <w:r>
                    <w:rPr>
                      <w:rFonts w:hint="default" w:ascii="Times New Roman" w:hAnsi="Times New Roman" w:eastAsia="宋体" w:cs="Times New Roman"/>
                      <w:color w:val="auto"/>
                      <w:szCs w:val="21"/>
                    </w:rPr>
                    <w:t>。</w:t>
                  </w:r>
                </w:p>
              </w:tc>
              <w:tc>
                <w:tcPr>
                  <w:tcW w:w="1064" w:type="dxa"/>
                  <w:vAlign w:val="center"/>
                </w:tcPr>
                <w:p w14:paraId="01E219F2">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52A6B1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662" w:type="dxa"/>
                  <w:vMerge w:val="continue"/>
                  <w:tcMar>
                    <w:left w:w="28" w:type="dxa"/>
                    <w:right w:w="28" w:type="dxa"/>
                  </w:tcMar>
                  <w:vAlign w:val="center"/>
                </w:tcPr>
                <w:p w14:paraId="4E704B2A">
                  <w:pPr>
                    <w:adjustRightInd w:val="0"/>
                    <w:snapToGrid w:val="0"/>
                    <w:jc w:val="center"/>
                    <w:rPr>
                      <w:rFonts w:hint="default" w:ascii="Times New Roman" w:hAnsi="Times New Roman" w:eastAsia="宋体" w:cs="Times New Roman"/>
                      <w:color w:val="auto"/>
                      <w:szCs w:val="21"/>
                    </w:rPr>
                  </w:pPr>
                </w:p>
              </w:tc>
              <w:tc>
                <w:tcPr>
                  <w:tcW w:w="1301" w:type="dxa"/>
                  <w:tcMar>
                    <w:left w:w="28" w:type="dxa"/>
                    <w:right w:w="28" w:type="dxa"/>
                  </w:tcMar>
                  <w:vAlign w:val="center"/>
                </w:tcPr>
                <w:p w14:paraId="45007960">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排水工程</w:t>
                  </w:r>
                </w:p>
              </w:tc>
              <w:tc>
                <w:tcPr>
                  <w:tcW w:w="5214" w:type="dxa"/>
                  <w:tcMar>
                    <w:left w:w="28" w:type="dxa"/>
                    <w:right w:w="28" w:type="dxa"/>
                  </w:tcMar>
                  <w:vAlign w:val="center"/>
                </w:tcPr>
                <w:p w14:paraId="3E3D4007">
                  <w:pPr>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szCs w:val="21"/>
                    </w:rPr>
                    <w:t>本项目生活污水经化粪池收集后，</w:t>
                  </w:r>
                  <w:r>
                    <w:rPr>
                      <w:rFonts w:hint="default" w:ascii="Times New Roman" w:hAnsi="Times New Roman" w:eastAsia="宋体" w:cs="Times New Roman"/>
                      <w:color w:val="auto"/>
                      <w:szCs w:val="21"/>
                      <w:lang w:val="en-US" w:eastAsia="zh-CN"/>
                    </w:rPr>
                    <w:t>通过市政污水管网，排至杭锦旗锡尼镇污水处理厂。</w:t>
                  </w:r>
                </w:p>
                <w:p w14:paraId="1CCA8C30">
                  <w:pPr>
                    <w:adjustRightInd w:val="0"/>
                    <w:snapToGrid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highlight w:val="none"/>
                      <w:lang w:val="en-US" w:eastAsia="zh-CN"/>
                    </w:rPr>
                    <w:t>本项目生产废水中设备清洗废水</w:t>
                  </w:r>
                  <w:r>
                    <w:rPr>
                      <w:rFonts w:hint="eastAsia" w:cs="Times New Roman"/>
                      <w:color w:val="auto"/>
                      <w:highlight w:val="none"/>
                      <w:lang w:val="en-US" w:eastAsia="zh-CN"/>
                    </w:rPr>
                    <w:t>、燃气锅炉排水</w:t>
                  </w:r>
                  <w:r>
                    <w:rPr>
                      <w:rFonts w:hint="default" w:ascii="Times New Roman" w:hAnsi="Times New Roman" w:eastAsia="宋体" w:cs="Times New Roman"/>
                      <w:color w:val="auto"/>
                      <w:highlight w:val="none"/>
                      <w:lang w:val="en-US" w:eastAsia="zh-CN"/>
                    </w:rPr>
                    <w:t>进入市政污水管网，甘草清洗</w:t>
                  </w:r>
                  <w:r>
                    <w:rPr>
                      <w:rFonts w:hint="eastAsia" w:cs="Times New Roman"/>
                      <w:color w:val="auto"/>
                      <w:highlight w:val="none"/>
                      <w:lang w:val="en-US" w:eastAsia="zh-CN"/>
                    </w:rPr>
                    <w:t>废水、蒸汽冷凝水</w:t>
                  </w:r>
                  <w:r>
                    <w:rPr>
                      <w:rFonts w:hint="default" w:ascii="Times New Roman" w:hAnsi="Times New Roman" w:eastAsia="宋体" w:cs="Times New Roman"/>
                      <w:color w:val="auto"/>
                      <w:highlight w:val="none"/>
                      <w:lang w:val="en-US" w:eastAsia="zh-CN"/>
                    </w:rPr>
                    <w:t>均回用。</w:t>
                  </w:r>
                </w:p>
              </w:tc>
              <w:tc>
                <w:tcPr>
                  <w:tcW w:w="1064" w:type="dxa"/>
                  <w:vAlign w:val="center"/>
                </w:tcPr>
                <w:p w14:paraId="4ECE1273">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新</w:t>
                  </w:r>
                  <w:r>
                    <w:rPr>
                      <w:rFonts w:hint="default" w:ascii="Times New Roman" w:hAnsi="Times New Roman" w:eastAsia="宋体" w:cs="Times New Roman"/>
                      <w:color w:val="auto"/>
                      <w:szCs w:val="21"/>
                    </w:rPr>
                    <w:t>建</w:t>
                  </w:r>
                </w:p>
              </w:tc>
            </w:tr>
            <w:tr w14:paraId="027EBE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A3B72CF">
                  <w:pPr>
                    <w:adjustRightInd w:val="0"/>
                    <w:snapToGrid w:val="0"/>
                    <w:jc w:val="center"/>
                    <w:rPr>
                      <w:rFonts w:hint="default" w:ascii="Times New Roman" w:hAnsi="Times New Roman" w:eastAsia="宋体" w:cs="Times New Roman"/>
                      <w:color w:val="auto"/>
                      <w:szCs w:val="21"/>
                    </w:rPr>
                  </w:pPr>
                </w:p>
              </w:tc>
              <w:tc>
                <w:tcPr>
                  <w:tcW w:w="1301" w:type="dxa"/>
                  <w:tcMar>
                    <w:left w:w="28" w:type="dxa"/>
                    <w:right w:w="28" w:type="dxa"/>
                  </w:tcMar>
                  <w:vAlign w:val="center"/>
                </w:tcPr>
                <w:p w14:paraId="3BAB3594">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供电工程</w:t>
                  </w:r>
                </w:p>
              </w:tc>
              <w:tc>
                <w:tcPr>
                  <w:tcW w:w="5214" w:type="dxa"/>
                  <w:tcMar>
                    <w:left w:w="28" w:type="dxa"/>
                    <w:right w:w="28" w:type="dxa"/>
                  </w:tcMar>
                  <w:vAlign w:val="center"/>
                </w:tcPr>
                <w:p w14:paraId="32334A8E">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接入</w:t>
                  </w:r>
                  <w:r>
                    <w:rPr>
                      <w:rFonts w:hint="default" w:ascii="Times New Roman" w:hAnsi="Times New Roman" w:eastAsia="宋体" w:cs="Times New Roman"/>
                      <w:color w:val="auto"/>
                      <w:szCs w:val="21"/>
                    </w:rPr>
                    <w:t>当地</w:t>
                  </w:r>
                  <w:r>
                    <w:rPr>
                      <w:rFonts w:hint="default" w:ascii="Times New Roman" w:hAnsi="Times New Roman" w:eastAsia="宋体" w:cs="Times New Roman"/>
                      <w:color w:val="auto"/>
                      <w:szCs w:val="21"/>
                      <w:lang w:val="en-US" w:eastAsia="zh-CN"/>
                    </w:rPr>
                    <w:t>市政</w:t>
                  </w:r>
                  <w:r>
                    <w:rPr>
                      <w:rFonts w:hint="default" w:ascii="Times New Roman" w:hAnsi="Times New Roman" w:eastAsia="宋体" w:cs="Times New Roman"/>
                      <w:color w:val="auto"/>
                      <w:szCs w:val="21"/>
                    </w:rPr>
                    <w:t>电网。</w:t>
                  </w:r>
                </w:p>
              </w:tc>
              <w:tc>
                <w:tcPr>
                  <w:tcW w:w="1064" w:type="dxa"/>
                  <w:vAlign w:val="center"/>
                </w:tcPr>
                <w:p w14:paraId="74BFF09D">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w:t>
                  </w:r>
                </w:p>
              </w:tc>
            </w:tr>
            <w:tr w14:paraId="0BC3C2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7A9126A">
                  <w:pPr>
                    <w:adjustRightInd w:val="0"/>
                    <w:snapToGrid w:val="0"/>
                    <w:jc w:val="center"/>
                    <w:rPr>
                      <w:rFonts w:hint="default" w:ascii="Times New Roman" w:hAnsi="Times New Roman" w:eastAsia="宋体" w:cs="Times New Roman"/>
                      <w:color w:val="auto"/>
                      <w:szCs w:val="21"/>
                    </w:rPr>
                  </w:pPr>
                </w:p>
              </w:tc>
              <w:tc>
                <w:tcPr>
                  <w:tcW w:w="1301" w:type="dxa"/>
                  <w:tcMar>
                    <w:left w:w="28" w:type="dxa"/>
                    <w:right w:w="28" w:type="dxa"/>
                  </w:tcMar>
                  <w:vAlign w:val="center"/>
                </w:tcPr>
                <w:p w14:paraId="53A264E1">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供气工程</w:t>
                  </w:r>
                </w:p>
              </w:tc>
              <w:tc>
                <w:tcPr>
                  <w:tcW w:w="5214" w:type="dxa"/>
                  <w:tcMar>
                    <w:left w:w="28" w:type="dxa"/>
                    <w:right w:w="28" w:type="dxa"/>
                  </w:tcMar>
                  <w:vAlign w:val="center"/>
                </w:tcPr>
                <w:p w14:paraId="1B1A1F3F">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接入当地市政天然气管网。</w:t>
                  </w:r>
                </w:p>
              </w:tc>
              <w:tc>
                <w:tcPr>
                  <w:tcW w:w="1064" w:type="dxa"/>
                  <w:vAlign w:val="center"/>
                </w:tcPr>
                <w:p w14:paraId="1875C045">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50B65B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D49A3A3">
                  <w:pPr>
                    <w:adjustRightInd w:val="0"/>
                    <w:snapToGrid w:val="0"/>
                    <w:jc w:val="center"/>
                    <w:rPr>
                      <w:rFonts w:hint="default" w:ascii="Times New Roman" w:hAnsi="Times New Roman" w:eastAsia="宋体" w:cs="Times New Roman"/>
                      <w:color w:val="auto"/>
                      <w:szCs w:val="21"/>
                    </w:rPr>
                  </w:pPr>
                </w:p>
              </w:tc>
              <w:tc>
                <w:tcPr>
                  <w:tcW w:w="1301" w:type="dxa"/>
                  <w:tcMar>
                    <w:left w:w="28" w:type="dxa"/>
                    <w:right w:w="28" w:type="dxa"/>
                  </w:tcMar>
                  <w:vAlign w:val="center"/>
                </w:tcPr>
                <w:p w14:paraId="53A1B1B5">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供暖工程</w:t>
                  </w:r>
                </w:p>
              </w:tc>
              <w:tc>
                <w:tcPr>
                  <w:tcW w:w="5214" w:type="dxa"/>
                  <w:tcMar>
                    <w:left w:w="28" w:type="dxa"/>
                    <w:right w:w="28" w:type="dxa"/>
                  </w:tcMar>
                  <w:vAlign w:val="center"/>
                </w:tcPr>
                <w:p w14:paraId="7D2B4CF5">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接入当地市政供暖管网</w:t>
                  </w:r>
                  <w:r>
                    <w:rPr>
                      <w:rFonts w:hint="default" w:ascii="Times New Roman" w:hAnsi="Times New Roman" w:eastAsia="宋体" w:cs="Times New Roman"/>
                      <w:color w:val="auto"/>
                      <w:szCs w:val="21"/>
                    </w:rPr>
                    <w:t>。</w:t>
                  </w:r>
                </w:p>
              </w:tc>
              <w:tc>
                <w:tcPr>
                  <w:tcW w:w="1064" w:type="dxa"/>
                  <w:vAlign w:val="center"/>
                </w:tcPr>
                <w:p w14:paraId="01345BE7">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w:t>
                  </w:r>
                </w:p>
              </w:tc>
            </w:tr>
            <w:tr w14:paraId="2B50CE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7ECDDDAC">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环保</w:t>
                  </w:r>
                </w:p>
                <w:p w14:paraId="3ABE1083">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工程</w:t>
                  </w:r>
                </w:p>
              </w:tc>
              <w:tc>
                <w:tcPr>
                  <w:tcW w:w="1301" w:type="dxa"/>
                  <w:tcMar>
                    <w:left w:w="28" w:type="dxa"/>
                    <w:right w:w="28" w:type="dxa"/>
                  </w:tcMar>
                  <w:vAlign w:val="center"/>
                </w:tcPr>
                <w:p w14:paraId="288C4357">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废气</w:t>
                  </w:r>
                </w:p>
              </w:tc>
              <w:tc>
                <w:tcPr>
                  <w:tcW w:w="5214" w:type="dxa"/>
                  <w:tcMar>
                    <w:left w:w="28" w:type="dxa"/>
                    <w:right w:w="28" w:type="dxa"/>
                  </w:tcMar>
                  <w:vAlign w:val="center"/>
                </w:tcPr>
                <w:p w14:paraId="28001A9A">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highlight w:val="none"/>
                      <w:lang w:val="en-US" w:eastAsia="zh-CN"/>
                    </w:rPr>
                    <w:t>本项目燃气锅炉采用国际领先</w:t>
                  </w:r>
                  <w:r>
                    <w:rPr>
                      <w:rFonts w:hint="eastAsia" w:cs="Times New Roman"/>
                      <w:color w:val="auto"/>
                      <w:szCs w:val="21"/>
                      <w:highlight w:val="none"/>
                      <w:lang w:val="en-US" w:eastAsia="zh-CN"/>
                    </w:rPr>
                    <w:t>的</w:t>
                  </w:r>
                  <w:r>
                    <w:rPr>
                      <w:rFonts w:hint="default" w:ascii="Times New Roman" w:hAnsi="Times New Roman" w:eastAsia="宋体" w:cs="Times New Roman"/>
                      <w:color w:val="auto"/>
                      <w:szCs w:val="21"/>
                      <w:highlight w:val="none"/>
                      <w:lang w:val="en-US" w:eastAsia="zh-CN"/>
                    </w:rPr>
                    <w:t>低氮燃烧方式，燃烧废气通过8m排气筒达标排放。</w:t>
                  </w:r>
                </w:p>
              </w:tc>
              <w:tc>
                <w:tcPr>
                  <w:tcW w:w="1064" w:type="dxa"/>
                  <w:vAlign w:val="center"/>
                </w:tcPr>
                <w:p w14:paraId="2709500D">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新建</w:t>
                  </w:r>
                </w:p>
              </w:tc>
            </w:tr>
            <w:tr w14:paraId="7FC63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B8A140D">
                  <w:pPr>
                    <w:adjustRightInd w:val="0"/>
                    <w:snapToGrid w:val="0"/>
                    <w:jc w:val="center"/>
                    <w:rPr>
                      <w:rFonts w:hint="default" w:ascii="Times New Roman" w:hAnsi="Times New Roman" w:eastAsia="宋体" w:cs="Times New Roman"/>
                      <w:color w:val="auto"/>
                      <w:szCs w:val="21"/>
                    </w:rPr>
                  </w:pPr>
                </w:p>
              </w:tc>
              <w:tc>
                <w:tcPr>
                  <w:tcW w:w="1301" w:type="dxa"/>
                  <w:vMerge w:val="restart"/>
                  <w:tcMar>
                    <w:left w:w="28" w:type="dxa"/>
                    <w:right w:w="28" w:type="dxa"/>
                  </w:tcMar>
                  <w:vAlign w:val="center"/>
                </w:tcPr>
                <w:p w14:paraId="4B744A69">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废水</w:t>
                  </w:r>
                </w:p>
              </w:tc>
              <w:tc>
                <w:tcPr>
                  <w:tcW w:w="5214" w:type="dxa"/>
                  <w:tcMar>
                    <w:left w:w="28" w:type="dxa"/>
                    <w:right w:w="28" w:type="dxa"/>
                  </w:tcMar>
                  <w:vAlign w:val="center"/>
                </w:tcPr>
                <w:p w14:paraId="47577044">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本项目生活污水经化粪池</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20</w:t>
                  </w:r>
                  <w:r>
                    <w:rPr>
                      <w:rFonts w:hint="default" w:ascii="Times New Roman" w:hAnsi="Times New Roman" w:eastAsia="宋体" w:cs="Times New Roman"/>
                      <w:color w:val="auto"/>
                      <w:szCs w:val="21"/>
                      <w:vertAlign w:val="baseline"/>
                      <w:lang w:val="en-US" w:eastAsia="zh-CN"/>
                    </w:rPr>
                    <w:t>m</w:t>
                  </w:r>
                  <w:r>
                    <w:rPr>
                      <w:rFonts w:hint="default" w:ascii="Times New Roman" w:hAnsi="Times New Roman" w:eastAsia="宋体" w:cs="Times New Roman"/>
                      <w:color w:val="auto"/>
                      <w:szCs w:val="21"/>
                      <w:vertAlign w:val="superscript"/>
                      <w:lang w:val="en-US" w:eastAsia="zh-CN"/>
                    </w:rPr>
                    <w:t>3</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收集后，</w:t>
                  </w:r>
                  <w:r>
                    <w:rPr>
                      <w:rFonts w:hint="default" w:ascii="Times New Roman" w:hAnsi="Times New Roman" w:eastAsia="宋体" w:cs="Times New Roman"/>
                      <w:color w:val="auto"/>
                      <w:szCs w:val="21"/>
                      <w:lang w:val="en-US" w:eastAsia="zh-CN"/>
                    </w:rPr>
                    <w:t>通过市政污水管网，排至杭锦旗锡尼镇污水处理厂</w:t>
                  </w:r>
                  <w:r>
                    <w:rPr>
                      <w:rFonts w:hint="default" w:ascii="Times New Roman" w:hAnsi="Times New Roman" w:eastAsia="宋体" w:cs="Times New Roman"/>
                      <w:color w:val="auto"/>
                      <w:szCs w:val="21"/>
                    </w:rPr>
                    <w:t>。</w:t>
                  </w:r>
                </w:p>
              </w:tc>
              <w:tc>
                <w:tcPr>
                  <w:tcW w:w="1064" w:type="dxa"/>
                  <w:vAlign w:val="center"/>
                </w:tcPr>
                <w:p w14:paraId="007ABD8B">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新建</w:t>
                  </w:r>
                </w:p>
              </w:tc>
            </w:tr>
            <w:tr w14:paraId="59453D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A901F55">
                  <w:pPr>
                    <w:adjustRightInd w:val="0"/>
                    <w:snapToGrid w:val="0"/>
                    <w:jc w:val="center"/>
                    <w:rPr>
                      <w:rFonts w:hint="default" w:ascii="Times New Roman" w:hAnsi="Times New Roman" w:eastAsia="宋体" w:cs="Times New Roman"/>
                      <w:color w:val="auto"/>
                      <w:szCs w:val="21"/>
                    </w:rPr>
                  </w:pPr>
                </w:p>
              </w:tc>
              <w:tc>
                <w:tcPr>
                  <w:tcW w:w="1301" w:type="dxa"/>
                  <w:vMerge w:val="continue"/>
                  <w:tcMar>
                    <w:left w:w="28" w:type="dxa"/>
                    <w:right w:w="28" w:type="dxa"/>
                  </w:tcMar>
                  <w:vAlign w:val="center"/>
                </w:tcPr>
                <w:p w14:paraId="7BF8A9C5">
                  <w:pPr>
                    <w:adjustRightInd w:val="0"/>
                    <w:snapToGrid w:val="0"/>
                    <w:jc w:val="center"/>
                    <w:rPr>
                      <w:rFonts w:hint="default" w:ascii="Times New Roman" w:hAnsi="Times New Roman" w:eastAsia="宋体" w:cs="Times New Roman"/>
                      <w:color w:val="auto"/>
                      <w:szCs w:val="21"/>
                    </w:rPr>
                  </w:pPr>
                </w:p>
              </w:tc>
              <w:tc>
                <w:tcPr>
                  <w:tcW w:w="5214" w:type="dxa"/>
                  <w:tcMar>
                    <w:left w:w="28" w:type="dxa"/>
                    <w:right w:w="28" w:type="dxa"/>
                  </w:tcMar>
                  <w:vAlign w:val="center"/>
                </w:tcPr>
                <w:p w14:paraId="114B7366">
                  <w:pPr>
                    <w:adjustRightInd w:val="0"/>
                    <w:snapToGrid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甘草清洗水液进行沉降分离，上清液回用于甘草清洗，不外排；</w:t>
                  </w:r>
                </w:p>
                <w:p w14:paraId="79862F75">
                  <w:pPr>
                    <w:adjustRightInd w:val="0"/>
                    <w:snapToGrid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蒸汽冷凝水回用于生产工艺，不外排；</w:t>
                  </w:r>
                </w:p>
                <w:p w14:paraId="17D45D1B">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highlight w:val="none"/>
                      <w:lang w:val="en-US" w:eastAsia="zh-CN"/>
                    </w:rPr>
                    <w:t>锅炉排水</w:t>
                  </w:r>
                  <w:r>
                    <w:rPr>
                      <w:rFonts w:hint="eastAsia"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设备清洗废水通过市政污水管网，排至杭锦旗锡尼镇污水处理厂。</w:t>
                  </w:r>
                </w:p>
              </w:tc>
              <w:tc>
                <w:tcPr>
                  <w:tcW w:w="1064" w:type="dxa"/>
                  <w:vAlign w:val="center"/>
                </w:tcPr>
                <w:p w14:paraId="779E1FD3">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6CC9D4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31698123">
                  <w:pPr>
                    <w:adjustRightInd w:val="0"/>
                    <w:snapToGrid w:val="0"/>
                    <w:jc w:val="center"/>
                    <w:rPr>
                      <w:rFonts w:hint="default" w:ascii="Times New Roman" w:hAnsi="Times New Roman" w:eastAsia="宋体" w:cs="Times New Roman"/>
                      <w:color w:val="auto"/>
                      <w:szCs w:val="21"/>
                    </w:rPr>
                  </w:pPr>
                </w:p>
              </w:tc>
              <w:tc>
                <w:tcPr>
                  <w:tcW w:w="1301" w:type="dxa"/>
                  <w:vMerge w:val="restart"/>
                  <w:tcMar>
                    <w:left w:w="28" w:type="dxa"/>
                    <w:right w:w="28" w:type="dxa"/>
                  </w:tcMar>
                  <w:vAlign w:val="center"/>
                </w:tcPr>
                <w:p w14:paraId="210114D4">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固废</w:t>
                  </w:r>
                </w:p>
              </w:tc>
              <w:tc>
                <w:tcPr>
                  <w:tcW w:w="5214" w:type="dxa"/>
                  <w:tcMar>
                    <w:left w:w="28" w:type="dxa"/>
                    <w:right w:w="28" w:type="dxa"/>
                  </w:tcMar>
                  <w:vAlign w:val="center"/>
                </w:tcPr>
                <w:p w14:paraId="744B7BF0">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生活垃圾经厂内垃圾箱收集后交由当地环卫部门定期清运处理。</w:t>
                  </w:r>
                </w:p>
              </w:tc>
              <w:tc>
                <w:tcPr>
                  <w:tcW w:w="1064" w:type="dxa"/>
                  <w:vAlign w:val="center"/>
                </w:tcPr>
                <w:p w14:paraId="36E7919C">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w:t>
                  </w:r>
                </w:p>
              </w:tc>
            </w:tr>
            <w:tr w14:paraId="34F71A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915B701">
                  <w:pPr>
                    <w:adjustRightInd w:val="0"/>
                    <w:snapToGrid w:val="0"/>
                    <w:jc w:val="center"/>
                    <w:rPr>
                      <w:rFonts w:hint="default" w:ascii="Times New Roman" w:hAnsi="Times New Roman" w:eastAsia="宋体" w:cs="Times New Roman"/>
                      <w:color w:val="auto"/>
                      <w:szCs w:val="21"/>
                    </w:rPr>
                  </w:pPr>
                </w:p>
              </w:tc>
              <w:tc>
                <w:tcPr>
                  <w:tcW w:w="1301" w:type="dxa"/>
                  <w:vMerge w:val="continue"/>
                  <w:tcMar>
                    <w:left w:w="28" w:type="dxa"/>
                    <w:right w:w="28" w:type="dxa"/>
                  </w:tcMar>
                  <w:vAlign w:val="center"/>
                </w:tcPr>
                <w:p w14:paraId="580A74D3">
                  <w:pPr>
                    <w:adjustRightInd w:val="0"/>
                    <w:snapToGrid w:val="0"/>
                    <w:jc w:val="center"/>
                    <w:rPr>
                      <w:rFonts w:hint="default" w:ascii="Times New Roman" w:hAnsi="Times New Roman" w:eastAsia="宋体" w:cs="Times New Roman"/>
                      <w:color w:val="auto"/>
                      <w:szCs w:val="21"/>
                    </w:rPr>
                  </w:pPr>
                </w:p>
              </w:tc>
              <w:tc>
                <w:tcPr>
                  <w:tcW w:w="5214" w:type="dxa"/>
                  <w:tcMar>
                    <w:left w:w="28" w:type="dxa"/>
                    <w:right w:w="28" w:type="dxa"/>
                  </w:tcMar>
                  <w:vAlign w:val="center"/>
                </w:tcPr>
                <w:p w14:paraId="706B0379">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甘草清洗泥渣收集暂存于1#厂房固废隔间，定期送往甘草产地，回用于甘草种植。</w:t>
                  </w:r>
                </w:p>
              </w:tc>
              <w:tc>
                <w:tcPr>
                  <w:tcW w:w="1064" w:type="dxa"/>
                  <w:vAlign w:val="center"/>
                </w:tcPr>
                <w:p w14:paraId="4BB6267A">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5AD6C2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5AE4157">
                  <w:pPr>
                    <w:adjustRightInd w:val="0"/>
                    <w:snapToGrid w:val="0"/>
                    <w:jc w:val="center"/>
                    <w:rPr>
                      <w:rFonts w:hint="default" w:ascii="Times New Roman" w:hAnsi="Times New Roman" w:eastAsia="宋体" w:cs="Times New Roman"/>
                      <w:color w:val="auto"/>
                      <w:szCs w:val="21"/>
                    </w:rPr>
                  </w:pPr>
                </w:p>
              </w:tc>
              <w:tc>
                <w:tcPr>
                  <w:tcW w:w="1301" w:type="dxa"/>
                  <w:vMerge w:val="continue"/>
                  <w:tcMar>
                    <w:left w:w="28" w:type="dxa"/>
                    <w:right w:w="28" w:type="dxa"/>
                  </w:tcMar>
                  <w:vAlign w:val="center"/>
                </w:tcPr>
                <w:p w14:paraId="29D482D0">
                  <w:pPr>
                    <w:adjustRightInd w:val="0"/>
                    <w:snapToGrid w:val="0"/>
                    <w:jc w:val="center"/>
                    <w:rPr>
                      <w:rFonts w:hint="default" w:ascii="Times New Roman" w:hAnsi="Times New Roman" w:eastAsia="宋体" w:cs="Times New Roman"/>
                      <w:color w:val="auto"/>
                      <w:szCs w:val="21"/>
                    </w:rPr>
                  </w:pPr>
                </w:p>
              </w:tc>
              <w:tc>
                <w:tcPr>
                  <w:tcW w:w="5214" w:type="dxa"/>
                  <w:tcMar>
                    <w:left w:w="28" w:type="dxa"/>
                    <w:right w:w="28" w:type="dxa"/>
                  </w:tcMar>
                  <w:vAlign w:val="center"/>
                </w:tcPr>
                <w:p w14:paraId="214B79D5">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甘草废渣收集暂存于1#厂房固废隔间，外售于牛羊饲料生产的企业，综合利用。</w:t>
                  </w:r>
                </w:p>
              </w:tc>
              <w:tc>
                <w:tcPr>
                  <w:tcW w:w="1064" w:type="dxa"/>
                  <w:vAlign w:val="center"/>
                </w:tcPr>
                <w:p w14:paraId="1F1ECC53">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1C033E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373C6487">
                  <w:pPr>
                    <w:adjustRightInd w:val="0"/>
                    <w:snapToGrid w:val="0"/>
                    <w:jc w:val="center"/>
                    <w:rPr>
                      <w:rFonts w:hint="default" w:ascii="Times New Roman" w:hAnsi="Times New Roman" w:eastAsia="宋体" w:cs="Times New Roman"/>
                      <w:color w:val="auto"/>
                      <w:szCs w:val="21"/>
                    </w:rPr>
                  </w:pPr>
                </w:p>
              </w:tc>
              <w:tc>
                <w:tcPr>
                  <w:tcW w:w="1301" w:type="dxa"/>
                  <w:vMerge w:val="continue"/>
                  <w:tcMar>
                    <w:left w:w="28" w:type="dxa"/>
                    <w:right w:w="28" w:type="dxa"/>
                  </w:tcMar>
                  <w:vAlign w:val="center"/>
                </w:tcPr>
                <w:p w14:paraId="0491B838">
                  <w:pPr>
                    <w:adjustRightInd w:val="0"/>
                    <w:snapToGrid w:val="0"/>
                    <w:jc w:val="center"/>
                    <w:rPr>
                      <w:rFonts w:hint="default" w:ascii="Times New Roman" w:hAnsi="Times New Roman" w:eastAsia="宋体" w:cs="Times New Roman"/>
                      <w:color w:val="auto"/>
                      <w:szCs w:val="21"/>
                    </w:rPr>
                  </w:pPr>
                </w:p>
              </w:tc>
              <w:tc>
                <w:tcPr>
                  <w:tcW w:w="5214" w:type="dxa"/>
                  <w:tcMar>
                    <w:left w:w="28" w:type="dxa"/>
                    <w:right w:w="28" w:type="dxa"/>
                  </w:tcMar>
                  <w:vAlign w:val="center"/>
                </w:tcPr>
                <w:p w14:paraId="51E71A60">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检测不合格产品混入甘草废渣中外售。</w:t>
                  </w:r>
                </w:p>
              </w:tc>
              <w:tc>
                <w:tcPr>
                  <w:tcW w:w="1064" w:type="dxa"/>
                  <w:vAlign w:val="center"/>
                </w:tcPr>
                <w:p w14:paraId="33EB9617">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w:t>
                  </w:r>
                </w:p>
              </w:tc>
            </w:tr>
            <w:tr w14:paraId="446EA9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292FC161">
                  <w:pPr>
                    <w:adjustRightInd w:val="0"/>
                    <w:snapToGrid w:val="0"/>
                    <w:jc w:val="center"/>
                    <w:rPr>
                      <w:rFonts w:hint="default" w:ascii="Times New Roman" w:hAnsi="Times New Roman" w:eastAsia="宋体" w:cs="Times New Roman"/>
                      <w:color w:val="auto"/>
                      <w:szCs w:val="21"/>
                    </w:rPr>
                  </w:pPr>
                </w:p>
              </w:tc>
              <w:tc>
                <w:tcPr>
                  <w:tcW w:w="1301" w:type="dxa"/>
                  <w:vMerge w:val="continue"/>
                  <w:tcMar>
                    <w:left w:w="28" w:type="dxa"/>
                    <w:right w:w="28" w:type="dxa"/>
                  </w:tcMar>
                  <w:vAlign w:val="center"/>
                </w:tcPr>
                <w:p w14:paraId="5ACD487D">
                  <w:pPr>
                    <w:adjustRightInd w:val="0"/>
                    <w:snapToGrid w:val="0"/>
                    <w:jc w:val="center"/>
                    <w:rPr>
                      <w:rFonts w:hint="default" w:ascii="Times New Roman" w:hAnsi="Times New Roman" w:eastAsia="宋体" w:cs="Times New Roman"/>
                      <w:color w:val="auto"/>
                      <w:szCs w:val="21"/>
                    </w:rPr>
                  </w:pPr>
                </w:p>
              </w:tc>
              <w:tc>
                <w:tcPr>
                  <w:tcW w:w="5214" w:type="dxa"/>
                  <w:tcMar>
                    <w:left w:w="28" w:type="dxa"/>
                    <w:right w:w="28" w:type="dxa"/>
                  </w:tcMar>
                  <w:vAlign w:val="center"/>
                </w:tcPr>
                <w:p w14:paraId="59295EDF">
                  <w:pPr>
                    <w:adjustRightInd w:val="0"/>
                    <w:snapToGrid w:val="0"/>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软水机废滤膜由原生产厂家回收利用，不外排。</w:t>
                  </w:r>
                </w:p>
              </w:tc>
              <w:tc>
                <w:tcPr>
                  <w:tcW w:w="1064" w:type="dxa"/>
                  <w:vAlign w:val="center"/>
                </w:tcPr>
                <w:p w14:paraId="66E576AD">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r>
            <w:tr w14:paraId="27A198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0CD3961">
                  <w:pPr>
                    <w:adjustRightInd w:val="0"/>
                    <w:snapToGrid w:val="0"/>
                    <w:jc w:val="center"/>
                    <w:rPr>
                      <w:rFonts w:hint="default" w:ascii="Times New Roman" w:hAnsi="Times New Roman" w:eastAsia="宋体" w:cs="Times New Roman"/>
                      <w:color w:val="auto"/>
                      <w:szCs w:val="21"/>
                    </w:rPr>
                  </w:pPr>
                </w:p>
              </w:tc>
              <w:tc>
                <w:tcPr>
                  <w:tcW w:w="1301" w:type="dxa"/>
                  <w:tcMar>
                    <w:left w:w="28" w:type="dxa"/>
                    <w:right w:w="28" w:type="dxa"/>
                  </w:tcMar>
                  <w:vAlign w:val="center"/>
                </w:tcPr>
                <w:p w14:paraId="65002A6E">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噪声</w:t>
                  </w:r>
                </w:p>
              </w:tc>
              <w:tc>
                <w:tcPr>
                  <w:tcW w:w="5214" w:type="dxa"/>
                  <w:tcMar>
                    <w:left w:w="28" w:type="dxa"/>
                    <w:right w:w="28" w:type="dxa"/>
                  </w:tcMar>
                  <w:vAlign w:val="center"/>
                </w:tcPr>
                <w:p w14:paraId="5268AD4E">
                  <w:pPr>
                    <w:adjustRightInd w:val="0"/>
                    <w:snapToGrid w:val="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采用减振、消声、隔音等措施。</w:t>
                  </w:r>
                </w:p>
              </w:tc>
              <w:tc>
                <w:tcPr>
                  <w:tcW w:w="1064" w:type="dxa"/>
                  <w:vAlign w:val="center"/>
                </w:tcPr>
                <w:p w14:paraId="14CD6B7F">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w:t>
                  </w:r>
                </w:p>
              </w:tc>
            </w:tr>
            <w:tr w14:paraId="26C422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8AAC292">
                  <w:pPr>
                    <w:adjustRightInd w:val="0"/>
                    <w:snapToGrid w:val="0"/>
                    <w:jc w:val="center"/>
                    <w:rPr>
                      <w:rFonts w:hint="default" w:ascii="Times New Roman" w:hAnsi="Times New Roman" w:eastAsia="宋体" w:cs="Times New Roman"/>
                      <w:color w:val="auto"/>
                      <w:szCs w:val="21"/>
                    </w:rPr>
                  </w:pPr>
                </w:p>
              </w:tc>
              <w:tc>
                <w:tcPr>
                  <w:tcW w:w="1301" w:type="dxa"/>
                  <w:shd w:val="clear" w:color="auto" w:fill="auto"/>
                  <w:tcMar>
                    <w:left w:w="28" w:type="dxa"/>
                    <w:right w:w="28" w:type="dxa"/>
                  </w:tcMar>
                  <w:vAlign w:val="center"/>
                </w:tcPr>
                <w:p w14:paraId="01B2969D">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防渗</w:t>
                  </w:r>
                </w:p>
              </w:tc>
              <w:tc>
                <w:tcPr>
                  <w:tcW w:w="5214" w:type="dxa"/>
                  <w:shd w:val="clear" w:color="auto" w:fill="auto"/>
                  <w:tcMar>
                    <w:left w:w="28" w:type="dxa"/>
                    <w:right w:w="28" w:type="dxa"/>
                  </w:tcMar>
                  <w:vAlign w:val="center"/>
                </w:tcPr>
                <w:p w14:paraId="5A45C107">
                  <w:pPr>
                    <w:adjustRightInd w:val="0"/>
                    <w:snapToGrid w:val="0"/>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eastAsia="zh-CN"/>
                    </w:rPr>
                    <w:t>一般防渗区：</w:t>
                  </w:r>
                  <w:r>
                    <w:rPr>
                      <w:rFonts w:hint="default" w:ascii="Times New Roman" w:hAnsi="Times New Roman" w:eastAsia="宋体" w:cs="Times New Roman"/>
                      <w:color w:val="auto"/>
                      <w:szCs w:val="21"/>
                      <w:lang w:val="en-US" w:eastAsia="zh-CN"/>
                    </w:rPr>
                    <w:t>化粪池池底及四周采用钢筋混凝土浇筑</w:t>
                  </w:r>
                  <w:r>
                    <w:rPr>
                      <w:rFonts w:hint="default" w:ascii="Times New Roman" w:hAnsi="Times New Roman" w:eastAsia="宋体" w:cs="Times New Roman"/>
                      <w:color w:val="auto"/>
                      <w:szCs w:val="21"/>
                      <w:lang w:eastAsia="zh-CN"/>
                    </w:rPr>
                    <w:t>，等效黏土防渗层Mb≥1.5</w:t>
                  </w:r>
                  <w:r>
                    <w:rPr>
                      <w:rFonts w:hint="default" w:ascii="Times New Roman" w:hAnsi="Times New Roman" w:eastAsia="宋体" w:cs="Times New Roman"/>
                      <w:color w:val="auto"/>
                      <w:szCs w:val="21"/>
                      <w:vertAlign w:val="baseline"/>
                      <w:lang w:eastAsia="zh-CN"/>
                    </w:rPr>
                    <w:t>m</w:t>
                  </w:r>
                  <w:r>
                    <w:rPr>
                      <w:rFonts w:hint="default" w:ascii="Times New Roman" w:hAnsi="Times New Roman" w:eastAsia="宋体" w:cs="Times New Roman"/>
                      <w:color w:val="auto"/>
                      <w:szCs w:val="21"/>
                      <w:lang w:eastAsia="zh-CN"/>
                    </w:rPr>
                    <w:t>，渗透系数≤1×10</w:t>
                  </w:r>
                  <w:r>
                    <w:rPr>
                      <w:rFonts w:hint="default" w:ascii="Times New Roman" w:hAnsi="Times New Roman" w:eastAsia="宋体" w:cs="Times New Roman"/>
                      <w:color w:val="auto"/>
                      <w:szCs w:val="21"/>
                      <w:vertAlign w:val="superscript"/>
                      <w:lang w:eastAsia="zh-CN"/>
                    </w:rPr>
                    <w:t>-7</w:t>
                  </w:r>
                  <w:r>
                    <w:rPr>
                      <w:rFonts w:hint="default" w:ascii="Times New Roman" w:hAnsi="Times New Roman" w:eastAsia="宋体" w:cs="Times New Roman"/>
                      <w:color w:val="auto"/>
                      <w:szCs w:val="21"/>
                      <w:lang w:eastAsia="zh-CN"/>
                    </w:rPr>
                    <w:t>c</w:t>
                  </w:r>
                  <w:r>
                    <w:rPr>
                      <w:rFonts w:hint="default" w:ascii="Times New Roman" w:hAnsi="Times New Roman" w:eastAsia="宋体" w:cs="Times New Roman"/>
                      <w:color w:val="auto"/>
                      <w:szCs w:val="21"/>
                      <w:vertAlign w:val="baseline"/>
                      <w:lang w:eastAsia="zh-CN"/>
                    </w:rPr>
                    <w:t>m</w:t>
                  </w:r>
                  <w:r>
                    <w:rPr>
                      <w:rFonts w:hint="default" w:ascii="Times New Roman" w:hAnsi="Times New Roman" w:eastAsia="宋体" w:cs="Times New Roman"/>
                      <w:color w:val="auto"/>
                      <w:szCs w:val="21"/>
                      <w:lang w:eastAsia="zh-CN"/>
                    </w:rPr>
                    <w:t>/s。</w:t>
                  </w:r>
                </w:p>
                <w:p w14:paraId="03E0C6BD">
                  <w:pPr>
                    <w:adjustRightInd w:val="0"/>
                    <w:snapToGrid w:val="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eastAsia="zh-CN"/>
                    </w:rPr>
                    <w:t>简单防渗区：</w:t>
                  </w:r>
                  <w:r>
                    <w:rPr>
                      <w:rFonts w:hint="default" w:ascii="Times New Roman" w:hAnsi="Times New Roman" w:eastAsia="宋体" w:cs="Times New Roman"/>
                      <w:color w:val="auto"/>
                      <w:szCs w:val="21"/>
                      <w:lang w:val="en-US" w:eastAsia="zh-CN"/>
                    </w:rPr>
                    <w:t>车间地面、</w:t>
                  </w:r>
                  <w:r>
                    <w:rPr>
                      <w:rFonts w:hint="default" w:ascii="Times New Roman" w:hAnsi="Times New Roman" w:eastAsia="宋体" w:cs="Times New Roman"/>
                      <w:color w:val="auto"/>
                      <w:szCs w:val="21"/>
                      <w:lang w:eastAsia="zh-CN"/>
                    </w:rPr>
                    <w:t>室外地面等，</w:t>
                  </w:r>
                  <w:r>
                    <w:rPr>
                      <w:rFonts w:hint="default" w:ascii="Times New Roman" w:hAnsi="Times New Roman" w:eastAsia="宋体" w:cs="Times New Roman"/>
                      <w:color w:val="auto"/>
                      <w:szCs w:val="21"/>
                      <w:lang w:val="en-US" w:eastAsia="zh-CN"/>
                    </w:rPr>
                    <w:t>采用混凝土进行</w:t>
                  </w:r>
                  <w:r>
                    <w:rPr>
                      <w:rFonts w:hint="default" w:ascii="Times New Roman" w:hAnsi="Times New Roman" w:eastAsia="宋体" w:cs="Times New Roman"/>
                      <w:color w:val="auto"/>
                      <w:szCs w:val="21"/>
                      <w:lang w:eastAsia="zh-CN"/>
                    </w:rPr>
                    <w:t>一般地面硬化。</w:t>
                  </w:r>
                </w:p>
              </w:tc>
              <w:tc>
                <w:tcPr>
                  <w:tcW w:w="1064" w:type="dxa"/>
                  <w:vAlign w:val="center"/>
                </w:tcPr>
                <w:p w14:paraId="0AC7431E">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新建</w:t>
                  </w:r>
                </w:p>
              </w:tc>
            </w:tr>
          </w:tbl>
          <w:p w14:paraId="7D6A8E11">
            <w:pPr>
              <w:spacing w:before="240" w:line="360" w:lineRule="auto"/>
              <w:ind w:firstLine="482" w:firstLineChars="200"/>
              <w:jc w:val="left"/>
              <w:rPr>
                <w:rFonts w:hint="default" w:ascii="Times New Roman" w:hAnsi="Times New Roman" w:eastAsia="宋体" w:cs="Times New Roman"/>
                <w:b/>
                <w:bCs/>
                <w:color w:val="auto"/>
                <w:sz w:val="24"/>
                <w:lang w:val="en-US" w:eastAsia="zh-CN"/>
              </w:rPr>
            </w:pPr>
            <w:r>
              <w:rPr>
                <w:rFonts w:hint="default" w:ascii="Times New Roman" w:hAnsi="Times New Roman" w:eastAsia="宋体" w:cs="Times New Roman"/>
                <w:b/>
                <w:bCs/>
                <w:color w:val="auto"/>
                <w:sz w:val="24"/>
              </w:rPr>
              <w:t>3.产品方案</w:t>
            </w:r>
            <w:r>
              <w:rPr>
                <w:rFonts w:hint="default" w:ascii="Times New Roman" w:hAnsi="Times New Roman" w:eastAsia="宋体" w:cs="Times New Roman"/>
                <w:b/>
                <w:bCs/>
                <w:color w:val="auto"/>
                <w:sz w:val="24"/>
                <w:lang w:val="en-US" w:eastAsia="zh-CN"/>
              </w:rPr>
              <w:t>及产品质量标准</w:t>
            </w:r>
          </w:p>
          <w:p w14:paraId="7BD919FC">
            <w:pPr>
              <w:autoSpaceDE w:val="0"/>
              <w:autoSpaceDN w:val="0"/>
              <w:adjustRightIn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bCs/>
                <w:color w:val="auto"/>
                <w:kern w:val="0"/>
                <w:sz w:val="24"/>
                <w:lang w:val="en-US" w:eastAsia="zh-CN"/>
              </w:rPr>
              <w:t>建设项目产品及规模见表</w:t>
            </w:r>
            <w:r>
              <w:rPr>
                <w:rFonts w:hint="default" w:ascii="Times New Roman" w:hAnsi="Times New Roman" w:eastAsia="宋体" w:cs="Times New Roman"/>
                <w:color w:val="auto"/>
                <w:kern w:val="0"/>
                <w:sz w:val="24"/>
              </w:rPr>
              <w:t>2-2。</w:t>
            </w:r>
          </w:p>
          <w:p w14:paraId="52C6C378">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表2-2  项目产品方案</w:t>
            </w:r>
          </w:p>
          <w:tbl>
            <w:tblPr>
              <w:tblStyle w:val="7"/>
              <w:tblW w:w="82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1350"/>
              <w:gridCol w:w="2483"/>
              <w:gridCol w:w="2922"/>
            </w:tblGrid>
            <w:tr w14:paraId="56BDE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83" w:type="dxa"/>
                  <w:tcBorders>
                    <w:top w:val="single" w:color="auto" w:sz="4" w:space="0"/>
                    <w:left w:val="single" w:color="auto" w:sz="0" w:space="0"/>
                  </w:tcBorders>
                  <w:vAlign w:val="center"/>
                </w:tcPr>
                <w:p w14:paraId="2E45B43A">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产品名称</w:t>
                  </w:r>
                </w:p>
              </w:tc>
              <w:tc>
                <w:tcPr>
                  <w:tcW w:w="1350" w:type="dxa"/>
                  <w:tcBorders>
                    <w:top w:val="single" w:color="auto" w:sz="4" w:space="0"/>
                  </w:tcBorders>
                  <w:vAlign w:val="center"/>
                </w:tcPr>
                <w:p w14:paraId="431FE28C">
                  <w:pPr>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生产规模</w:t>
                  </w:r>
                </w:p>
              </w:tc>
              <w:tc>
                <w:tcPr>
                  <w:tcW w:w="2483" w:type="dxa"/>
                  <w:tcBorders>
                    <w:top w:val="single" w:color="auto" w:sz="4" w:space="0"/>
                  </w:tcBorders>
                  <w:shd w:val="clear" w:color="auto" w:fill="auto"/>
                  <w:vAlign w:val="center"/>
                </w:tcPr>
                <w:p w14:paraId="0C2DFBCC">
                  <w:pPr>
                    <w:adjustRightInd w:val="0"/>
                    <w:snapToGrid w:val="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szCs w:val="21"/>
                      <w:highlight w:val="none"/>
                    </w:rPr>
                    <w:t>产品标准</w:t>
                  </w:r>
                </w:p>
              </w:tc>
              <w:tc>
                <w:tcPr>
                  <w:tcW w:w="2922" w:type="dxa"/>
                  <w:tcBorders>
                    <w:top w:val="single" w:color="auto" w:sz="4" w:space="0"/>
                    <w:right w:val="single" w:color="auto" w:sz="4" w:space="0"/>
                  </w:tcBorders>
                  <w:vAlign w:val="center"/>
                </w:tcPr>
                <w:p w14:paraId="0B03FE08">
                  <w:pPr>
                    <w:adjustRightInd w:val="0"/>
                    <w:snapToGrid w:val="0"/>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eastAsia="宋体" w:cs="Times New Roman"/>
                      <w:b/>
                      <w:bCs/>
                      <w:color w:val="auto"/>
                      <w:szCs w:val="21"/>
                      <w:highlight w:val="none"/>
                      <w:lang w:val="en-US" w:eastAsia="zh-CN"/>
                    </w:rPr>
                    <w:t>备注</w:t>
                  </w:r>
                </w:p>
              </w:tc>
            </w:tr>
            <w:tr w14:paraId="22BBD3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483" w:type="dxa"/>
                  <w:tcBorders>
                    <w:left w:val="single" w:color="auto" w:sz="4" w:space="0"/>
                  </w:tcBorders>
                  <w:vAlign w:val="center"/>
                </w:tcPr>
                <w:p w14:paraId="4E4E3CB2">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Cs/>
                      <w:color w:val="auto"/>
                      <w:szCs w:val="21"/>
                      <w:lang w:val="en-US" w:eastAsia="zh-CN"/>
                    </w:rPr>
                    <w:t>甘草提取物</w:t>
                  </w:r>
                </w:p>
              </w:tc>
              <w:tc>
                <w:tcPr>
                  <w:tcW w:w="1350" w:type="dxa"/>
                  <w:vAlign w:val="center"/>
                </w:tcPr>
                <w:p w14:paraId="2A7B4A0A">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bCs/>
                      <w:color w:val="auto"/>
                      <w:szCs w:val="21"/>
                      <w:lang w:val="en-US" w:eastAsia="zh-CN"/>
                    </w:rPr>
                    <w:t>2000t/a</w:t>
                  </w:r>
                </w:p>
              </w:tc>
              <w:tc>
                <w:tcPr>
                  <w:tcW w:w="2483" w:type="dxa"/>
                  <w:shd w:val="clear" w:color="auto" w:fill="auto"/>
                  <w:vAlign w:val="center"/>
                </w:tcPr>
                <w:p w14:paraId="2902A02F">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《甘草提取物》（Q/ZFSW0001S-2022）</w:t>
                  </w:r>
                </w:p>
              </w:tc>
              <w:tc>
                <w:tcPr>
                  <w:tcW w:w="2922" w:type="dxa"/>
                  <w:tcBorders>
                    <w:right w:val="single" w:color="auto" w:sz="4" w:space="0"/>
                  </w:tcBorders>
                  <w:vAlign w:val="center"/>
                </w:tcPr>
                <w:p w14:paraId="1DF86DA4">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粉状、1kg袋装</w:t>
                  </w:r>
                  <w:r>
                    <w:rPr>
                      <w:rFonts w:hint="eastAsia" w:cs="Times New Roman"/>
                      <w:color w:val="auto"/>
                      <w:szCs w:val="21"/>
                      <w:lang w:val="en-US" w:eastAsia="zh-CN"/>
                    </w:rPr>
                    <w:t>。</w:t>
                  </w:r>
                </w:p>
              </w:tc>
            </w:tr>
            <w:tr w14:paraId="07FE53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483" w:type="dxa"/>
                  <w:tcBorders>
                    <w:left w:val="single" w:color="auto" w:sz="4" w:space="0"/>
                    <w:bottom w:val="single" w:color="auto" w:sz="4" w:space="0"/>
                  </w:tcBorders>
                  <w:vAlign w:val="center"/>
                </w:tcPr>
                <w:p w14:paraId="10A46C3F">
                  <w:pPr>
                    <w:adjustRightInd w:val="0"/>
                    <w:snapToGrid w:val="0"/>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甘草露</w:t>
                  </w:r>
                </w:p>
              </w:tc>
              <w:tc>
                <w:tcPr>
                  <w:tcW w:w="1350" w:type="dxa"/>
                  <w:tcBorders>
                    <w:bottom w:val="single" w:color="auto" w:sz="4" w:space="0"/>
                  </w:tcBorders>
                  <w:vAlign w:val="center"/>
                </w:tcPr>
                <w:p w14:paraId="18F93ECF">
                  <w:pPr>
                    <w:adjustRightInd w:val="0"/>
                    <w:snapToGrid w:val="0"/>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6000万罐/a</w:t>
                  </w:r>
                </w:p>
              </w:tc>
              <w:tc>
                <w:tcPr>
                  <w:tcW w:w="2483" w:type="dxa"/>
                  <w:tcBorders>
                    <w:bottom w:val="single" w:color="auto" w:sz="4" w:space="0"/>
                  </w:tcBorders>
                  <w:shd w:val="clear" w:color="auto" w:fill="auto"/>
                  <w:vAlign w:val="center"/>
                </w:tcPr>
                <w:p w14:paraId="2CB7743A">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《甘草露》（Q/GZSW0004S-2020）</w:t>
                  </w:r>
                </w:p>
              </w:tc>
              <w:tc>
                <w:tcPr>
                  <w:tcW w:w="2922" w:type="dxa"/>
                  <w:tcBorders>
                    <w:bottom w:val="single" w:color="auto" w:sz="4" w:space="0"/>
                    <w:right w:val="single" w:color="auto" w:sz="4" w:space="0"/>
                  </w:tcBorders>
                  <w:vAlign w:val="center"/>
                </w:tcPr>
                <w:p w14:paraId="6A936103">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液态、245mL易拉罐</w:t>
                  </w:r>
                  <w:r>
                    <w:rPr>
                      <w:rFonts w:hint="eastAsia"/>
                      <w:color w:val="auto"/>
                      <w:lang w:eastAsia="zh-CN"/>
                    </w:rPr>
                    <w:t>，</w:t>
                  </w:r>
                  <w:r>
                    <w:rPr>
                      <w:rFonts w:hint="eastAsia"/>
                      <w:color w:val="auto"/>
                      <w:lang w:val="en-US" w:eastAsia="zh-CN"/>
                    </w:rPr>
                    <w:t>甘草含量以总酸计，≥0.2g/L。</w:t>
                  </w:r>
                </w:p>
              </w:tc>
            </w:tr>
          </w:tbl>
          <w:p w14:paraId="5C6F15A1">
            <w:pPr>
              <w:keepNext w:val="0"/>
              <w:keepLines w:val="0"/>
              <w:pageBreakBefore w:val="0"/>
              <w:widowControl w:val="0"/>
              <w:kinsoku/>
              <w:wordWrap/>
              <w:overflowPunct/>
              <w:topLinePunct w:val="0"/>
              <w:autoSpaceDE w:val="0"/>
              <w:autoSpaceDN w:val="0"/>
              <w:bidi w:val="0"/>
              <w:adjustRightInd w:val="0"/>
              <w:snapToGrid/>
              <w:spacing w:before="157" w:beforeLines="50" w:line="360" w:lineRule="auto"/>
              <w:ind w:firstLine="480" w:firstLineChars="200"/>
              <w:textAlignment w:val="auto"/>
              <w:rPr>
                <w:rFonts w:hint="default" w:ascii="Times New Roman" w:hAnsi="Times New Roman" w:eastAsia="宋体" w:cs="Times New Roman"/>
                <w:bCs/>
                <w:color w:val="auto"/>
                <w:kern w:val="0"/>
                <w:sz w:val="24"/>
                <w:lang w:val="en-US" w:eastAsia="zh-CN"/>
              </w:rPr>
            </w:pPr>
            <w:r>
              <w:rPr>
                <w:rFonts w:hint="default" w:ascii="Times New Roman" w:hAnsi="Times New Roman" w:eastAsia="宋体" w:cs="Times New Roman"/>
                <w:bCs/>
                <w:color w:val="auto"/>
                <w:kern w:val="0"/>
                <w:sz w:val="24"/>
                <w:lang w:val="en-US" w:eastAsia="zh-CN"/>
              </w:rPr>
              <w:t>本项目产品甘草提取物根据宁夏中福生物科技有限公司的《甘草提取物》（Q/ZFSW0001S-2022）质量标准生产。甘草提取物产品质量标准见下表。</w:t>
            </w:r>
          </w:p>
          <w:p w14:paraId="0115EBB0">
            <w:pPr>
              <w:pStyle w:val="14"/>
              <w:bidi w:val="0"/>
              <w:rPr>
                <w:rFonts w:hint="default" w:ascii="Times New Roman" w:hAnsi="Times New Roman" w:eastAsia="宋体" w:cs="Times New Roman"/>
                <w:color w:val="auto"/>
              </w:rPr>
            </w:pPr>
          </w:p>
          <w:p w14:paraId="47669B4E">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表2-</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lang w:val="en-US" w:eastAsia="zh-CN"/>
              </w:rPr>
              <w:t>《甘草提取物》（Q/ZFSW0001S-2022）质量标准</w:t>
            </w:r>
          </w:p>
          <w:tbl>
            <w:tblPr>
              <w:tblStyle w:val="7"/>
              <w:tblW w:w="82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33"/>
              <w:gridCol w:w="5405"/>
            </w:tblGrid>
            <w:tr w14:paraId="6AE786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3" w:type="dxa"/>
                  <w:shd w:val="clear" w:color="auto" w:fill="auto"/>
                  <w:vAlign w:val="center"/>
                </w:tcPr>
                <w:p w14:paraId="316FED51">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项目</w:t>
                  </w:r>
                </w:p>
              </w:tc>
              <w:tc>
                <w:tcPr>
                  <w:tcW w:w="5405" w:type="dxa"/>
                  <w:shd w:val="clear" w:color="auto" w:fill="auto"/>
                  <w:vAlign w:val="center"/>
                </w:tcPr>
                <w:p w14:paraId="6F1A7228">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指标</w:t>
                  </w:r>
                </w:p>
              </w:tc>
            </w:tr>
            <w:tr w14:paraId="3B1F16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3" w:type="dxa"/>
                  <w:shd w:val="clear" w:color="auto" w:fill="auto"/>
                  <w:vAlign w:val="center"/>
                </w:tcPr>
                <w:p w14:paraId="0B5C348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色泽</w:t>
                  </w:r>
                </w:p>
              </w:tc>
              <w:tc>
                <w:tcPr>
                  <w:tcW w:w="5405" w:type="dxa"/>
                  <w:shd w:val="clear" w:color="auto" w:fill="auto"/>
                  <w:vAlign w:val="center"/>
                </w:tcPr>
                <w:p w14:paraId="29DFD59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具有甘草提取物应有的色泽，色泽正常</w:t>
                  </w:r>
                  <w:r>
                    <w:rPr>
                      <w:rFonts w:hint="eastAsia" w:cs="Times New Roman"/>
                      <w:i w:val="0"/>
                      <w:iCs w:val="0"/>
                      <w:color w:val="auto"/>
                      <w:kern w:val="0"/>
                      <w:sz w:val="21"/>
                      <w:szCs w:val="21"/>
                      <w:u w:val="none"/>
                      <w:lang w:val="en-US" w:eastAsia="zh-CN" w:bidi="ar"/>
                    </w:rPr>
                    <w:t>。</w:t>
                  </w:r>
                </w:p>
              </w:tc>
            </w:tr>
            <w:tr w14:paraId="188BF9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3" w:type="dxa"/>
                  <w:shd w:val="clear" w:color="auto" w:fill="auto"/>
                  <w:vAlign w:val="center"/>
                </w:tcPr>
                <w:p w14:paraId="39D70CA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滋味</w:t>
                  </w:r>
                  <w:r>
                    <w:rPr>
                      <w:rFonts w:hint="eastAsia" w:cs="Times New Roman"/>
                      <w:i w:val="0"/>
                      <w:iCs w:val="0"/>
                      <w:color w:val="auto"/>
                      <w:kern w:val="0"/>
                      <w:sz w:val="21"/>
                      <w:szCs w:val="21"/>
                      <w:u w:val="none"/>
                      <w:lang w:val="en-US" w:eastAsia="zh-CN" w:bidi="ar"/>
                    </w:rPr>
                    <w:t>和</w:t>
                  </w:r>
                  <w:r>
                    <w:rPr>
                      <w:rFonts w:hint="default" w:ascii="Times New Roman" w:hAnsi="Times New Roman" w:eastAsia="宋体" w:cs="Times New Roman"/>
                      <w:i w:val="0"/>
                      <w:iCs w:val="0"/>
                      <w:color w:val="auto"/>
                      <w:kern w:val="0"/>
                      <w:sz w:val="21"/>
                      <w:szCs w:val="21"/>
                      <w:u w:val="none"/>
                      <w:lang w:val="en-US" w:eastAsia="zh-CN" w:bidi="ar"/>
                    </w:rPr>
                    <w:t>气味</w:t>
                  </w:r>
                </w:p>
              </w:tc>
              <w:tc>
                <w:tcPr>
                  <w:tcW w:w="5405" w:type="dxa"/>
                  <w:shd w:val="clear" w:color="auto" w:fill="auto"/>
                  <w:vAlign w:val="center"/>
                </w:tcPr>
                <w:p w14:paraId="48CE3ADC">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有微弱的特殊气味和持久的特殊甜味</w:t>
                  </w:r>
                  <w:r>
                    <w:rPr>
                      <w:rFonts w:hint="eastAsia" w:cs="Times New Roman"/>
                      <w:i w:val="0"/>
                      <w:iCs w:val="0"/>
                      <w:color w:val="auto"/>
                      <w:kern w:val="0"/>
                      <w:sz w:val="21"/>
                      <w:szCs w:val="21"/>
                      <w:u w:val="none"/>
                      <w:lang w:val="en-US" w:eastAsia="zh-CN" w:bidi="ar"/>
                    </w:rPr>
                    <w:t>。</w:t>
                  </w:r>
                </w:p>
              </w:tc>
            </w:tr>
            <w:tr w14:paraId="17D5EA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3" w:type="dxa"/>
                  <w:shd w:val="clear" w:color="auto" w:fill="auto"/>
                  <w:vAlign w:val="center"/>
                </w:tcPr>
                <w:p w14:paraId="0AF9C1A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组织状态</w:t>
                  </w:r>
                </w:p>
              </w:tc>
              <w:tc>
                <w:tcPr>
                  <w:tcW w:w="5405" w:type="dxa"/>
                  <w:shd w:val="clear" w:color="auto" w:fill="auto"/>
                  <w:vAlign w:val="center"/>
                </w:tcPr>
                <w:p w14:paraId="202CA10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粉末状，无正常视力可见外来杂质</w:t>
                  </w:r>
                  <w:r>
                    <w:rPr>
                      <w:rFonts w:hint="eastAsia" w:cs="Times New Roman"/>
                      <w:i w:val="0"/>
                      <w:iCs w:val="0"/>
                      <w:color w:val="auto"/>
                      <w:kern w:val="0"/>
                      <w:sz w:val="21"/>
                      <w:szCs w:val="21"/>
                      <w:u w:val="none"/>
                      <w:lang w:val="en-US" w:eastAsia="zh-CN" w:bidi="ar"/>
                    </w:rPr>
                    <w:t>。</w:t>
                  </w:r>
                </w:p>
              </w:tc>
            </w:tr>
            <w:tr w14:paraId="33D537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3" w:type="dxa"/>
                  <w:shd w:val="clear" w:color="auto" w:fill="auto"/>
                  <w:vAlign w:val="center"/>
                </w:tcPr>
                <w:p w14:paraId="6E961152">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水分（g/100g）</w:t>
                  </w:r>
                </w:p>
              </w:tc>
              <w:tc>
                <w:tcPr>
                  <w:tcW w:w="5405" w:type="dxa"/>
                  <w:shd w:val="clear" w:color="auto" w:fill="auto"/>
                  <w:vAlign w:val="center"/>
                </w:tcPr>
                <w:p w14:paraId="3D0A117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6.5-7.5</w:t>
                  </w:r>
                </w:p>
              </w:tc>
            </w:tr>
            <w:tr w14:paraId="50C4AA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3" w:type="dxa"/>
                  <w:shd w:val="clear" w:color="auto" w:fill="auto"/>
                  <w:vAlign w:val="center"/>
                </w:tcPr>
                <w:p w14:paraId="371E838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总灰分（g/100g）</w:t>
                  </w:r>
                </w:p>
              </w:tc>
              <w:tc>
                <w:tcPr>
                  <w:tcW w:w="5405" w:type="dxa"/>
                  <w:shd w:val="clear" w:color="auto" w:fill="auto"/>
                  <w:vAlign w:val="center"/>
                </w:tcPr>
                <w:p w14:paraId="479B57C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≤12.0</w:t>
                  </w:r>
                </w:p>
              </w:tc>
            </w:tr>
            <w:tr w14:paraId="517E30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3" w:type="dxa"/>
                  <w:shd w:val="clear" w:color="auto" w:fill="auto"/>
                  <w:vAlign w:val="center"/>
                </w:tcPr>
                <w:p w14:paraId="1044044F">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蛋白质（g/100g）</w:t>
                  </w:r>
                </w:p>
              </w:tc>
              <w:tc>
                <w:tcPr>
                  <w:tcW w:w="5405" w:type="dxa"/>
                  <w:shd w:val="clear" w:color="auto" w:fill="auto"/>
                  <w:vAlign w:val="center"/>
                </w:tcPr>
                <w:p w14:paraId="0879359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≤4.9</w:t>
                  </w:r>
                </w:p>
              </w:tc>
            </w:tr>
            <w:tr w14:paraId="14AE76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3" w:type="dxa"/>
                  <w:shd w:val="clear" w:color="auto" w:fill="auto"/>
                  <w:vAlign w:val="center"/>
                </w:tcPr>
                <w:p w14:paraId="02E51BF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甘草酸（g/100g）</w:t>
                  </w:r>
                </w:p>
              </w:tc>
              <w:tc>
                <w:tcPr>
                  <w:tcW w:w="5405" w:type="dxa"/>
                  <w:shd w:val="clear" w:color="auto" w:fill="auto"/>
                  <w:vAlign w:val="center"/>
                </w:tcPr>
                <w:p w14:paraId="32749B5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≥8.0</w:t>
                  </w:r>
                </w:p>
              </w:tc>
            </w:tr>
            <w:tr w14:paraId="24FE44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3" w:type="dxa"/>
                  <w:shd w:val="clear" w:color="auto" w:fill="auto"/>
                  <w:vAlign w:val="center"/>
                </w:tcPr>
                <w:p w14:paraId="235160A5">
                  <w:pPr>
                    <w:keepNext w:val="0"/>
                    <w:keepLines w:val="0"/>
                    <w:widowControl/>
                    <w:suppressLineNumbers w:val="0"/>
                    <w:jc w:val="right"/>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铅（以 Pb 计）/（mg/kg）</w:t>
                  </w:r>
                </w:p>
              </w:tc>
              <w:tc>
                <w:tcPr>
                  <w:tcW w:w="5405" w:type="dxa"/>
                  <w:shd w:val="clear" w:color="auto" w:fill="auto"/>
                  <w:vAlign w:val="center"/>
                </w:tcPr>
                <w:p w14:paraId="01328E9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≤0.9</w:t>
                  </w:r>
                </w:p>
              </w:tc>
            </w:tr>
          </w:tbl>
          <w:p w14:paraId="22F310DA">
            <w:pPr>
              <w:keepNext w:val="0"/>
              <w:keepLines w:val="0"/>
              <w:pageBreakBefore w:val="0"/>
              <w:widowControl w:val="0"/>
              <w:kinsoku/>
              <w:wordWrap/>
              <w:overflowPunct/>
              <w:topLinePunct w:val="0"/>
              <w:autoSpaceDE w:val="0"/>
              <w:autoSpaceDN w:val="0"/>
              <w:bidi w:val="0"/>
              <w:adjustRightInd w:val="0"/>
              <w:snapToGrid/>
              <w:spacing w:before="157" w:beforeLines="50" w:line="360" w:lineRule="auto"/>
              <w:ind w:firstLine="480" w:firstLineChars="200"/>
              <w:textAlignment w:val="auto"/>
              <w:rPr>
                <w:rFonts w:hint="default" w:ascii="Times New Roman" w:hAnsi="Times New Roman" w:eastAsia="宋体" w:cs="Times New Roman"/>
                <w:bCs/>
                <w:color w:val="auto"/>
                <w:kern w:val="0"/>
                <w:sz w:val="24"/>
                <w:lang w:val="en-US" w:eastAsia="zh-CN"/>
              </w:rPr>
            </w:pPr>
            <w:r>
              <w:rPr>
                <w:rFonts w:hint="default" w:ascii="Times New Roman" w:hAnsi="Times New Roman" w:eastAsia="宋体" w:cs="Times New Roman"/>
                <w:bCs/>
                <w:color w:val="auto"/>
                <w:kern w:val="0"/>
                <w:sz w:val="24"/>
                <w:lang w:val="en-US" w:eastAsia="zh-CN"/>
              </w:rPr>
              <w:t>甘草露饮料根据《甘草露》（Q/GZSW0004S-2020）质量标准生产。</w:t>
            </w:r>
          </w:p>
          <w:p w14:paraId="11BF1164">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表2-</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lang w:val="en-US" w:eastAsia="zh-CN"/>
              </w:rPr>
              <w:t>《甘草露》（Q/GZSW0004S-2020）质量标准</w:t>
            </w:r>
          </w:p>
          <w:tbl>
            <w:tblPr>
              <w:tblStyle w:val="7"/>
              <w:tblW w:w="82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14"/>
              <w:gridCol w:w="5124"/>
            </w:tblGrid>
            <w:tr w14:paraId="60CF71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4" w:type="dxa"/>
                  <w:shd w:val="clear" w:color="auto" w:fill="auto"/>
                  <w:vAlign w:val="center"/>
                </w:tcPr>
                <w:p w14:paraId="170DC98E">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项目</w:t>
                  </w:r>
                </w:p>
              </w:tc>
              <w:tc>
                <w:tcPr>
                  <w:tcW w:w="5124" w:type="dxa"/>
                  <w:shd w:val="clear" w:color="auto" w:fill="auto"/>
                  <w:vAlign w:val="center"/>
                </w:tcPr>
                <w:p w14:paraId="46FD0948">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2"/>
                      <w:sz w:val="21"/>
                      <w:szCs w:val="21"/>
                      <w:u w:val="none"/>
                      <w:lang w:val="en-US" w:eastAsia="zh-CN" w:bidi="ar-SA"/>
                    </w:rPr>
                  </w:pPr>
                  <w:r>
                    <w:rPr>
                      <w:rFonts w:hint="default" w:ascii="Times New Roman" w:hAnsi="Times New Roman" w:eastAsia="宋体" w:cs="Times New Roman"/>
                      <w:b/>
                      <w:bCs/>
                      <w:i w:val="0"/>
                      <w:iCs w:val="0"/>
                      <w:color w:val="auto"/>
                      <w:kern w:val="0"/>
                      <w:sz w:val="21"/>
                      <w:szCs w:val="21"/>
                      <w:u w:val="none"/>
                      <w:lang w:val="en-US" w:eastAsia="zh-CN" w:bidi="ar"/>
                    </w:rPr>
                    <w:t>指标</w:t>
                  </w:r>
                </w:p>
              </w:tc>
            </w:tr>
            <w:tr w14:paraId="4E7788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4" w:type="dxa"/>
                  <w:shd w:val="clear" w:color="auto" w:fill="auto"/>
                  <w:vAlign w:val="center"/>
                </w:tcPr>
                <w:p w14:paraId="2579390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色泽</w:t>
                  </w:r>
                </w:p>
              </w:tc>
              <w:tc>
                <w:tcPr>
                  <w:tcW w:w="5124" w:type="dxa"/>
                  <w:shd w:val="clear" w:color="auto" w:fill="auto"/>
                  <w:vAlign w:val="center"/>
                </w:tcPr>
                <w:p w14:paraId="6A7E2BE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具有甘草露饮品应有的色泽，色泽正常</w:t>
                  </w:r>
                  <w:r>
                    <w:rPr>
                      <w:rFonts w:hint="eastAsia" w:cs="Times New Roman"/>
                      <w:i w:val="0"/>
                      <w:iCs w:val="0"/>
                      <w:color w:val="auto"/>
                      <w:kern w:val="0"/>
                      <w:sz w:val="21"/>
                      <w:szCs w:val="21"/>
                      <w:u w:val="none"/>
                      <w:lang w:val="en-US" w:eastAsia="zh-CN" w:bidi="ar"/>
                    </w:rPr>
                    <w:t>。</w:t>
                  </w:r>
                </w:p>
              </w:tc>
            </w:tr>
            <w:tr w14:paraId="17CCDF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4" w:type="dxa"/>
                  <w:shd w:val="clear" w:color="auto" w:fill="auto"/>
                  <w:vAlign w:val="center"/>
                </w:tcPr>
                <w:p w14:paraId="7482681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组织状态</w:t>
                  </w:r>
                </w:p>
              </w:tc>
              <w:tc>
                <w:tcPr>
                  <w:tcW w:w="5124" w:type="dxa"/>
                  <w:shd w:val="clear" w:color="auto" w:fill="auto"/>
                  <w:vAlign w:val="center"/>
                </w:tcPr>
                <w:p w14:paraId="11096F81">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澄清液体，久置允许有少量沉淀，无正常视力可见外来杂质</w:t>
                  </w:r>
                  <w:r>
                    <w:rPr>
                      <w:rFonts w:hint="eastAsia" w:cs="Times New Roman"/>
                      <w:i w:val="0"/>
                      <w:iCs w:val="0"/>
                      <w:color w:val="auto"/>
                      <w:kern w:val="0"/>
                      <w:sz w:val="21"/>
                      <w:szCs w:val="21"/>
                      <w:u w:val="none"/>
                      <w:lang w:val="en-US" w:eastAsia="zh-CN" w:bidi="ar"/>
                    </w:rPr>
                    <w:t>。</w:t>
                  </w:r>
                </w:p>
              </w:tc>
            </w:tr>
            <w:tr w14:paraId="4FAD64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4" w:type="dxa"/>
                  <w:shd w:val="clear" w:color="auto" w:fill="auto"/>
                  <w:vAlign w:val="center"/>
                </w:tcPr>
                <w:p w14:paraId="422F831A">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滋味与气味</w:t>
                  </w:r>
                </w:p>
              </w:tc>
              <w:tc>
                <w:tcPr>
                  <w:tcW w:w="5124" w:type="dxa"/>
                  <w:shd w:val="clear" w:color="auto" w:fill="auto"/>
                  <w:vAlign w:val="center"/>
                </w:tcPr>
                <w:p w14:paraId="20C0CA3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具有甘草露饮品应有的滋味与气味，无异味</w:t>
                  </w:r>
                  <w:r>
                    <w:rPr>
                      <w:rFonts w:hint="eastAsia" w:cs="Times New Roman"/>
                      <w:i w:val="0"/>
                      <w:iCs w:val="0"/>
                      <w:color w:val="auto"/>
                      <w:kern w:val="0"/>
                      <w:sz w:val="21"/>
                      <w:szCs w:val="21"/>
                      <w:u w:val="none"/>
                      <w:lang w:val="en-US" w:eastAsia="zh-CN" w:bidi="ar"/>
                    </w:rPr>
                    <w:t>。</w:t>
                  </w:r>
                </w:p>
              </w:tc>
            </w:tr>
            <w:tr w14:paraId="23F0C8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4" w:type="dxa"/>
                  <w:shd w:val="clear" w:color="auto" w:fill="auto"/>
                  <w:vAlign w:val="center"/>
                </w:tcPr>
                <w:p w14:paraId="11A4D56D">
                  <w:pPr>
                    <w:keepNext w:val="0"/>
                    <w:keepLines w:val="0"/>
                    <w:widowControl/>
                    <w:suppressLineNumbers w:val="0"/>
                    <w:jc w:val="center"/>
                    <w:textAlignment w:val="top"/>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总酸（以柠檬酸计），g/L</w:t>
                  </w:r>
                </w:p>
              </w:tc>
              <w:tc>
                <w:tcPr>
                  <w:tcW w:w="5124" w:type="dxa"/>
                  <w:shd w:val="clear" w:color="auto" w:fill="auto"/>
                  <w:vAlign w:val="center"/>
                </w:tcPr>
                <w:p w14:paraId="25839BEB">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≥0.2</w:t>
                  </w:r>
                </w:p>
              </w:tc>
            </w:tr>
            <w:tr w14:paraId="7331A6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4" w:type="dxa"/>
                  <w:shd w:val="clear" w:color="auto" w:fill="auto"/>
                  <w:vAlign w:val="center"/>
                </w:tcPr>
                <w:p w14:paraId="2624AC5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可溶性固形物（20℃折光法），%</w:t>
                  </w:r>
                </w:p>
              </w:tc>
              <w:tc>
                <w:tcPr>
                  <w:tcW w:w="5124" w:type="dxa"/>
                  <w:shd w:val="clear" w:color="auto" w:fill="auto"/>
                  <w:vAlign w:val="center"/>
                </w:tcPr>
                <w:p w14:paraId="661BAE53">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≥5.0</w:t>
                  </w:r>
                </w:p>
              </w:tc>
            </w:tr>
          </w:tbl>
          <w:p w14:paraId="400E1066">
            <w:pPr>
              <w:spacing w:before="240" w:line="360" w:lineRule="auto"/>
              <w:ind w:firstLine="482" w:firstLineChars="20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4.原辅材料及动力消耗情况</w:t>
            </w:r>
          </w:p>
          <w:p w14:paraId="7697F3F1">
            <w:pPr>
              <w:autoSpaceDE w:val="0"/>
              <w:autoSpaceDN w:val="0"/>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本项目主要原料为甘草，原辅材料来源均有保障，主要原辅材料的理化性质</w:t>
            </w:r>
            <w:r>
              <w:rPr>
                <w:rFonts w:hint="eastAsia" w:cs="Times New Roman"/>
                <w:color w:val="auto"/>
                <w:kern w:val="0"/>
                <w:sz w:val="24"/>
                <w:lang w:val="en-US" w:eastAsia="zh-CN"/>
              </w:rPr>
              <w:t>如下</w:t>
            </w:r>
            <w:r>
              <w:rPr>
                <w:rFonts w:hint="default" w:ascii="Times New Roman" w:hAnsi="Times New Roman" w:eastAsia="宋体" w:cs="Times New Roman"/>
                <w:color w:val="auto"/>
                <w:kern w:val="0"/>
                <w:sz w:val="24"/>
                <w:lang w:val="en-US" w:eastAsia="zh-CN"/>
              </w:rPr>
              <w:t>：</w:t>
            </w:r>
          </w:p>
          <w:p w14:paraId="3EB8685A">
            <w:pPr>
              <w:autoSpaceDE w:val="0"/>
              <w:autoSpaceDN w:val="0"/>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甘草：本品为豆科植物甘草Glycyrrhiza uralensis Fisch</w:t>
            </w:r>
            <w:r>
              <w:rPr>
                <w:rFonts w:hint="eastAsia" w:ascii="Times New Roman" w:hAnsi="Times New Roman" w:eastAsia="宋体" w:cs="Times New Roman"/>
                <w:color w:val="auto"/>
                <w:kern w:val="0"/>
                <w:sz w:val="24"/>
                <w:lang w:val="en-US" w:eastAsia="zh-CN"/>
              </w:rPr>
              <w:t>.</w:t>
            </w:r>
            <w:r>
              <w:rPr>
                <w:rFonts w:hint="default" w:ascii="Times New Roman" w:hAnsi="Times New Roman" w:eastAsia="宋体" w:cs="Times New Roman"/>
                <w:color w:val="auto"/>
                <w:kern w:val="0"/>
                <w:sz w:val="24"/>
                <w:lang w:val="en-US" w:eastAsia="zh-CN"/>
              </w:rPr>
              <w:t>胀果甘草Glycyrrhiza inflata Bat.或光果甘草Glycyrrhiza glabraL.的干燥根和根茎。春、秋二季采挖，除去须根，晒干。甘草根呈圆柱形，长25~100cm，直径0.6~3.5cm。外皮松紧不一。表面红色或灰棕色，具显著的纵皱纹、沟纹、皮孔及稀疏的细根痕。质坚实，断面略显纤维性，黄白色，粉性，形成层环明显，射线放射状，有的有裂隙。根茎呈圆柱形，表面有芽痕，断面中部有髓。气微，</w:t>
            </w:r>
            <w:r>
              <w:rPr>
                <w:rFonts w:hint="eastAsia" w:ascii="Times New Roman" w:hAnsi="Times New Roman" w:eastAsia="宋体" w:cs="Times New Roman"/>
                <w:color w:val="auto"/>
                <w:kern w:val="0"/>
                <w:sz w:val="24"/>
                <w:lang w:val="en-US" w:eastAsia="zh-CN"/>
              </w:rPr>
              <w:t>味</w:t>
            </w:r>
            <w:r>
              <w:rPr>
                <w:rFonts w:hint="default" w:ascii="Times New Roman" w:hAnsi="Times New Roman" w:eastAsia="宋体" w:cs="Times New Roman"/>
                <w:color w:val="auto"/>
                <w:kern w:val="0"/>
                <w:sz w:val="24"/>
                <w:lang w:val="en-US" w:eastAsia="zh-CN"/>
              </w:rPr>
              <w:t>甜而特殊。胀果甘草根和根茎木质粗壮，有的分枝，外皮粗糙，灰棕色或灰褐色。质坚硬，木质纤维多，粉性小。根茎不定芽多而粗大。光果甘草根和根茎质地较坚实，有的分枝，外皮不粗糙，多灰棕色，皮孔细而不明显。主治补脾益气，清热解毒，祛痰止咳，缓急止痛，调和诸药。用于脾胃虚弱，倦怠乏力，心悸气短，咳嗽痰多，脘腹、四肢挛急疼痛，痈肿疮毒，缓解药物毒性、烈性。</w:t>
            </w:r>
          </w:p>
          <w:p w14:paraId="70A5A7C5">
            <w:pPr>
              <w:autoSpaceDE w:val="0"/>
              <w:autoSpaceDN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lang w:val="en-US" w:eastAsia="zh-CN"/>
              </w:rPr>
              <w:t>本项目</w:t>
            </w:r>
            <w:r>
              <w:rPr>
                <w:rFonts w:hint="default" w:ascii="Times New Roman" w:hAnsi="Times New Roman" w:eastAsia="宋体" w:cs="Times New Roman"/>
                <w:color w:val="auto"/>
                <w:kern w:val="0"/>
                <w:sz w:val="24"/>
              </w:rPr>
              <w:t>主要原、辅材料消耗量见表2-</w:t>
            </w:r>
            <w:r>
              <w:rPr>
                <w:rFonts w:hint="default" w:ascii="Times New Roman" w:hAnsi="Times New Roman" w:eastAsia="宋体" w:cs="Times New Roman"/>
                <w:color w:val="auto"/>
                <w:kern w:val="0"/>
                <w:sz w:val="24"/>
                <w:lang w:val="en-US" w:eastAsia="zh-CN"/>
              </w:rPr>
              <w:t>5</w:t>
            </w:r>
            <w:r>
              <w:rPr>
                <w:rFonts w:hint="default" w:ascii="Times New Roman" w:hAnsi="Times New Roman" w:eastAsia="宋体" w:cs="Times New Roman"/>
                <w:color w:val="auto"/>
                <w:kern w:val="0"/>
                <w:sz w:val="24"/>
              </w:rPr>
              <w:t>。</w:t>
            </w:r>
          </w:p>
          <w:p w14:paraId="1E2232A5">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表2-</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rPr>
              <w:t xml:space="preserve"> 主要原辅材料及动力消耗情况表</w:t>
            </w:r>
          </w:p>
          <w:tbl>
            <w:tblPr>
              <w:tblStyle w:val="7"/>
              <w:tblW w:w="822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1097"/>
              <w:gridCol w:w="1075"/>
              <w:gridCol w:w="955"/>
              <w:gridCol w:w="1971"/>
              <w:gridCol w:w="2023"/>
            </w:tblGrid>
            <w:tr w14:paraId="3C299F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8" w:type="pct"/>
                  <w:tcBorders>
                    <w:top w:val="single" w:color="auto" w:sz="4" w:space="0"/>
                    <w:left w:val="single" w:color="auto" w:sz="0" w:space="0"/>
                  </w:tcBorders>
                  <w:vAlign w:val="center"/>
                </w:tcPr>
                <w:p w14:paraId="3D899FD1">
                  <w:pPr>
                    <w:autoSpaceDE w:val="0"/>
                    <w:autoSpaceDN w:val="0"/>
                    <w:jc w:val="center"/>
                    <w:rPr>
                      <w:rFonts w:hint="default" w:ascii="Times New Roman" w:hAnsi="Times New Roman" w:eastAsia="宋体" w:cs="Times New Roman"/>
                      <w:b/>
                      <w:bCs/>
                      <w:color w:val="auto"/>
                      <w:kern w:val="0"/>
                      <w:szCs w:val="21"/>
                      <w:lang w:val="en-US" w:eastAsia="zh-CN"/>
                    </w:rPr>
                  </w:pPr>
                  <w:r>
                    <w:rPr>
                      <w:rFonts w:hint="default" w:ascii="Times New Roman" w:hAnsi="Times New Roman" w:eastAsia="宋体" w:cs="Times New Roman"/>
                      <w:b/>
                      <w:bCs/>
                      <w:color w:val="auto"/>
                      <w:kern w:val="0"/>
                      <w:szCs w:val="21"/>
                      <w:lang w:val="en-US" w:eastAsia="zh-CN"/>
                    </w:rPr>
                    <w:t>类别</w:t>
                  </w:r>
                </w:p>
              </w:tc>
              <w:tc>
                <w:tcPr>
                  <w:tcW w:w="667" w:type="pct"/>
                  <w:tcBorders>
                    <w:top w:val="single" w:color="auto" w:sz="4" w:space="0"/>
                  </w:tcBorders>
                  <w:shd w:val="clear" w:color="auto" w:fill="auto"/>
                  <w:vAlign w:val="center"/>
                </w:tcPr>
                <w:p w14:paraId="25607F37">
                  <w:pPr>
                    <w:autoSpaceDE w:val="0"/>
                    <w:autoSpaceDN w:val="0"/>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Cs w:val="21"/>
                    </w:rPr>
                    <w:t>名称</w:t>
                  </w:r>
                </w:p>
              </w:tc>
              <w:tc>
                <w:tcPr>
                  <w:tcW w:w="653" w:type="pct"/>
                  <w:tcBorders>
                    <w:top w:val="single" w:color="auto" w:sz="4" w:space="0"/>
                  </w:tcBorders>
                  <w:vAlign w:val="center"/>
                </w:tcPr>
                <w:p w14:paraId="63C4EC84">
                  <w:pPr>
                    <w:autoSpaceDE w:val="0"/>
                    <w:autoSpaceDN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年</w:t>
                  </w:r>
                  <w:r>
                    <w:rPr>
                      <w:rFonts w:hint="eastAsia" w:cs="Times New Roman"/>
                      <w:b/>
                      <w:bCs/>
                      <w:color w:val="auto"/>
                      <w:kern w:val="0"/>
                      <w:szCs w:val="21"/>
                      <w:lang w:eastAsia="zh-CN"/>
                    </w:rPr>
                    <w:t>消</w:t>
                  </w:r>
                  <w:r>
                    <w:rPr>
                      <w:rFonts w:hint="default" w:ascii="Times New Roman" w:hAnsi="Times New Roman" w:eastAsia="宋体" w:cs="Times New Roman"/>
                      <w:b/>
                      <w:bCs/>
                      <w:color w:val="auto"/>
                      <w:kern w:val="0"/>
                      <w:szCs w:val="21"/>
                    </w:rPr>
                    <w:t>耗量</w:t>
                  </w:r>
                </w:p>
              </w:tc>
              <w:tc>
                <w:tcPr>
                  <w:tcW w:w="580" w:type="pct"/>
                  <w:tcBorders>
                    <w:top w:val="single" w:color="auto" w:sz="4" w:space="0"/>
                  </w:tcBorders>
                  <w:vAlign w:val="center"/>
                </w:tcPr>
                <w:p w14:paraId="780A6B50">
                  <w:pPr>
                    <w:autoSpaceDE w:val="0"/>
                    <w:autoSpaceDN w:val="0"/>
                    <w:jc w:val="center"/>
                    <w:rPr>
                      <w:rFonts w:hint="default" w:ascii="Times New Roman" w:hAnsi="Times New Roman" w:eastAsia="宋体" w:cs="Times New Roman"/>
                      <w:b/>
                      <w:bCs/>
                      <w:color w:val="auto"/>
                      <w:kern w:val="0"/>
                      <w:szCs w:val="21"/>
                      <w:lang w:val="en-US" w:eastAsia="zh-CN"/>
                    </w:rPr>
                  </w:pPr>
                  <w:r>
                    <w:rPr>
                      <w:rFonts w:hint="default" w:ascii="Times New Roman" w:hAnsi="Times New Roman" w:eastAsia="宋体" w:cs="Times New Roman"/>
                      <w:b/>
                      <w:bCs/>
                      <w:color w:val="auto"/>
                      <w:kern w:val="0"/>
                      <w:szCs w:val="21"/>
                      <w:lang w:val="en-US" w:eastAsia="zh-CN"/>
                    </w:rPr>
                    <w:t>单位</w:t>
                  </w:r>
                </w:p>
              </w:tc>
              <w:tc>
                <w:tcPr>
                  <w:tcW w:w="1198" w:type="pct"/>
                  <w:tcBorders>
                    <w:top w:val="single" w:color="auto" w:sz="4" w:space="0"/>
                  </w:tcBorders>
                  <w:vAlign w:val="center"/>
                </w:tcPr>
                <w:p w14:paraId="14B26AC2">
                  <w:pPr>
                    <w:autoSpaceDE w:val="0"/>
                    <w:autoSpaceDN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来源</w:t>
                  </w:r>
                </w:p>
              </w:tc>
              <w:tc>
                <w:tcPr>
                  <w:tcW w:w="1230" w:type="pct"/>
                  <w:tcBorders>
                    <w:top w:val="single" w:color="auto" w:sz="4" w:space="0"/>
                    <w:right w:val="single" w:color="auto" w:sz="4" w:space="0"/>
                  </w:tcBorders>
                  <w:vAlign w:val="center"/>
                </w:tcPr>
                <w:p w14:paraId="1BB6500C">
                  <w:pPr>
                    <w:autoSpaceDE w:val="0"/>
                    <w:autoSpaceDN w:val="0"/>
                    <w:jc w:val="center"/>
                    <w:rPr>
                      <w:rFonts w:hint="default" w:ascii="Times New Roman" w:hAnsi="Times New Roman" w:eastAsia="宋体" w:cs="Times New Roman"/>
                      <w:b/>
                      <w:bCs/>
                      <w:color w:val="auto"/>
                      <w:kern w:val="0"/>
                      <w:szCs w:val="21"/>
                      <w:lang w:eastAsia="zh-CN"/>
                    </w:rPr>
                  </w:pPr>
                  <w:r>
                    <w:rPr>
                      <w:rFonts w:hint="default" w:ascii="Times New Roman" w:hAnsi="Times New Roman" w:eastAsia="宋体" w:cs="Times New Roman"/>
                      <w:b/>
                      <w:bCs/>
                      <w:color w:val="auto"/>
                      <w:kern w:val="0"/>
                      <w:szCs w:val="21"/>
                      <w:lang w:val="en-US" w:eastAsia="zh-CN"/>
                    </w:rPr>
                    <w:t>备注</w:t>
                  </w:r>
                </w:p>
              </w:tc>
            </w:tr>
            <w:tr w14:paraId="06FBBE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8" w:type="pct"/>
                  <w:tcBorders>
                    <w:left w:val="single" w:color="auto" w:sz="4" w:space="0"/>
                  </w:tcBorders>
                  <w:vAlign w:val="center"/>
                </w:tcPr>
                <w:p w14:paraId="6B411943">
                  <w:pPr>
                    <w:autoSpaceDE w:val="0"/>
                    <w:autoSpaceDN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原料</w:t>
                  </w:r>
                </w:p>
              </w:tc>
              <w:tc>
                <w:tcPr>
                  <w:tcW w:w="667" w:type="pct"/>
                  <w:shd w:val="clear" w:color="auto" w:fill="auto"/>
                  <w:vAlign w:val="center"/>
                </w:tcPr>
                <w:p w14:paraId="4EC37C6D">
                  <w:pPr>
                    <w:autoSpaceDE w:val="0"/>
                    <w:autoSpaceDN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甘草</w:t>
                  </w:r>
                </w:p>
              </w:tc>
              <w:tc>
                <w:tcPr>
                  <w:tcW w:w="653" w:type="pct"/>
                  <w:vAlign w:val="center"/>
                </w:tcPr>
                <w:p w14:paraId="3B7314C1">
                  <w:pPr>
                    <w:autoSpaceDE w:val="0"/>
                    <w:autoSpaceDN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highlight w:val="none"/>
                      <w:lang w:val="en-US" w:eastAsia="zh-CN"/>
                    </w:rPr>
                    <w:t>10000</w:t>
                  </w:r>
                </w:p>
              </w:tc>
              <w:tc>
                <w:tcPr>
                  <w:tcW w:w="580" w:type="pct"/>
                  <w:vAlign w:val="center"/>
                </w:tcPr>
                <w:p w14:paraId="77986C89">
                  <w:pPr>
                    <w:autoSpaceDE w:val="0"/>
                    <w:autoSpaceDN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t</w:t>
                  </w:r>
                </w:p>
              </w:tc>
              <w:tc>
                <w:tcPr>
                  <w:tcW w:w="1198" w:type="pct"/>
                  <w:vAlign w:val="center"/>
                </w:tcPr>
                <w:p w14:paraId="48EFFBDE">
                  <w:pPr>
                    <w:autoSpaceDE w:val="0"/>
                    <w:autoSpaceDN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highlight w:val="none"/>
                      <w:lang w:val="en-US" w:eastAsia="zh-CN"/>
                    </w:rPr>
                    <w:t>外购</w:t>
                  </w:r>
                </w:p>
              </w:tc>
              <w:tc>
                <w:tcPr>
                  <w:tcW w:w="1230" w:type="pct"/>
                  <w:tcBorders>
                    <w:right w:val="single" w:color="auto" w:sz="4" w:space="0"/>
                  </w:tcBorders>
                  <w:vAlign w:val="center"/>
                </w:tcPr>
                <w:p w14:paraId="399E3FA0">
                  <w:pPr>
                    <w:autoSpaceDE w:val="0"/>
                    <w:autoSpaceDN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lang w:val="en-US" w:eastAsia="zh-CN"/>
                    </w:rPr>
                    <w:t>吨袋</w:t>
                  </w:r>
                </w:p>
              </w:tc>
            </w:tr>
            <w:tr w14:paraId="554CF7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8" w:type="pct"/>
                  <w:vMerge w:val="restart"/>
                  <w:tcBorders>
                    <w:left w:val="single" w:color="auto" w:sz="4" w:space="0"/>
                  </w:tcBorders>
                  <w:shd w:val="clear" w:color="auto" w:fill="auto"/>
                  <w:vAlign w:val="center"/>
                </w:tcPr>
                <w:p w14:paraId="48748DD3">
                  <w:pPr>
                    <w:autoSpaceDE w:val="0"/>
                    <w:autoSpaceDN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动力消耗</w:t>
                  </w:r>
                </w:p>
              </w:tc>
              <w:tc>
                <w:tcPr>
                  <w:tcW w:w="667" w:type="pct"/>
                  <w:shd w:val="clear" w:color="auto" w:fill="auto"/>
                  <w:vAlign w:val="center"/>
                </w:tcPr>
                <w:p w14:paraId="057721B0">
                  <w:pPr>
                    <w:autoSpaceDE w:val="0"/>
                    <w:autoSpaceDN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电</w:t>
                  </w:r>
                </w:p>
              </w:tc>
              <w:tc>
                <w:tcPr>
                  <w:tcW w:w="653" w:type="pct"/>
                  <w:shd w:val="clear" w:color="auto" w:fill="auto"/>
                  <w:vAlign w:val="center"/>
                </w:tcPr>
                <w:p w14:paraId="660C1CE4">
                  <w:pPr>
                    <w:autoSpaceDE w:val="0"/>
                    <w:autoSpaceDN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230</w:t>
                  </w:r>
                </w:p>
              </w:tc>
              <w:tc>
                <w:tcPr>
                  <w:tcW w:w="580" w:type="pct"/>
                  <w:shd w:val="clear" w:color="auto" w:fill="auto"/>
                  <w:vAlign w:val="center"/>
                </w:tcPr>
                <w:p w14:paraId="1A461920">
                  <w:pPr>
                    <w:autoSpaceDE w:val="0"/>
                    <w:autoSpaceDN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highlight w:val="none"/>
                      <w:lang w:val="en-US" w:eastAsia="zh-CN"/>
                    </w:rPr>
                    <w:t>万</w:t>
                  </w:r>
                  <w:r>
                    <w:rPr>
                      <w:rFonts w:hint="default" w:ascii="Times New Roman" w:hAnsi="Times New Roman" w:eastAsia="宋体" w:cs="Times New Roman"/>
                      <w:color w:val="auto"/>
                      <w:kern w:val="0"/>
                      <w:szCs w:val="21"/>
                      <w:highlight w:val="none"/>
                    </w:rPr>
                    <w:t>KWh</w:t>
                  </w:r>
                </w:p>
              </w:tc>
              <w:tc>
                <w:tcPr>
                  <w:tcW w:w="1198" w:type="pct"/>
                  <w:shd w:val="clear" w:color="auto" w:fill="auto"/>
                  <w:vAlign w:val="center"/>
                </w:tcPr>
                <w:p w14:paraId="3B16A6EF">
                  <w:pPr>
                    <w:autoSpaceDE w:val="0"/>
                    <w:autoSpaceDN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市政</w:t>
                  </w:r>
                  <w:r>
                    <w:rPr>
                      <w:rFonts w:hint="default" w:ascii="Times New Roman" w:hAnsi="Times New Roman" w:eastAsia="宋体" w:cs="Times New Roman"/>
                      <w:color w:val="auto"/>
                      <w:kern w:val="0"/>
                      <w:szCs w:val="21"/>
                    </w:rPr>
                    <w:t>电网</w:t>
                  </w:r>
                </w:p>
              </w:tc>
              <w:tc>
                <w:tcPr>
                  <w:tcW w:w="1230" w:type="pct"/>
                  <w:tcBorders>
                    <w:right w:val="single" w:color="auto" w:sz="4" w:space="0"/>
                  </w:tcBorders>
                  <w:vAlign w:val="center"/>
                </w:tcPr>
                <w:p w14:paraId="534FE82A">
                  <w:pPr>
                    <w:autoSpaceDE w:val="0"/>
                    <w:autoSpaceDN w:val="0"/>
                    <w:jc w:val="center"/>
                    <w:rPr>
                      <w:rFonts w:hint="default" w:ascii="Times New Roman" w:hAnsi="Times New Roman" w:eastAsia="宋体" w:cs="Times New Roman"/>
                      <w:color w:val="auto"/>
                      <w:kern w:val="0"/>
                      <w:szCs w:val="21"/>
                      <w:lang w:val="en-US" w:eastAsia="zh-CN"/>
                    </w:rPr>
                  </w:pPr>
                </w:p>
              </w:tc>
            </w:tr>
            <w:tr w14:paraId="328B6C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8" w:type="pct"/>
                  <w:vMerge w:val="continue"/>
                  <w:tcBorders>
                    <w:left w:val="single" w:color="auto" w:sz="4" w:space="0"/>
                  </w:tcBorders>
                  <w:shd w:val="clear" w:color="auto" w:fill="auto"/>
                  <w:vAlign w:val="center"/>
                </w:tcPr>
                <w:p w14:paraId="0565BB27">
                  <w:pPr>
                    <w:autoSpaceDE w:val="0"/>
                    <w:autoSpaceDN w:val="0"/>
                    <w:jc w:val="center"/>
                    <w:rPr>
                      <w:rFonts w:hint="default" w:ascii="Times New Roman" w:hAnsi="Times New Roman" w:eastAsia="宋体" w:cs="Times New Roman"/>
                      <w:color w:val="auto"/>
                      <w:kern w:val="0"/>
                      <w:sz w:val="21"/>
                      <w:szCs w:val="21"/>
                      <w:lang w:val="en-US" w:eastAsia="zh-CN" w:bidi="ar-SA"/>
                    </w:rPr>
                  </w:pPr>
                </w:p>
              </w:tc>
              <w:tc>
                <w:tcPr>
                  <w:tcW w:w="667" w:type="pct"/>
                  <w:shd w:val="clear" w:color="auto" w:fill="auto"/>
                  <w:vAlign w:val="center"/>
                </w:tcPr>
                <w:p w14:paraId="6627C5EF">
                  <w:pPr>
                    <w:autoSpaceDE w:val="0"/>
                    <w:autoSpaceDN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新鲜水</w:t>
                  </w:r>
                </w:p>
              </w:tc>
              <w:tc>
                <w:tcPr>
                  <w:tcW w:w="653" w:type="pct"/>
                  <w:shd w:val="clear" w:color="auto" w:fill="auto"/>
                  <w:vAlign w:val="center"/>
                </w:tcPr>
                <w:p w14:paraId="0370FC6C">
                  <w:pPr>
                    <w:autoSpaceDE w:val="0"/>
                    <w:autoSpaceDN w:val="0"/>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Cs w:val="21"/>
                      <w:highlight w:val="none"/>
                      <w:lang w:val="en-US" w:eastAsia="zh-CN"/>
                    </w:rPr>
                    <w:t>59732</w:t>
                  </w:r>
                </w:p>
              </w:tc>
              <w:tc>
                <w:tcPr>
                  <w:tcW w:w="580" w:type="pct"/>
                  <w:shd w:val="clear" w:color="auto" w:fill="auto"/>
                  <w:vAlign w:val="center"/>
                </w:tcPr>
                <w:p w14:paraId="025388ED">
                  <w:pPr>
                    <w:autoSpaceDE w:val="0"/>
                    <w:autoSpaceDN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vertAlign w:val="baseline"/>
                      <w:lang w:eastAsia="zh-CN"/>
                    </w:rPr>
                    <w:t>m</w:t>
                  </w:r>
                  <w:r>
                    <w:rPr>
                      <w:rFonts w:hint="default" w:ascii="Times New Roman" w:hAnsi="Times New Roman" w:eastAsia="宋体" w:cs="Times New Roman"/>
                      <w:color w:val="auto"/>
                      <w:kern w:val="0"/>
                      <w:szCs w:val="21"/>
                      <w:highlight w:val="none"/>
                      <w:vertAlign w:val="superscript"/>
                      <w:lang w:eastAsia="zh-CN"/>
                    </w:rPr>
                    <w:t>3</w:t>
                  </w:r>
                  <w:r>
                    <w:rPr>
                      <w:rFonts w:hint="default" w:ascii="Times New Roman" w:hAnsi="Times New Roman" w:eastAsia="宋体" w:cs="Times New Roman"/>
                      <w:color w:val="auto"/>
                      <w:kern w:val="0"/>
                      <w:szCs w:val="21"/>
                      <w:highlight w:val="none"/>
                    </w:rPr>
                    <w:t>/a</w:t>
                  </w:r>
                </w:p>
              </w:tc>
              <w:tc>
                <w:tcPr>
                  <w:tcW w:w="1198" w:type="pct"/>
                  <w:shd w:val="clear" w:color="auto" w:fill="auto"/>
                  <w:vAlign w:val="center"/>
                </w:tcPr>
                <w:p w14:paraId="32ACD932">
                  <w:pPr>
                    <w:autoSpaceDE w:val="0"/>
                    <w:autoSpaceDN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市政给水管网</w:t>
                  </w:r>
                </w:p>
              </w:tc>
              <w:tc>
                <w:tcPr>
                  <w:tcW w:w="1230" w:type="pct"/>
                  <w:tcBorders>
                    <w:right w:val="single" w:color="auto" w:sz="4" w:space="0"/>
                  </w:tcBorders>
                  <w:vAlign w:val="center"/>
                </w:tcPr>
                <w:p w14:paraId="468D9C54">
                  <w:pPr>
                    <w:autoSpaceDE w:val="0"/>
                    <w:autoSpaceDN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highlight w:val="none"/>
                    </w:rPr>
                    <w:t>含生产用水</w:t>
                  </w:r>
                </w:p>
              </w:tc>
            </w:tr>
            <w:tr w14:paraId="620551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8" w:type="pct"/>
                  <w:vMerge w:val="continue"/>
                  <w:tcBorders>
                    <w:left w:val="single" w:color="auto" w:sz="4" w:space="0"/>
                    <w:bottom w:val="single" w:color="auto" w:sz="4" w:space="0"/>
                  </w:tcBorders>
                  <w:shd w:val="clear" w:color="auto" w:fill="auto"/>
                  <w:vAlign w:val="center"/>
                </w:tcPr>
                <w:p w14:paraId="33DB34E7">
                  <w:pPr>
                    <w:autoSpaceDE w:val="0"/>
                    <w:autoSpaceDN w:val="0"/>
                    <w:jc w:val="center"/>
                    <w:rPr>
                      <w:rFonts w:hint="default" w:ascii="Times New Roman" w:hAnsi="Times New Roman" w:eastAsia="宋体" w:cs="Times New Roman"/>
                      <w:color w:val="auto"/>
                      <w:kern w:val="0"/>
                      <w:sz w:val="21"/>
                      <w:szCs w:val="21"/>
                      <w:lang w:val="en-US" w:eastAsia="zh-CN" w:bidi="ar-SA"/>
                    </w:rPr>
                  </w:pPr>
                </w:p>
              </w:tc>
              <w:tc>
                <w:tcPr>
                  <w:tcW w:w="667" w:type="pct"/>
                  <w:tcBorders>
                    <w:bottom w:val="single" w:color="auto" w:sz="4" w:space="0"/>
                  </w:tcBorders>
                  <w:shd w:val="clear" w:color="auto" w:fill="auto"/>
                  <w:vAlign w:val="center"/>
                </w:tcPr>
                <w:p w14:paraId="575CB627">
                  <w:pPr>
                    <w:autoSpaceDE w:val="0"/>
                    <w:autoSpaceDN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天然气</w:t>
                  </w:r>
                </w:p>
              </w:tc>
              <w:tc>
                <w:tcPr>
                  <w:tcW w:w="653" w:type="pct"/>
                  <w:tcBorders>
                    <w:bottom w:val="single" w:color="auto" w:sz="4" w:space="0"/>
                  </w:tcBorders>
                  <w:shd w:val="clear" w:color="auto" w:fill="auto"/>
                  <w:vAlign w:val="center"/>
                </w:tcPr>
                <w:p w14:paraId="44F15338">
                  <w:pPr>
                    <w:autoSpaceDE w:val="0"/>
                    <w:autoSpaceDN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432</w:t>
                  </w:r>
                </w:p>
              </w:tc>
              <w:tc>
                <w:tcPr>
                  <w:tcW w:w="580" w:type="pct"/>
                  <w:tcBorders>
                    <w:bottom w:val="single" w:color="auto" w:sz="4" w:space="0"/>
                  </w:tcBorders>
                  <w:shd w:val="clear" w:color="auto" w:fill="auto"/>
                  <w:vAlign w:val="center"/>
                </w:tcPr>
                <w:p w14:paraId="133D530F">
                  <w:pPr>
                    <w:autoSpaceDE w:val="0"/>
                    <w:autoSpaceDN w:val="0"/>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Cs w:val="21"/>
                      <w:highlight w:val="none"/>
                      <w:lang w:val="en-US" w:eastAsia="zh-CN"/>
                    </w:rPr>
                    <w:t>万</w:t>
                  </w:r>
                  <w:r>
                    <w:rPr>
                      <w:rFonts w:hint="default" w:ascii="Times New Roman" w:hAnsi="Times New Roman" w:eastAsia="宋体" w:cs="Times New Roman"/>
                      <w:color w:val="auto"/>
                      <w:kern w:val="0"/>
                      <w:szCs w:val="21"/>
                      <w:highlight w:val="none"/>
                      <w:vertAlign w:val="baseline"/>
                      <w:lang w:val="en-US" w:eastAsia="zh-CN"/>
                    </w:rPr>
                    <w:t>m</w:t>
                  </w:r>
                  <w:r>
                    <w:rPr>
                      <w:rFonts w:hint="default" w:ascii="Times New Roman" w:hAnsi="Times New Roman" w:eastAsia="宋体" w:cs="Times New Roman"/>
                      <w:color w:val="auto"/>
                      <w:kern w:val="0"/>
                      <w:szCs w:val="21"/>
                      <w:highlight w:val="none"/>
                      <w:vertAlign w:val="superscript"/>
                      <w:lang w:val="en-US" w:eastAsia="zh-CN"/>
                    </w:rPr>
                    <w:t>3</w:t>
                  </w:r>
                </w:p>
              </w:tc>
              <w:tc>
                <w:tcPr>
                  <w:tcW w:w="1198" w:type="pct"/>
                  <w:tcBorders>
                    <w:bottom w:val="single" w:color="auto" w:sz="4" w:space="0"/>
                  </w:tcBorders>
                  <w:shd w:val="clear" w:color="auto" w:fill="auto"/>
                  <w:vAlign w:val="center"/>
                </w:tcPr>
                <w:p w14:paraId="2C034323">
                  <w:pPr>
                    <w:autoSpaceDE w:val="0"/>
                    <w:autoSpaceDN w:val="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en-US" w:eastAsia="zh-CN"/>
                    </w:rPr>
                    <w:t>市政供气管网</w:t>
                  </w:r>
                </w:p>
              </w:tc>
              <w:tc>
                <w:tcPr>
                  <w:tcW w:w="1230" w:type="pct"/>
                  <w:tcBorders>
                    <w:bottom w:val="single" w:color="auto" w:sz="4" w:space="0"/>
                    <w:right w:val="single" w:color="auto" w:sz="4" w:space="0"/>
                  </w:tcBorders>
                  <w:vAlign w:val="center"/>
                </w:tcPr>
                <w:p w14:paraId="39883189">
                  <w:pPr>
                    <w:autoSpaceDE w:val="0"/>
                    <w:autoSpaceDN w:val="0"/>
                    <w:jc w:val="center"/>
                    <w:rPr>
                      <w:rFonts w:hint="default" w:ascii="Times New Roman" w:hAnsi="Times New Roman" w:eastAsia="宋体" w:cs="Times New Roman"/>
                      <w:color w:val="auto"/>
                      <w:kern w:val="0"/>
                      <w:szCs w:val="21"/>
                      <w:lang w:val="en-US" w:eastAsia="zh-CN"/>
                    </w:rPr>
                  </w:pPr>
                </w:p>
              </w:tc>
            </w:tr>
          </w:tbl>
          <w:p w14:paraId="3D38D14A">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left"/>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5.主要生产设备</w:t>
            </w:r>
          </w:p>
          <w:p w14:paraId="47C1D40E">
            <w:pPr>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val="en-US" w:eastAsia="zh-CN"/>
              </w:rPr>
              <w:t>本项目主要生产设备情况见下表</w:t>
            </w:r>
            <w:r>
              <w:rPr>
                <w:rFonts w:hint="default" w:ascii="Times New Roman" w:hAnsi="Times New Roman" w:eastAsia="宋体" w:cs="Times New Roman"/>
                <w:bCs/>
                <w:color w:val="auto"/>
                <w:sz w:val="24"/>
              </w:rPr>
              <w:t>：</w:t>
            </w:r>
          </w:p>
          <w:p w14:paraId="377FFF8C">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表2-</w:t>
            </w:r>
            <w:r>
              <w:rPr>
                <w:rFonts w:hint="default" w:ascii="Times New Roman" w:hAnsi="Times New Roman" w:eastAsia="宋体" w:cs="Times New Roman"/>
                <w:color w:val="auto"/>
                <w:lang w:val="en-US" w:eastAsia="zh-CN"/>
              </w:rPr>
              <w:t xml:space="preserve">6 </w:t>
            </w:r>
            <w:r>
              <w:rPr>
                <w:rFonts w:hint="eastAsia" w:cs="Times New Roman"/>
                <w:color w:val="auto"/>
                <w:lang w:val="en-US" w:eastAsia="zh-CN"/>
              </w:rPr>
              <w:t>为</w:t>
            </w:r>
            <w:r>
              <w:rPr>
                <w:rFonts w:hint="default" w:ascii="Times New Roman" w:hAnsi="Times New Roman" w:eastAsia="宋体" w:cs="Times New Roman"/>
                <w:color w:val="auto"/>
              </w:rPr>
              <w:t>12000 罐/小时（245</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l）易拉罐饮料灌装生产线设备清单</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51" w:type="dxa"/>
                <w:bottom w:w="0" w:type="dxa"/>
                <w:right w:w="51" w:type="dxa"/>
              </w:tblCellMar>
            </w:tblPr>
            <w:tblGrid>
              <w:gridCol w:w="857"/>
              <w:gridCol w:w="2255"/>
              <w:gridCol w:w="2382"/>
              <w:gridCol w:w="824"/>
              <w:gridCol w:w="738"/>
              <w:gridCol w:w="1175"/>
            </w:tblGrid>
            <w:tr w14:paraId="73AA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1D15B87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2258" w:type="dxa"/>
                  <w:tcBorders>
                    <w:tl2br w:val="nil"/>
                    <w:tr2bl w:val="nil"/>
                  </w:tcBorders>
                  <w:shd w:val="clear" w:color="auto" w:fill="auto"/>
                  <w:vAlign w:val="center"/>
                </w:tcPr>
                <w:p w14:paraId="710B726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设备名称</w:t>
                  </w:r>
                </w:p>
              </w:tc>
              <w:tc>
                <w:tcPr>
                  <w:tcW w:w="2385" w:type="dxa"/>
                  <w:tcBorders>
                    <w:tl2br w:val="nil"/>
                    <w:tr2bl w:val="nil"/>
                  </w:tcBorders>
                  <w:shd w:val="clear" w:color="auto" w:fill="auto"/>
                  <w:vAlign w:val="center"/>
                </w:tcPr>
                <w:p w14:paraId="2B71FB8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型号</w:t>
                  </w:r>
                </w:p>
              </w:tc>
              <w:tc>
                <w:tcPr>
                  <w:tcW w:w="825" w:type="dxa"/>
                  <w:tcBorders>
                    <w:tl2br w:val="nil"/>
                    <w:tr2bl w:val="nil"/>
                  </w:tcBorders>
                  <w:shd w:val="clear" w:color="auto" w:fill="auto"/>
                  <w:vAlign w:val="center"/>
                </w:tcPr>
                <w:p w14:paraId="03ECF7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装机数量</w:t>
                  </w:r>
                </w:p>
              </w:tc>
              <w:tc>
                <w:tcPr>
                  <w:tcW w:w="739" w:type="dxa"/>
                  <w:tcBorders>
                    <w:tl2br w:val="nil"/>
                    <w:tr2bl w:val="nil"/>
                  </w:tcBorders>
                  <w:shd w:val="clear" w:color="auto" w:fill="auto"/>
                  <w:vAlign w:val="center"/>
                </w:tcPr>
                <w:p w14:paraId="602BDC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c>
                <w:tcPr>
                  <w:tcW w:w="1176" w:type="dxa"/>
                  <w:tcBorders>
                    <w:tl2br w:val="nil"/>
                    <w:tr2bl w:val="nil"/>
                  </w:tcBorders>
                  <w:shd w:val="clear" w:color="auto" w:fill="auto"/>
                  <w:vAlign w:val="center"/>
                </w:tcPr>
                <w:p w14:paraId="57FD85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备注</w:t>
                  </w:r>
                </w:p>
              </w:tc>
            </w:tr>
            <w:tr w14:paraId="7084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7F7C92F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258" w:type="dxa"/>
                  <w:tcBorders>
                    <w:tl2br w:val="nil"/>
                    <w:tr2bl w:val="nil"/>
                  </w:tcBorders>
                  <w:shd w:val="clear" w:color="auto" w:fill="auto"/>
                  <w:vAlign w:val="center"/>
                </w:tcPr>
                <w:p w14:paraId="495E53B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全自动卸垛机</w:t>
                  </w:r>
                </w:p>
              </w:tc>
              <w:tc>
                <w:tcPr>
                  <w:tcW w:w="2385" w:type="dxa"/>
                  <w:tcBorders>
                    <w:tl2br w:val="nil"/>
                    <w:tr2bl w:val="nil"/>
                  </w:tcBorders>
                  <w:shd w:val="clear" w:color="auto" w:fill="auto"/>
                  <w:vAlign w:val="center"/>
                </w:tcPr>
                <w:p w14:paraId="7689A88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XD300S</w:t>
                  </w:r>
                </w:p>
              </w:tc>
              <w:tc>
                <w:tcPr>
                  <w:tcW w:w="825" w:type="dxa"/>
                  <w:tcBorders>
                    <w:tl2br w:val="nil"/>
                    <w:tr2bl w:val="nil"/>
                  </w:tcBorders>
                  <w:shd w:val="clear" w:color="auto" w:fill="auto"/>
                  <w:vAlign w:val="center"/>
                </w:tcPr>
                <w:p w14:paraId="2044E17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377BD36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restart"/>
                  <w:tcBorders>
                    <w:tl2br w:val="nil"/>
                    <w:tr2bl w:val="nil"/>
                  </w:tcBorders>
                  <w:shd w:val="clear" w:color="auto" w:fill="auto"/>
                  <w:vAlign w:val="center"/>
                </w:tcPr>
                <w:p w14:paraId="057F5A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输送易拉罐</w:t>
                  </w:r>
                </w:p>
              </w:tc>
            </w:tr>
            <w:tr w14:paraId="627C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47A199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258" w:type="dxa"/>
                  <w:tcBorders>
                    <w:tl2br w:val="nil"/>
                    <w:tr2bl w:val="nil"/>
                  </w:tcBorders>
                  <w:shd w:val="clear" w:color="auto" w:fill="auto"/>
                  <w:vAlign w:val="center"/>
                </w:tcPr>
                <w:p w14:paraId="4E28F9A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高空输送平台</w:t>
                  </w:r>
                </w:p>
              </w:tc>
              <w:tc>
                <w:tcPr>
                  <w:tcW w:w="2385" w:type="dxa"/>
                  <w:tcBorders>
                    <w:tl2br w:val="nil"/>
                    <w:tr2bl w:val="nil"/>
                  </w:tcBorders>
                  <w:shd w:val="clear" w:color="auto" w:fill="auto"/>
                  <w:vAlign w:val="center"/>
                </w:tcPr>
                <w:p w14:paraId="30B9231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SS</w:t>
                  </w:r>
                </w:p>
              </w:tc>
              <w:tc>
                <w:tcPr>
                  <w:tcW w:w="825" w:type="dxa"/>
                  <w:tcBorders>
                    <w:tl2br w:val="nil"/>
                    <w:tr2bl w:val="nil"/>
                  </w:tcBorders>
                  <w:shd w:val="clear" w:color="auto" w:fill="auto"/>
                  <w:vAlign w:val="center"/>
                </w:tcPr>
                <w:p w14:paraId="11825B1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w:t>
                  </w:r>
                </w:p>
              </w:tc>
              <w:tc>
                <w:tcPr>
                  <w:tcW w:w="739" w:type="dxa"/>
                  <w:tcBorders>
                    <w:tl2br w:val="nil"/>
                    <w:tr2bl w:val="nil"/>
                  </w:tcBorders>
                  <w:shd w:val="clear" w:color="auto" w:fill="auto"/>
                  <w:vAlign w:val="center"/>
                </w:tcPr>
                <w:p w14:paraId="57B4A3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2</w:t>
                  </w:r>
                </w:p>
              </w:tc>
              <w:tc>
                <w:tcPr>
                  <w:tcW w:w="1176" w:type="dxa"/>
                  <w:vMerge w:val="continue"/>
                  <w:tcBorders>
                    <w:tl2br w:val="nil"/>
                    <w:tr2bl w:val="nil"/>
                  </w:tcBorders>
                  <w:shd w:val="clear" w:color="auto" w:fill="auto"/>
                  <w:vAlign w:val="center"/>
                </w:tcPr>
                <w:p w14:paraId="25825311">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5D4A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0A45A2C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2258" w:type="dxa"/>
                  <w:tcBorders>
                    <w:tl2br w:val="nil"/>
                    <w:tr2bl w:val="nil"/>
                  </w:tcBorders>
                  <w:shd w:val="clear" w:color="auto" w:fill="auto"/>
                  <w:vAlign w:val="center"/>
                </w:tcPr>
                <w:p w14:paraId="460D30D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绞笼式冲罐机</w:t>
                  </w:r>
                </w:p>
              </w:tc>
              <w:tc>
                <w:tcPr>
                  <w:tcW w:w="2385" w:type="dxa"/>
                  <w:tcBorders>
                    <w:tl2br w:val="nil"/>
                    <w:tr2bl w:val="nil"/>
                  </w:tcBorders>
                  <w:shd w:val="clear" w:color="auto" w:fill="auto"/>
                  <w:vAlign w:val="center"/>
                </w:tcPr>
                <w:p w14:paraId="0319499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CGJ3A</w:t>
                  </w:r>
                </w:p>
              </w:tc>
              <w:tc>
                <w:tcPr>
                  <w:tcW w:w="825" w:type="dxa"/>
                  <w:tcBorders>
                    <w:tl2br w:val="nil"/>
                    <w:tr2bl w:val="nil"/>
                  </w:tcBorders>
                  <w:shd w:val="clear" w:color="auto" w:fill="auto"/>
                  <w:vAlign w:val="center"/>
                </w:tcPr>
                <w:p w14:paraId="39FC46F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07651E6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0D6EB832">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77E8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176B2B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258" w:type="dxa"/>
                  <w:tcBorders>
                    <w:tl2br w:val="nil"/>
                    <w:tr2bl w:val="nil"/>
                  </w:tcBorders>
                  <w:shd w:val="clear" w:color="auto" w:fill="auto"/>
                  <w:vAlign w:val="center"/>
                </w:tcPr>
                <w:p w14:paraId="0A94CFE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3T</w:t>
                  </w:r>
                  <w:r>
                    <w:rPr>
                      <w:rFonts w:hint="default" w:ascii="Times New Roman" w:hAnsi="Times New Roman" w:eastAsia="宋体" w:cs="Times New Roman"/>
                      <w:color w:val="auto"/>
                      <w:sz w:val="21"/>
                      <w:szCs w:val="21"/>
                      <w:lang w:val="en-US" w:eastAsia="zh-CN" w:bidi="ar"/>
                    </w:rPr>
                    <w:t>全自动管式</w:t>
                  </w:r>
                  <w:r>
                    <w:rPr>
                      <w:rFonts w:hint="default" w:ascii="Times New Roman" w:hAnsi="Times New Roman" w:eastAsia="宋体" w:cs="Times New Roman"/>
                      <w:i w:val="0"/>
                      <w:iCs w:val="0"/>
                      <w:color w:val="auto"/>
                      <w:kern w:val="0"/>
                      <w:sz w:val="21"/>
                      <w:szCs w:val="21"/>
                      <w:u w:val="none"/>
                      <w:lang w:val="en-US" w:eastAsia="zh-CN" w:bidi="ar"/>
                    </w:rPr>
                    <w:t>UHT</w:t>
                  </w:r>
                </w:p>
              </w:tc>
              <w:tc>
                <w:tcPr>
                  <w:tcW w:w="2385" w:type="dxa"/>
                  <w:tcBorders>
                    <w:tl2br w:val="nil"/>
                    <w:tr2bl w:val="nil"/>
                  </w:tcBorders>
                  <w:shd w:val="clear" w:color="auto" w:fill="auto"/>
                  <w:vAlign w:val="center"/>
                </w:tcPr>
                <w:p w14:paraId="7B0C294D">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l2br w:val="nil"/>
                    <w:tr2bl w:val="nil"/>
                  </w:tcBorders>
                  <w:shd w:val="clear" w:color="auto" w:fill="auto"/>
                  <w:vAlign w:val="center"/>
                </w:tcPr>
                <w:p w14:paraId="0C9846D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3DFDF75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1176" w:type="dxa"/>
                  <w:tcBorders>
                    <w:tl2br w:val="nil"/>
                    <w:tr2bl w:val="nil"/>
                  </w:tcBorders>
                  <w:shd w:val="clear" w:color="auto" w:fill="auto"/>
                  <w:vAlign w:val="center"/>
                </w:tcPr>
                <w:p w14:paraId="23CD029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杀菌</w:t>
                  </w:r>
                </w:p>
              </w:tc>
            </w:tr>
            <w:tr w14:paraId="7191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43B4EC1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2258" w:type="dxa"/>
                  <w:tcBorders>
                    <w:tl2br w:val="nil"/>
                    <w:tr2bl w:val="nil"/>
                  </w:tcBorders>
                  <w:shd w:val="clear" w:color="auto" w:fill="auto"/>
                  <w:vAlign w:val="center"/>
                </w:tcPr>
                <w:p w14:paraId="0F8680C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灌装封口二合一机</w:t>
                  </w:r>
                </w:p>
              </w:tc>
              <w:tc>
                <w:tcPr>
                  <w:tcW w:w="2385" w:type="dxa"/>
                  <w:tcBorders>
                    <w:tl2br w:val="nil"/>
                    <w:tr2bl w:val="nil"/>
                  </w:tcBorders>
                  <w:shd w:val="clear" w:color="auto" w:fill="auto"/>
                  <w:vAlign w:val="center"/>
                </w:tcPr>
                <w:p w14:paraId="261960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RYGF18-4</w:t>
                  </w:r>
                </w:p>
              </w:tc>
              <w:tc>
                <w:tcPr>
                  <w:tcW w:w="825" w:type="dxa"/>
                  <w:tcBorders>
                    <w:tl2br w:val="nil"/>
                    <w:tr2bl w:val="nil"/>
                  </w:tcBorders>
                  <w:shd w:val="clear" w:color="auto" w:fill="auto"/>
                  <w:vAlign w:val="center"/>
                </w:tcPr>
                <w:p w14:paraId="142E619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2624321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tcBorders>
                    <w:tl2br w:val="nil"/>
                    <w:tr2bl w:val="nil"/>
                  </w:tcBorders>
                  <w:shd w:val="clear" w:color="auto" w:fill="auto"/>
                  <w:vAlign w:val="center"/>
                </w:tcPr>
                <w:p w14:paraId="192DCBA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灌装系统</w:t>
                  </w:r>
                </w:p>
              </w:tc>
            </w:tr>
            <w:tr w14:paraId="7F0B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0A85168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2258" w:type="dxa"/>
                  <w:tcBorders>
                    <w:tl2br w:val="nil"/>
                    <w:tr2bl w:val="nil"/>
                  </w:tcBorders>
                  <w:shd w:val="clear" w:color="auto" w:fill="auto"/>
                  <w:vAlign w:val="center"/>
                </w:tcPr>
                <w:p w14:paraId="029E9D2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空罐检测机</w:t>
                  </w:r>
                </w:p>
              </w:tc>
              <w:tc>
                <w:tcPr>
                  <w:tcW w:w="2385" w:type="dxa"/>
                  <w:tcBorders>
                    <w:tl2br w:val="nil"/>
                    <w:tr2bl w:val="nil"/>
                  </w:tcBorders>
                  <w:shd w:val="clear" w:color="auto" w:fill="auto"/>
                  <w:vAlign w:val="center"/>
                </w:tcPr>
                <w:p w14:paraId="73E0BA5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DY-RQG-2A</w:t>
                  </w:r>
                </w:p>
              </w:tc>
              <w:tc>
                <w:tcPr>
                  <w:tcW w:w="825" w:type="dxa"/>
                  <w:tcBorders>
                    <w:tl2br w:val="nil"/>
                    <w:tr2bl w:val="nil"/>
                  </w:tcBorders>
                  <w:shd w:val="clear" w:color="auto" w:fill="auto"/>
                  <w:vAlign w:val="center"/>
                </w:tcPr>
                <w:p w14:paraId="58B27FA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0051101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restart"/>
                  <w:tcBorders>
                    <w:tl2br w:val="nil"/>
                    <w:tr2bl w:val="nil"/>
                  </w:tcBorders>
                  <w:shd w:val="clear" w:color="auto" w:fill="auto"/>
                  <w:vAlign w:val="center"/>
                </w:tcPr>
                <w:p w14:paraId="4ED4690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检测系统</w:t>
                  </w:r>
                </w:p>
              </w:tc>
            </w:tr>
            <w:tr w14:paraId="1766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0DCD143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2258" w:type="dxa"/>
                  <w:tcBorders>
                    <w:tl2br w:val="nil"/>
                    <w:tr2bl w:val="nil"/>
                  </w:tcBorders>
                  <w:shd w:val="clear" w:color="auto" w:fill="auto"/>
                  <w:vAlign w:val="center"/>
                </w:tcPr>
                <w:p w14:paraId="622F6CB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在线真空检测</w:t>
                  </w:r>
                </w:p>
              </w:tc>
              <w:tc>
                <w:tcPr>
                  <w:tcW w:w="2385" w:type="dxa"/>
                  <w:tcBorders>
                    <w:tl2br w:val="nil"/>
                    <w:tr2bl w:val="nil"/>
                  </w:tcBorders>
                  <w:shd w:val="clear" w:color="auto" w:fill="auto"/>
                  <w:vAlign w:val="center"/>
                </w:tcPr>
                <w:p w14:paraId="3E8D309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DY-SY-2P</w:t>
                  </w:r>
                </w:p>
              </w:tc>
              <w:tc>
                <w:tcPr>
                  <w:tcW w:w="825" w:type="dxa"/>
                  <w:tcBorders>
                    <w:tl2br w:val="nil"/>
                    <w:tr2bl w:val="nil"/>
                  </w:tcBorders>
                  <w:shd w:val="clear" w:color="auto" w:fill="auto"/>
                  <w:vAlign w:val="center"/>
                </w:tcPr>
                <w:p w14:paraId="7C15A7F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25E8155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3F45CD20">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3215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6772BFD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2258" w:type="dxa"/>
                  <w:tcBorders>
                    <w:tl2br w:val="nil"/>
                    <w:tr2bl w:val="nil"/>
                  </w:tcBorders>
                  <w:shd w:val="clear" w:color="auto" w:fill="auto"/>
                  <w:vAlign w:val="center"/>
                </w:tcPr>
                <w:p w14:paraId="3273668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液位检测</w:t>
                  </w:r>
                </w:p>
              </w:tc>
              <w:tc>
                <w:tcPr>
                  <w:tcW w:w="2385" w:type="dxa"/>
                  <w:tcBorders>
                    <w:tl2br w:val="nil"/>
                    <w:tr2bl w:val="nil"/>
                  </w:tcBorders>
                  <w:shd w:val="clear" w:color="auto" w:fill="auto"/>
                  <w:vAlign w:val="center"/>
                </w:tcPr>
                <w:p w14:paraId="34CDBD6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DY-X-Y-1A</w:t>
                  </w:r>
                </w:p>
              </w:tc>
              <w:tc>
                <w:tcPr>
                  <w:tcW w:w="825" w:type="dxa"/>
                  <w:tcBorders>
                    <w:tl2br w:val="nil"/>
                    <w:tr2bl w:val="nil"/>
                  </w:tcBorders>
                  <w:shd w:val="clear" w:color="auto" w:fill="auto"/>
                  <w:vAlign w:val="center"/>
                </w:tcPr>
                <w:p w14:paraId="5A369AA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56E2876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155654A8">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4C88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5626F18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2258" w:type="dxa"/>
                  <w:tcBorders>
                    <w:tl2br w:val="nil"/>
                    <w:tr2bl w:val="nil"/>
                  </w:tcBorders>
                  <w:shd w:val="clear" w:color="auto" w:fill="auto"/>
                  <w:vAlign w:val="center"/>
                </w:tcPr>
                <w:p w14:paraId="215D5C2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金属检测机</w:t>
                  </w:r>
                </w:p>
              </w:tc>
              <w:tc>
                <w:tcPr>
                  <w:tcW w:w="2385" w:type="dxa"/>
                  <w:tcBorders>
                    <w:tl2br w:val="nil"/>
                    <w:tr2bl w:val="nil"/>
                  </w:tcBorders>
                  <w:shd w:val="clear" w:color="auto" w:fill="auto"/>
                  <w:vAlign w:val="center"/>
                </w:tcPr>
                <w:p w14:paraId="1DBD0B98">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l2br w:val="nil"/>
                    <w:tr2bl w:val="nil"/>
                  </w:tcBorders>
                  <w:shd w:val="clear" w:color="auto" w:fill="auto"/>
                  <w:vAlign w:val="center"/>
                </w:tcPr>
                <w:p w14:paraId="137DA1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13624BB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77859626">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73C2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2C10A5D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2258" w:type="dxa"/>
                  <w:tcBorders>
                    <w:tl2br w:val="nil"/>
                    <w:tr2bl w:val="nil"/>
                  </w:tcBorders>
                  <w:shd w:val="clear" w:color="auto" w:fill="auto"/>
                  <w:vAlign w:val="center"/>
                </w:tcPr>
                <w:p w14:paraId="1B17C31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全自动喷淋式杀菌</w:t>
                  </w:r>
                  <w:r>
                    <w:rPr>
                      <w:rFonts w:hint="default" w:ascii="Times New Roman" w:hAnsi="Times New Roman" w:eastAsia="宋体" w:cs="Times New Roman"/>
                      <w:color w:val="auto"/>
                      <w:sz w:val="21"/>
                      <w:szCs w:val="21"/>
                      <w:lang w:val="en-US" w:eastAsia="zh-CN" w:bidi="ar"/>
                    </w:rPr>
                    <w:t>釜</w:t>
                  </w:r>
                </w:p>
              </w:tc>
              <w:tc>
                <w:tcPr>
                  <w:tcW w:w="2385" w:type="dxa"/>
                  <w:tcBorders>
                    <w:tl2br w:val="nil"/>
                    <w:tr2bl w:val="nil"/>
                  </w:tcBorders>
                  <w:shd w:val="clear" w:color="auto" w:fill="auto"/>
                  <w:vAlign w:val="center"/>
                </w:tcPr>
                <w:p w14:paraId="3CE25FD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DN1300×4000</w:t>
                  </w:r>
                </w:p>
              </w:tc>
              <w:tc>
                <w:tcPr>
                  <w:tcW w:w="825" w:type="dxa"/>
                  <w:tcBorders>
                    <w:tl2br w:val="nil"/>
                    <w:tr2bl w:val="nil"/>
                  </w:tcBorders>
                  <w:shd w:val="clear" w:color="auto" w:fill="auto"/>
                  <w:vAlign w:val="center"/>
                </w:tcPr>
                <w:p w14:paraId="0F63383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39" w:type="dxa"/>
                  <w:tcBorders>
                    <w:tl2br w:val="nil"/>
                    <w:tr2bl w:val="nil"/>
                  </w:tcBorders>
                  <w:shd w:val="clear" w:color="auto" w:fill="auto"/>
                  <w:vAlign w:val="center"/>
                </w:tcPr>
                <w:p w14:paraId="2385270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restart"/>
                  <w:tcBorders>
                    <w:tl2br w:val="nil"/>
                    <w:tr2bl w:val="nil"/>
                  </w:tcBorders>
                  <w:shd w:val="clear" w:color="auto" w:fill="auto"/>
                  <w:vAlign w:val="center"/>
                </w:tcPr>
                <w:p w14:paraId="0CD2A48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杀菌系统</w:t>
                  </w:r>
                </w:p>
              </w:tc>
            </w:tr>
            <w:tr w14:paraId="49D55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79009F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2258" w:type="dxa"/>
                  <w:tcBorders>
                    <w:tl2br w:val="nil"/>
                    <w:tr2bl w:val="nil"/>
                  </w:tcBorders>
                  <w:shd w:val="clear" w:color="auto" w:fill="auto"/>
                  <w:vAlign w:val="center"/>
                </w:tcPr>
                <w:p w14:paraId="697C9C9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全钢热水罐</w:t>
                  </w:r>
                </w:p>
              </w:tc>
              <w:tc>
                <w:tcPr>
                  <w:tcW w:w="2385" w:type="dxa"/>
                  <w:tcBorders>
                    <w:tl2br w:val="nil"/>
                    <w:tr2bl w:val="nil"/>
                  </w:tcBorders>
                  <w:shd w:val="clear" w:color="auto" w:fill="auto"/>
                  <w:vAlign w:val="center"/>
                </w:tcPr>
                <w:p w14:paraId="75D356C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DN1000×2000</w:t>
                  </w:r>
                </w:p>
              </w:tc>
              <w:tc>
                <w:tcPr>
                  <w:tcW w:w="825" w:type="dxa"/>
                  <w:tcBorders>
                    <w:tl2br w:val="nil"/>
                    <w:tr2bl w:val="nil"/>
                  </w:tcBorders>
                  <w:shd w:val="clear" w:color="auto" w:fill="auto"/>
                  <w:vAlign w:val="center"/>
                </w:tcPr>
                <w:p w14:paraId="4608EC2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5DADF8E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1176" w:type="dxa"/>
                  <w:vMerge w:val="continue"/>
                  <w:tcBorders>
                    <w:tl2br w:val="nil"/>
                    <w:tr2bl w:val="nil"/>
                  </w:tcBorders>
                  <w:shd w:val="clear" w:color="auto" w:fill="auto"/>
                  <w:vAlign w:val="center"/>
                </w:tcPr>
                <w:p w14:paraId="04633BFA">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2E9F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5CB9E5D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w:t>
                  </w:r>
                </w:p>
              </w:tc>
              <w:tc>
                <w:tcPr>
                  <w:tcW w:w="2258" w:type="dxa"/>
                  <w:tcBorders>
                    <w:tl2br w:val="nil"/>
                    <w:tr2bl w:val="nil"/>
                  </w:tcBorders>
                  <w:shd w:val="clear" w:color="auto" w:fill="auto"/>
                  <w:vAlign w:val="center"/>
                </w:tcPr>
                <w:p w14:paraId="6DEEEB2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杀菌笼</w:t>
                  </w:r>
                </w:p>
              </w:tc>
              <w:tc>
                <w:tcPr>
                  <w:tcW w:w="2385" w:type="dxa"/>
                  <w:tcBorders>
                    <w:tl2br w:val="nil"/>
                    <w:tr2bl w:val="nil"/>
                  </w:tcBorders>
                  <w:shd w:val="clear" w:color="auto" w:fill="auto"/>
                  <w:vAlign w:val="center"/>
                </w:tcPr>
                <w:p w14:paraId="2279CC7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DN1300</w:t>
                  </w:r>
                </w:p>
              </w:tc>
              <w:tc>
                <w:tcPr>
                  <w:tcW w:w="825" w:type="dxa"/>
                  <w:tcBorders>
                    <w:tl2br w:val="nil"/>
                    <w:tr2bl w:val="nil"/>
                  </w:tcBorders>
                  <w:shd w:val="clear" w:color="auto" w:fill="auto"/>
                  <w:vAlign w:val="center"/>
                </w:tcPr>
                <w:p w14:paraId="1EA6746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w:t>
                  </w:r>
                </w:p>
              </w:tc>
              <w:tc>
                <w:tcPr>
                  <w:tcW w:w="739" w:type="dxa"/>
                  <w:tcBorders>
                    <w:tl2br w:val="nil"/>
                    <w:tr2bl w:val="nil"/>
                  </w:tcBorders>
                  <w:shd w:val="clear" w:color="auto" w:fill="auto"/>
                  <w:vAlign w:val="center"/>
                </w:tcPr>
                <w:p w14:paraId="762F189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个</w:t>
                  </w:r>
                </w:p>
              </w:tc>
              <w:tc>
                <w:tcPr>
                  <w:tcW w:w="1176" w:type="dxa"/>
                  <w:vMerge w:val="continue"/>
                  <w:tcBorders>
                    <w:tl2br w:val="nil"/>
                    <w:tr2bl w:val="nil"/>
                  </w:tcBorders>
                  <w:shd w:val="clear" w:color="auto" w:fill="auto"/>
                  <w:vAlign w:val="center"/>
                </w:tcPr>
                <w:p w14:paraId="1EB1EA69">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165A9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74FDC64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w:t>
                  </w:r>
                </w:p>
              </w:tc>
              <w:tc>
                <w:tcPr>
                  <w:tcW w:w="2258" w:type="dxa"/>
                  <w:tcBorders>
                    <w:tl2br w:val="nil"/>
                    <w:tr2bl w:val="nil"/>
                  </w:tcBorders>
                  <w:shd w:val="clear" w:color="auto" w:fill="auto"/>
                  <w:vAlign w:val="center"/>
                </w:tcPr>
                <w:p w14:paraId="6F1C9AF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耐高温塑料垫板</w:t>
                  </w:r>
                </w:p>
              </w:tc>
              <w:tc>
                <w:tcPr>
                  <w:tcW w:w="2385" w:type="dxa"/>
                  <w:tcBorders>
                    <w:tl2br w:val="nil"/>
                    <w:tr2bl w:val="nil"/>
                  </w:tcBorders>
                  <w:shd w:val="clear" w:color="auto" w:fill="auto"/>
                  <w:vAlign w:val="center"/>
                </w:tcPr>
                <w:p w14:paraId="14E130C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与杀菌笼配套</w:t>
                  </w:r>
                </w:p>
              </w:tc>
              <w:tc>
                <w:tcPr>
                  <w:tcW w:w="825" w:type="dxa"/>
                  <w:tcBorders>
                    <w:tl2br w:val="nil"/>
                    <w:tr2bl w:val="nil"/>
                  </w:tcBorders>
                  <w:shd w:val="clear" w:color="auto" w:fill="auto"/>
                  <w:vAlign w:val="center"/>
                </w:tcPr>
                <w:p w14:paraId="6D2E2CC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72</w:t>
                  </w:r>
                </w:p>
              </w:tc>
              <w:tc>
                <w:tcPr>
                  <w:tcW w:w="739" w:type="dxa"/>
                  <w:tcBorders>
                    <w:tl2br w:val="nil"/>
                    <w:tr2bl w:val="nil"/>
                  </w:tcBorders>
                  <w:shd w:val="clear" w:color="auto" w:fill="auto"/>
                  <w:vAlign w:val="center"/>
                </w:tcPr>
                <w:p w14:paraId="2EC6B0D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张</w:t>
                  </w:r>
                </w:p>
              </w:tc>
              <w:tc>
                <w:tcPr>
                  <w:tcW w:w="1176" w:type="dxa"/>
                  <w:vMerge w:val="continue"/>
                  <w:tcBorders>
                    <w:tl2br w:val="nil"/>
                    <w:tr2bl w:val="nil"/>
                  </w:tcBorders>
                  <w:shd w:val="clear" w:color="auto" w:fill="auto"/>
                  <w:vAlign w:val="center"/>
                </w:tcPr>
                <w:p w14:paraId="1A977ADA">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69C6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316AF5C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w:t>
                  </w:r>
                </w:p>
              </w:tc>
              <w:tc>
                <w:tcPr>
                  <w:tcW w:w="2258" w:type="dxa"/>
                  <w:tcBorders>
                    <w:tl2br w:val="nil"/>
                    <w:tr2bl w:val="nil"/>
                  </w:tcBorders>
                  <w:shd w:val="clear" w:color="auto" w:fill="auto"/>
                  <w:vAlign w:val="center"/>
                </w:tcPr>
                <w:p w14:paraId="2810A8E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eastAsia" w:ascii="Times New Roman" w:hAnsi="Times New Roman" w:eastAsia="宋体" w:cs="Times New Roman"/>
                      <w:i w:val="0"/>
                      <w:iCs w:val="0"/>
                      <w:color w:val="auto"/>
                      <w:kern w:val="0"/>
                      <w:sz w:val="21"/>
                      <w:szCs w:val="21"/>
                      <w:u w:val="none"/>
                      <w:lang w:val="en-US" w:eastAsia="zh-CN" w:bidi="ar"/>
                    </w:rPr>
                    <w:t>循环</w:t>
                  </w:r>
                  <w:r>
                    <w:rPr>
                      <w:rFonts w:hint="default" w:ascii="Times New Roman" w:hAnsi="Times New Roman" w:eastAsia="宋体" w:cs="Times New Roman"/>
                      <w:i w:val="0"/>
                      <w:iCs w:val="0"/>
                      <w:color w:val="auto"/>
                      <w:kern w:val="0"/>
                      <w:sz w:val="21"/>
                      <w:szCs w:val="21"/>
                      <w:u w:val="none"/>
                      <w:lang w:val="en-US" w:eastAsia="zh-CN" w:bidi="ar"/>
                    </w:rPr>
                    <w:t>水泵</w:t>
                  </w:r>
                </w:p>
              </w:tc>
              <w:tc>
                <w:tcPr>
                  <w:tcW w:w="2385" w:type="dxa"/>
                  <w:tcBorders>
                    <w:tl2br w:val="nil"/>
                    <w:tr2bl w:val="nil"/>
                  </w:tcBorders>
                  <w:shd w:val="clear" w:color="auto" w:fill="auto"/>
                  <w:vAlign w:val="center"/>
                </w:tcPr>
                <w:p w14:paraId="57AD13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80 </w:t>
                  </w:r>
                  <w:r>
                    <w:rPr>
                      <w:rFonts w:hint="default" w:ascii="Times New Roman" w:hAnsi="Times New Roman" w:eastAsia="宋体" w:cs="Times New Roman"/>
                      <w:color w:val="auto"/>
                      <w:sz w:val="21"/>
                      <w:szCs w:val="21"/>
                      <w:lang w:val="en-US" w:eastAsia="zh-CN" w:bidi="ar"/>
                    </w:rPr>
                    <w:t>t/h</w:t>
                  </w:r>
                </w:p>
              </w:tc>
              <w:tc>
                <w:tcPr>
                  <w:tcW w:w="825" w:type="dxa"/>
                  <w:tcBorders>
                    <w:tl2br w:val="nil"/>
                    <w:tr2bl w:val="nil"/>
                  </w:tcBorders>
                  <w:shd w:val="clear" w:color="auto" w:fill="auto"/>
                  <w:vAlign w:val="center"/>
                </w:tcPr>
                <w:p w14:paraId="1DEDD59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7D738FE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303ED49B">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149B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1FD7605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2258" w:type="dxa"/>
                  <w:tcBorders>
                    <w:tl2br w:val="nil"/>
                    <w:tr2bl w:val="nil"/>
                  </w:tcBorders>
                  <w:shd w:val="clear" w:color="auto" w:fill="auto"/>
                  <w:vAlign w:val="center"/>
                </w:tcPr>
                <w:p w14:paraId="26D838C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循环水箱</w:t>
                  </w:r>
                </w:p>
              </w:tc>
              <w:tc>
                <w:tcPr>
                  <w:tcW w:w="2385" w:type="dxa"/>
                  <w:tcBorders>
                    <w:tl2br w:val="nil"/>
                    <w:tr2bl w:val="nil"/>
                  </w:tcBorders>
                  <w:shd w:val="clear" w:color="auto" w:fill="auto"/>
                  <w:vAlign w:val="center"/>
                </w:tcPr>
                <w:p w14:paraId="2D2D63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10 </w:t>
                  </w:r>
                  <w:r>
                    <w:rPr>
                      <w:rFonts w:hint="default" w:ascii="Times New Roman" w:hAnsi="Times New Roman" w:eastAsia="宋体" w:cs="Times New Roman"/>
                      <w:color w:val="auto"/>
                      <w:sz w:val="21"/>
                      <w:szCs w:val="21"/>
                      <w:lang w:val="en-US" w:eastAsia="zh-CN" w:bidi="ar"/>
                    </w:rPr>
                    <w:t>立方</w:t>
                  </w:r>
                  <w:r>
                    <w:rPr>
                      <w:rFonts w:hint="eastAsia" w:cs="Times New Roman"/>
                      <w:color w:val="auto"/>
                      <w:sz w:val="21"/>
                      <w:szCs w:val="21"/>
                      <w:lang w:val="en-US" w:eastAsia="zh-CN" w:bidi="ar"/>
                    </w:rPr>
                    <w:t>米</w:t>
                  </w:r>
                </w:p>
              </w:tc>
              <w:tc>
                <w:tcPr>
                  <w:tcW w:w="825" w:type="dxa"/>
                  <w:tcBorders>
                    <w:tl2br w:val="nil"/>
                    <w:tr2bl w:val="nil"/>
                  </w:tcBorders>
                  <w:shd w:val="clear" w:color="auto" w:fill="auto"/>
                  <w:vAlign w:val="center"/>
                </w:tcPr>
                <w:p w14:paraId="667C4FF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6B40A25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5F685B01">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3FE2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6AB2592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w:t>
                  </w:r>
                </w:p>
              </w:tc>
              <w:tc>
                <w:tcPr>
                  <w:tcW w:w="2258" w:type="dxa"/>
                  <w:tcBorders>
                    <w:tl2br w:val="nil"/>
                    <w:tr2bl w:val="nil"/>
                  </w:tcBorders>
                  <w:shd w:val="clear" w:color="auto" w:fill="auto"/>
                  <w:vAlign w:val="center"/>
                </w:tcPr>
                <w:p w14:paraId="6ADE15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装笼机</w:t>
                  </w:r>
                </w:p>
              </w:tc>
              <w:tc>
                <w:tcPr>
                  <w:tcW w:w="2385" w:type="dxa"/>
                  <w:tcBorders>
                    <w:tl2br w:val="nil"/>
                    <w:tr2bl w:val="nil"/>
                  </w:tcBorders>
                  <w:shd w:val="clear" w:color="auto" w:fill="auto"/>
                  <w:vAlign w:val="center"/>
                </w:tcPr>
                <w:p w14:paraId="6EE9BD1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人工放隔板</w:t>
                  </w:r>
                </w:p>
              </w:tc>
              <w:tc>
                <w:tcPr>
                  <w:tcW w:w="825" w:type="dxa"/>
                  <w:tcBorders>
                    <w:tl2br w:val="nil"/>
                    <w:tr2bl w:val="nil"/>
                  </w:tcBorders>
                  <w:shd w:val="clear" w:color="auto" w:fill="auto"/>
                  <w:vAlign w:val="center"/>
                </w:tcPr>
                <w:p w14:paraId="306B747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6F9B899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restart"/>
                  <w:tcBorders>
                    <w:tl2br w:val="nil"/>
                    <w:tr2bl w:val="nil"/>
                  </w:tcBorders>
                  <w:shd w:val="clear" w:color="auto" w:fill="auto"/>
                  <w:vAlign w:val="center"/>
                </w:tcPr>
                <w:p w14:paraId="5DD34DC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杀菌笼</w:t>
                  </w:r>
                  <w:r>
                    <w:rPr>
                      <w:rFonts w:hint="eastAsia" w:cs="Times New Roman"/>
                      <w:i w:val="0"/>
                      <w:iCs w:val="0"/>
                      <w:color w:val="auto"/>
                      <w:kern w:val="0"/>
                      <w:sz w:val="21"/>
                      <w:szCs w:val="21"/>
                      <w:u w:val="none"/>
                      <w:lang w:val="en-US" w:eastAsia="zh-CN" w:bidi="ar"/>
                    </w:rPr>
                    <w:t>传</w:t>
                  </w:r>
                  <w:r>
                    <w:rPr>
                      <w:rFonts w:hint="default" w:ascii="Times New Roman" w:hAnsi="Times New Roman" w:eastAsia="宋体" w:cs="Times New Roman"/>
                      <w:color w:val="auto"/>
                      <w:sz w:val="21"/>
                      <w:szCs w:val="21"/>
                      <w:lang w:val="en-US" w:eastAsia="zh-CN" w:bidi="ar"/>
                    </w:rPr>
                    <w:t>送装置</w:t>
                  </w:r>
                </w:p>
              </w:tc>
            </w:tr>
            <w:tr w14:paraId="52377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71EF26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17</w:t>
                  </w:r>
                </w:p>
              </w:tc>
              <w:tc>
                <w:tcPr>
                  <w:tcW w:w="2258" w:type="dxa"/>
                  <w:tcBorders>
                    <w:tl2br w:val="nil"/>
                    <w:tr2bl w:val="nil"/>
                  </w:tcBorders>
                  <w:shd w:val="clear" w:color="auto" w:fill="auto"/>
                  <w:vAlign w:val="center"/>
                </w:tcPr>
                <w:p w14:paraId="66EC7C1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卸笼机</w:t>
                  </w:r>
                </w:p>
              </w:tc>
              <w:tc>
                <w:tcPr>
                  <w:tcW w:w="2385" w:type="dxa"/>
                  <w:tcBorders>
                    <w:tl2br w:val="nil"/>
                    <w:tr2bl w:val="nil"/>
                  </w:tcBorders>
                  <w:shd w:val="clear" w:color="auto" w:fill="auto"/>
                  <w:vAlign w:val="center"/>
                </w:tcPr>
                <w:p w14:paraId="1A6B588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人工取隔板</w:t>
                  </w:r>
                </w:p>
              </w:tc>
              <w:tc>
                <w:tcPr>
                  <w:tcW w:w="825" w:type="dxa"/>
                  <w:tcBorders>
                    <w:tl2br w:val="nil"/>
                    <w:tr2bl w:val="nil"/>
                  </w:tcBorders>
                  <w:shd w:val="clear" w:color="auto" w:fill="auto"/>
                  <w:vAlign w:val="center"/>
                </w:tcPr>
                <w:p w14:paraId="5459E1D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471CDA9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697AB807">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25B0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15B23F5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w:t>
                  </w:r>
                </w:p>
              </w:tc>
              <w:tc>
                <w:tcPr>
                  <w:tcW w:w="2258" w:type="dxa"/>
                  <w:tcBorders>
                    <w:tl2br w:val="nil"/>
                    <w:tr2bl w:val="nil"/>
                  </w:tcBorders>
                  <w:shd w:val="clear" w:color="auto" w:fill="auto"/>
                  <w:vAlign w:val="center"/>
                </w:tcPr>
                <w:p w14:paraId="391225E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装卸笼机工作平台</w:t>
                  </w:r>
                </w:p>
              </w:tc>
              <w:tc>
                <w:tcPr>
                  <w:tcW w:w="2385" w:type="dxa"/>
                  <w:tcBorders>
                    <w:tl2br w:val="nil"/>
                    <w:tr2bl w:val="nil"/>
                  </w:tcBorders>
                  <w:shd w:val="clear" w:color="auto" w:fill="auto"/>
                  <w:vAlign w:val="center"/>
                </w:tcPr>
                <w:p w14:paraId="42CCF53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不锈钢</w:t>
                  </w:r>
                </w:p>
              </w:tc>
              <w:tc>
                <w:tcPr>
                  <w:tcW w:w="825" w:type="dxa"/>
                  <w:tcBorders>
                    <w:tl2br w:val="nil"/>
                    <w:tr2bl w:val="nil"/>
                  </w:tcBorders>
                  <w:shd w:val="clear" w:color="auto" w:fill="auto"/>
                  <w:vAlign w:val="center"/>
                </w:tcPr>
                <w:p w14:paraId="59AAF9B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739" w:type="dxa"/>
                  <w:tcBorders>
                    <w:tl2br w:val="nil"/>
                    <w:tr2bl w:val="nil"/>
                  </w:tcBorders>
                  <w:shd w:val="clear" w:color="auto" w:fill="auto"/>
                  <w:vAlign w:val="center"/>
                </w:tcPr>
                <w:p w14:paraId="3350674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2</w:t>
                  </w:r>
                </w:p>
              </w:tc>
              <w:tc>
                <w:tcPr>
                  <w:tcW w:w="1176" w:type="dxa"/>
                  <w:vMerge w:val="continue"/>
                  <w:tcBorders>
                    <w:tl2br w:val="nil"/>
                    <w:tr2bl w:val="nil"/>
                  </w:tcBorders>
                  <w:shd w:val="clear" w:color="auto" w:fill="auto"/>
                  <w:vAlign w:val="center"/>
                </w:tcPr>
                <w:p w14:paraId="2201AAD4">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73FC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56FBCE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19</w:t>
                  </w:r>
                </w:p>
              </w:tc>
              <w:tc>
                <w:tcPr>
                  <w:tcW w:w="2258" w:type="dxa"/>
                  <w:tcBorders>
                    <w:tl2br w:val="nil"/>
                    <w:tr2bl w:val="nil"/>
                  </w:tcBorders>
                  <w:shd w:val="clear" w:color="auto" w:fill="auto"/>
                  <w:vAlign w:val="center"/>
                </w:tcPr>
                <w:p w14:paraId="48C54DA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杀菌笼车导轨</w:t>
                  </w:r>
                </w:p>
              </w:tc>
              <w:tc>
                <w:tcPr>
                  <w:tcW w:w="2385" w:type="dxa"/>
                  <w:tcBorders>
                    <w:tl2br w:val="nil"/>
                    <w:tr2bl w:val="nil"/>
                  </w:tcBorders>
                  <w:shd w:val="clear" w:color="auto" w:fill="auto"/>
                  <w:vAlign w:val="center"/>
                </w:tcPr>
                <w:p w14:paraId="1D38F113">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l2br w:val="nil"/>
                    <w:tr2bl w:val="nil"/>
                  </w:tcBorders>
                  <w:shd w:val="clear" w:color="auto" w:fill="auto"/>
                  <w:vAlign w:val="center"/>
                </w:tcPr>
                <w:p w14:paraId="397467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18.5</w:t>
                  </w:r>
                </w:p>
              </w:tc>
              <w:tc>
                <w:tcPr>
                  <w:tcW w:w="739" w:type="dxa"/>
                  <w:tcBorders>
                    <w:tl2br w:val="nil"/>
                    <w:tr2bl w:val="nil"/>
                  </w:tcBorders>
                  <w:shd w:val="clear" w:color="auto" w:fill="auto"/>
                  <w:vAlign w:val="center"/>
                </w:tcPr>
                <w:p w14:paraId="4F6D934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w:t>
                  </w:r>
                </w:p>
              </w:tc>
              <w:tc>
                <w:tcPr>
                  <w:tcW w:w="1176" w:type="dxa"/>
                  <w:vMerge w:val="continue"/>
                  <w:tcBorders>
                    <w:tl2br w:val="nil"/>
                    <w:tr2bl w:val="nil"/>
                  </w:tcBorders>
                  <w:shd w:val="clear" w:color="auto" w:fill="auto"/>
                  <w:vAlign w:val="center"/>
                </w:tcPr>
                <w:p w14:paraId="7F5219DB">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6113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3C88280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2258" w:type="dxa"/>
                  <w:tcBorders>
                    <w:tl2br w:val="nil"/>
                    <w:tr2bl w:val="nil"/>
                  </w:tcBorders>
                  <w:shd w:val="clear" w:color="auto" w:fill="auto"/>
                  <w:vAlign w:val="center"/>
                </w:tcPr>
                <w:p w14:paraId="32270EB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电动台车</w:t>
                  </w:r>
                </w:p>
              </w:tc>
              <w:tc>
                <w:tcPr>
                  <w:tcW w:w="2385" w:type="dxa"/>
                  <w:tcBorders>
                    <w:tl2br w:val="nil"/>
                    <w:tr2bl w:val="nil"/>
                  </w:tcBorders>
                  <w:shd w:val="clear" w:color="auto" w:fill="auto"/>
                  <w:vAlign w:val="center"/>
                </w:tcPr>
                <w:p w14:paraId="744CEB19">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l2br w:val="nil"/>
                    <w:tr2bl w:val="nil"/>
                  </w:tcBorders>
                  <w:shd w:val="clear" w:color="auto" w:fill="auto"/>
                  <w:vAlign w:val="center"/>
                </w:tcPr>
                <w:p w14:paraId="53B36A1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547F128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7E6F9C0C">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782D9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2F3E1C8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w:t>
                  </w:r>
                </w:p>
              </w:tc>
              <w:tc>
                <w:tcPr>
                  <w:tcW w:w="2258" w:type="dxa"/>
                  <w:tcBorders>
                    <w:tl2br w:val="nil"/>
                    <w:tr2bl w:val="nil"/>
                  </w:tcBorders>
                  <w:shd w:val="clear" w:color="auto" w:fill="auto"/>
                  <w:vAlign w:val="center"/>
                </w:tcPr>
                <w:p w14:paraId="086B65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转盘</w:t>
                  </w:r>
                </w:p>
              </w:tc>
              <w:tc>
                <w:tcPr>
                  <w:tcW w:w="2385" w:type="dxa"/>
                  <w:tcBorders>
                    <w:tl2br w:val="nil"/>
                    <w:tr2bl w:val="nil"/>
                  </w:tcBorders>
                  <w:shd w:val="clear" w:color="auto" w:fill="auto"/>
                  <w:vAlign w:val="center"/>
                </w:tcPr>
                <w:p w14:paraId="358421F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笼框90°</w:t>
                  </w:r>
                  <w:r>
                    <w:rPr>
                      <w:rFonts w:hint="default" w:ascii="Times New Roman" w:hAnsi="Times New Roman" w:eastAsia="宋体" w:cs="Times New Roman"/>
                      <w:color w:val="auto"/>
                      <w:sz w:val="21"/>
                      <w:szCs w:val="21"/>
                      <w:lang w:val="en-US" w:eastAsia="zh-CN" w:bidi="ar"/>
                    </w:rPr>
                    <w:t>转盘</w:t>
                  </w:r>
                </w:p>
              </w:tc>
              <w:tc>
                <w:tcPr>
                  <w:tcW w:w="825" w:type="dxa"/>
                  <w:tcBorders>
                    <w:tl2br w:val="nil"/>
                    <w:tr2bl w:val="nil"/>
                  </w:tcBorders>
                  <w:shd w:val="clear" w:color="auto" w:fill="auto"/>
                  <w:vAlign w:val="center"/>
                </w:tcPr>
                <w:p w14:paraId="499CD6E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39" w:type="dxa"/>
                  <w:tcBorders>
                    <w:tl2br w:val="nil"/>
                    <w:tr2bl w:val="nil"/>
                  </w:tcBorders>
                  <w:shd w:val="clear" w:color="auto" w:fill="auto"/>
                  <w:vAlign w:val="center"/>
                </w:tcPr>
                <w:p w14:paraId="5E02290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restart"/>
                  <w:tcBorders>
                    <w:tl2br w:val="nil"/>
                    <w:tr2bl w:val="nil"/>
                  </w:tcBorders>
                  <w:shd w:val="clear" w:color="auto" w:fill="auto"/>
                  <w:vAlign w:val="center"/>
                </w:tcPr>
                <w:p w14:paraId="02E8D6A8">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6D40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608789A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22</w:t>
                  </w:r>
                </w:p>
              </w:tc>
              <w:tc>
                <w:tcPr>
                  <w:tcW w:w="2258" w:type="dxa"/>
                  <w:tcBorders>
                    <w:tl2br w:val="nil"/>
                    <w:tr2bl w:val="nil"/>
                  </w:tcBorders>
                  <w:shd w:val="clear" w:color="auto" w:fill="auto"/>
                  <w:vAlign w:val="center"/>
                </w:tcPr>
                <w:p w14:paraId="4CA246A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翻罐器</w:t>
                  </w:r>
                </w:p>
              </w:tc>
              <w:tc>
                <w:tcPr>
                  <w:tcW w:w="2385" w:type="dxa"/>
                  <w:tcBorders>
                    <w:tl2br w:val="nil"/>
                    <w:tr2bl w:val="nil"/>
                  </w:tcBorders>
                  <w:shd w:val="clear" w:color="auto" w:fill="auto"/>
                  <w:vAlign w:val="center"/>
                </w:tcPr>
                <w:p w14:paraId="49C5564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翻罐打码</w:t>
                  </w:r>
                </w:p>
              </w:tc>
              <w:tc>
                <w:tcPr>
                  <w:tcW w:w="825" w:type="dxa"/>
                  <w:tcBorders>
                    <w:tl2br w:val="nil"/>
                    <w:tr2bl w:val="nil"/>
                  </w:tcBorders>
                  <w:shd w:val="clear" w:color="auto" w:fill="auto"/>
                  <w:vAlign w:val="center"/>
                </w:tcPr>
                <w:p w14:paraId="1182F75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39" w:type="dxa"/>
                  <w:tcBorders>
                    <w:tl2br w:val="nil"/>
                    <w:tr2bl w:val="nil"/>
                  </w:tcBorders>
                  <w:shd w:val="clear" w:color="auto" w:fill="auto"/>
                  <w:vAlign w:val="center"/>
                </w:tcPr>
                <w:p w14:paraId="3145BAA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1176" w:type="dxa"/>
                  <w:vMerge w:val="continue"/>
                  <w:tcBorders>
                    <w:tl2br w:val="nil"/>
                    <w:tr2bl w:val="nil"/>
                  </w:tcBorders>
                  <w:shd w:val="clear" w:color="auto" w:fill="auto"/>
                  <w:vAlign w:val="center"/>
                </w:tcPr>
                <w:p w14:paraId="27DDF2CC">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6707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27351D8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w:t>
                  </w:r>
                </w:p>
              </w:tc>
              <w:tc>
                <w:tcPr>
                  <w:tcW w:w="2258" w:type="dxa"/>
                  <w:tcBorders>
                    <w:tl2br w:val="nil"/>
                    <w:tr2bl w:val="nil"/>
                  </w:tcBorders>
                  <w:shd w:val="clear" w:color="auto" w:fill="auto"/>
                  <w:vAlign w:val="center"/>
                </w:tcPr>
                <w:p w14:paraId="49A4C9B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吹水机</w:t>
                  </w:r>
                </w:p>
              </w:tc>
              <w:tc>
                <w:tcPr>
                  <w:tcW w:w="2385" w:type="dxa"/>
                  <w:tcBorders>
                    <w:tl2br w:val="nil"/>
                    <w:tr2bl w:val="nil"/>
                  </w:tcBorders>
                  <w:shd w:val="clear" w:color="auto" w:fill="auto"/>
                  <w:vAlign w:val="center"/>
                </w:tcPr>
                <w:p w14:paraId="2447EDB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风刀式</w:t>
                  </w:r>
                </w:p>
              </w:tc>
              <w:tc>
                <w:tcPr>
                  <w:tcW w:w="825" w:type="dxa"/>
                  <w:tcBorders>
                    <w:tl2br w:val="nil"/>
                    <w:tr2bl w:val="nil"/>
                  </w:tcBorders>
                  <w:shd w:val="clear" w:color="auto" w:fill="auto"/>
                  <w:vAlign w:val="center"/>
                </w:tcPr>
                <w:p w14:paraId="5E93DAB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64F026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3A6AB214">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46C8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2975A08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w:t>
                  </w:r>
                </w:p>
              </w:tc>
              <w:tc>
                <w:tcPr>
                  <w:tcW w:w="2258" w:type="dxa"/>
                  <w:tcBorders>
                    <w:tl2br w:val="nil"/>
                    <w:tr2bl w:val="nil"/>
                  </w:tcBorders>
                  <w:shd w:val="clear" w:color="auto" w:fill="auto"/>
                  <w:vAlign w:val="center"/>
                </w:tcPr>
                <w:p w14:paraId="69DEC8A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小字喷码机</w:t>
                  </w:r>
                </w:p>
              </w:tc>
              <w:tc>
                <w:tcPr>
                  <w:tcW w:w="2385" w:type="dxa"/>
                  <w:tcBorders>
                    <w:tl2br w:val="nil"/>
                    <w:tr2bl w:val="nil"/>
                  </w:tcBorders>
                  <w:shd w:val="clear" w:color="auto" w:fill="auto"/>
                  <w:vAlign w:val="center"/>
                </w:tcPr>
                <w:p w14:paraId="50EF5E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W680</w:t>
                  </w:r>
                </w:p>
              </w:tc>
              <w:tc>
                <w:tcPr>
                  <w:tcW w:w="825" w:type="dxa"/>
                  <w:tcBorders>
                    <w:tl2br w:val="nil"/>
                    <w:tr2bl w:val="nil"/>
                  </w:tcBorders>
                  <w:shd w:val="clear" w:color="auto" w:fill="auto"/>
                  <w:vAlign w:val="center"/>
                </w:tcPr>
                <w:p w14:paraId="706F184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72A9BB2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17D45031">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44B2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7AA8DA8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w:t>
                  </w:r>
                </w:p>
              </w:tc>
              <w:tc>
                <w:tcPr>
                  <w:tcW w:w="2258" w:type="dxa"/>
                  <w:tcBorders>
                    <w:tl2br w:val="nil"/>
                    <w:tr2bl w:val="nil"/>
                  </w:tcBorders>
                  <w:shd w:val="clear" w:color="auto" w:fill="auto"/>
                  <w:vAlign w:val="center"/>
                </w:tcPr>
                <w:p w14:paraId="6667AB8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2T</w:t>
                  </w:r>
                  <w:r>
                    <w:rPr>
                      <w:rFonts w:hint="default" w:ascii="Times New Roman" w:hAnsi="Times New Roman" w:eastAsia="宋体" w:cs="Times New Roman"/>
                      <w:color w:val="auto"/>
                      <w:sz w:val="21"/>
                      <w:szCs w:val="21"/>
                      <w:lang w:val="en-US" w:eastAsia="zh-CN" w:bidi="ar"/>
                    </w:rPr>
                    <w:t>全自动</w:t>
                  </w:r>
                  <w:r>
                    <w:rPr>
                      <w:rFonts w:hint="default" w:ascii="Times New Roman" w:hAnsi="Times New Roman" w:eastAsia="宋体" w:cs="Times New Roman"/>
                      <w:i w:val="0"/>
                      <w:iCs w:val="0"/>
                      <w:color w:val="auto"/>
                      <w:kern w:val="0"/>
                      <w:sz w:val="21"/>
                      <w:szCs w:val="21"/>
                      <w:u w:val="none"/>
                      <w:lang w:val="en-US" w:eastAsia="zh-CN" w:bidi="ar"/>
                    </w:rPr>
                    <w:t>CIP</w:t>
                  </w:r>
                  <w:r>
                    <w:rPr>
                      <w:rFonts w:hint="default" w:ascii="Times New Roman" w:hAnsi="Times New Roman" w:eastAsia="宋体" w:cs="Times New Roman"/>
                      <w:color w:val="auto"/>
                      <w:sz w:val="21"/>
                      <w:szCs w:val="21"/>
                      <w:lang w:val="en-US" w:eastAsia="zh-CN" w:bidi="ar"/>
                    </w:rPr>
                    <w:t>系统</w:t>
                  </w:r>
                </w:p>
              </w:tc>
              <w:tc>
                <w:tcPr>
                  <w:tcW w:w="2385" w:type="dxa"/>
                  <w:tcBorders>
                    <w:tl2br w:val="nil"/>
                    <w:tr2bl w:val="nil"/>
                  </w:tcBorders>
                  <w:shd w:val="clear" w:color="auto" w:fill="auto"/>
                  <w:vAlign w:val="center"/>
                </w:tcPr>
                <w:p w14:paraId="1563738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酸罐+</w:t>
                  </w:r>
                  <w:r>
                    <w:rPr>
                      <w:rFonts w:hint="default" w:ascii="Times New Roman" w:hAnsi="Times New Roman" w:eastAsia="宋体" w:cs="Times New Roman"/>
                      <w:color w:val="auto"/>
                      <w:sz w:val="21"/>
                      <w:szCs w:val="21"/>
                      <w:lang w:val="en-US" w:eastAsia="zh-CN" w:bidi="ar"/>
                    </w:rPr>
                    <w:t>碱罐</w:t>
                  </w:r>
                  <w:r>
                    <w:rPr>
                      <w:rFonts w:hint="default" w:ascii="Times New Roman" w:hAnsi="Times New Roman" w:eastAsia="宋体" w:cs="Times New Roman"/>
                      <w:i w:val="0"/>
                      <w:iCs w:val="0"/>
                      <w:color w:val="auto"/>
                      <w:kern w:val="0"/>
                      <w:sz w:val="21"/>
                      <w:szCs w:val="21"/>
                      <w:u w:val="none"/>
                      <w:lang w:val="en-US" w:eastAsia="zh-CN" w:bidi="ar"/>
                    </w:rPr>
                    <w:t>+</w:t>
                  </w:r>
                  <w:r>
                    <w:rPr>
                      <w:rFonts w:hint="default" w:ascii="Times New Roman" w:hAnsi="Times New Roman" w:eastAsia="宋体" w:cs="Times New Roman"/>
                      <w:color w:val="auto"/>
                      <w:sz w:val="21"/>
                      <w:szCs w:val="21"/>
                      <w:lang w:val="en-US" w:eastAsia="zh-CN" w:bidi="ar"/>
                    </w:rPr>
                    <w:t>水罐</w:t>
                  </w:r>
                </w:p>
              </w:tc>
              <w:tc>
                <w:tcPr>
                  <w:tcW w:w="825" w:type="dxa"/>
                  <w:tcBorders>
                    <w:tl2br w:val="nil"/>
                    <w:tr2bl w:val="nil"/>
                  </w:tcBorders>
                  <w:shd w:val="clear" w:color="auto" w:fill="auto"/>
                  <w:vAlign w:val="center"/>
                </w:tcPr>
                <w:p w14:paraId="5D31358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6224CA0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1176" w:type="dxa"/>
                  <w:vMerge w:val="continue"/>
                  <w:tcBorders>
                    <w:tl2br w:val="nil"/>
                    <w:tr2bl w:val="nil"/>
                  </w:tcBorders>
                  <w:shd w:val="clear" w:color="auto" w:fill="auto"/>
                  <w:vAlign w:val="center"/>
                </w:tcPr>
                <w:p w14:paraId="1CAE9BD4">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480C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3CA2EB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26</w:t>
                  </w:r>
                </w:p>
              </w:tc>
              <w:tc>
                <w:tcPr>
                  <w:tcW w:w="2258" w:type="dxa"/>
                  <w:tcBorders>
                    <w:tl2br w:val="nil"/>
                    <w:tr2bl w:val="nil"/>
                  </w:tcBorders>
                  <w:shd w:val="clear" w:color="auto" w:fill="auto"/>
                  <w:vAlign w:val="center"/>
                </w:tcPr>
                <w:p w14:paraId="2C96F35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直道输送链</w:t>
                  </w:r>
                </w:p>
              </w:tc>
              <w:tc>
                <w:tcPr>
                  <w:tcW w:w="2385" w:type="dxa"/>
                  <w:tcBorders>
                    <w:tl2br w:val="nil"/>
                    <w:tr2bl w:val="nil"/>
                  </w:tcBorders>
                  <w:shd w:val="clear" w:color="auto" w:fill="auto"/>
                  <w:vAlign w:val="center"/>
                </w:tcPr>
                <w:p w14:paraId="6B121194">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l2br w:val="nil"/>
                    <w:tr2bl w:val="nil"/>
                  </w:tcBorders>
                  <w:shd w:val="clear" w:color="auto" w:fill="auto"/>
                  <w:vAlign w:val="center"/>
                </w:tcPr>
                <w:p w14:paraId="5038B25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739" w:type="dxa"/>
                  <w:tcBorders>
                    <w:tl2br w:val="nil"/>
                    <w:tr2bl w:val="nil"/>
                  </w:tcBorders>
                  <w:shd w:val="clear" w:color="auto" w:fill="auto"/>
                  <w:vAlign w:val="center"/>
                </w:tcPr>
                <w:p w14:paraId="3B08862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w:t>
                  </w:r>
                </w:p>
              </w:tc>
              <w:tc>
                <w:tcPr>
                  <w:tcW w:w="1176" w:type="dxa"/>
                  <w:vMerge w:val="restart"/>
                  <w:tcBorders>
                    <w:tl2br w:val="nil"/>
                    <w:tr2bl w:val="nil"/>
                  </w:tcBorders>
                  <w:shd w:val="clear" w:color="auto" w:fill="auto"/>
                  <w:vAlign w:val="center"/>
                </w:tcPr>
                <w:p w14:paraId="12556D4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输送系统</w:t>
                  </w:r>
                </w:p>
              </w:tc>
            </w:tr>
            <w:tr w14:paraId="4D92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3C8EE1E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27</w:t>
                  </w:r>
                </w:p>
              </w:tc>
              <w:tc>
                <w:tcPr>
                  <w:tcW w:w="2258" w:type="dxa"/>
                  <w:tcBorders>
                    <w:tl2br w:val="nil"/>
                    <w:tr2bl w:val="nil"/>
                  </w:tcBorders>
                  <w:shd w:val="clear" w:color="auto" w:fill="auto"/>
                  <w:vAlign w:val="center"/>
                </w:tcPr>
                <w:p w14:paraId="4B507E5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转弯输送链</w:t>
                  </w:r>
                </w:p>
              </w:tc>
              <w:tc>
                <w:tcPr>
                  <w:tcW w:w="2385" w:type="dxa"/>
                  <w:tcBorders>
                    <w:tl2br w:val="nil"/>
                    <w:tr2bl w:val="nil"/>
                  </w:tcBorders>
                  <w:shd w:val="clear" w:color="auto" w:fill="auto"/>
                  <w:vAlign w:val="center"/>
                </w:tcPr>
                <w:p w14:paraId="6CFD205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三列</w:t>
                  </w:r>
                  <w:r>
                    <w:rPr>
                      <w:rFonts w:hint="eastAsia" w:cs="Times New Roman"/>
                      <w:i w:val="0"/>
                      <w:iCs w:val="0"/>
                      <w:color w:val="auto"/>
                      <w:kern w:val="0"/>
                      <w:sz w:val="21"/>
                      <w:szCs w:val="21"/>
                      <w:u w:val="none"/>
                      <w:lang w:val="en-US" w:eastAsia="zh-CN" w:bidi="ar"/>
                    </w:rPr>
                    <w:t>以</w:t>
                  </w:r>
                  <w:r>
                    <w:rPr>
                      <w:rFonts w:hint="default" w:ascii="Times New Roman" w:hAnsi="Times New Roman" w:eastAsia="宋体" w:cs="Times New Roman"/>
                      <w:i w:val="0"/>
                      <w:iCs w:val="0"/>
                      <w:color w:val="auto"/>
                      <w:kern w:val="0"/>
                      <w:sz w:val="21"/>
                      <w:szCs w:val="21"/>
                      <w:u w:val="none"/>
                      <w:lang w:val="en-US" w:eastAsia="zh-CN" w:bidi="ar"/>
                    </w:rPr>
                    <w:t>内按2.5m</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color w:val="auto"/>
                      <w:sz w:val="21"/>
                      <w:szCs w:val="21"/>
                      <w:lang w:val="en-US" w:eastAsia="zh-CN" w:bidi="ar"/>
                    </w:rPr>
                    <w:t>每列折算；三列以上每增加一列</w:t>
                  </w:r>
                  <w:r>
                    <w:rPr>
                      <w:rFonts w:hint="eastAsia" w:cs="Times New Roman"/>
                      <w:color w:val="auto"/>
                      <w:sz w:val="21"/>
                      <w:szCs w:val="21"/>
                      <w:lang w:val="en-US" w:eastAsia="zh-CN" w:bidi="ar"/>
                    </w:rPr>
                    <w:t>，</w:t>
                  </w:r>
                  <w:r>
                    <w:rPr>
                      <w:rFonts w:hint="default" w:ascii="Times New Roman" w:hAnsi="Times New Roman" w:eastAsia="宋体" w:cs="Times New Roman"/>
                      <w:color w:val="auto"/>
                      <w:sz w:val="21"/>
                      <w:szCs w:val="21"/>
                      <w:lang w:val="en-US" w:eastAsia="zh-CN" w:bidi="ar"/>
                    </w:rPr>
                    <w:t>按</w:t>
                  </w:r>
                  <w:r>
                    <w:rPr>
                      <w:rFonts w:hint="default" w:ascii="Times New Roman" w:hAnsi="Times New Roman" w:eastAsia="宋体" w:cs="Times New Roman"/>
                      <w:i w:val="0"/>
                      <w:iCs w:val="0"/>
                      <w:color w:val="auto"/>
                      <w:kern w:val="0"/>
                      <w:sz w:val="21"/>
                      <w:szCs w:val="21"/>
                      <w:u w:val="none"/>
                      <w:lang w:val="en-US" w:eastAsia="zh-CN" w:bidi="ar"/>
                    </w:rPr>
                    <w:t>3.5m</w:t>
                  </w:r>
                  <w:r>
                    <w:rPr>
                      <w:rFonts w:hint="default" w:ascii="Times New Roman" w:hAnsi="Times New Roman" w:eastAsia="宋体" w:cs="Times New Roman"/>
                      <w:color w:val="auto"/>
                      <w:sz w:val="21"/>
                      <w:szCs w:val="21"/>
                      <w:lang w:val="en-US" w:eastAsia="zh-CN" w:bidi="ar"/>
                    </w:rPr>
                    <w:t>折算</w:t>
                  </w:r>
                  <w:r>
                    <w:rPr>
                      <w:rFonts w:hint="eastAsia" w:cs="Times New Roman"/>
                      <w:color w:val="auto"/>
                      <w:sz w:val="21"/>
                      <w:szCs w:val="21"/>
                      <w:lang w:val="en-US" w:eastAsia="zh-CN" w:bidi="ar"/>
                    </w:rPr>
                    <w:t>。</w:t>
                  </w:r>
                </w:p>
              </w:tc>
              <w:tc>
                <w:tcPr>
                  <w:tcW w:w="825" w:type="dxa"/>
                  <w:tcBorders>
                    <w:tl2br w:val="nil"/>
                    <w:tr2bl w:val="nil"/>
                  </w:tcBorders>
                  <w:shd w:val="clear" w:color="auto" w:fill="auto"/>
                  <w:vAlign w:val="center"/>
                </w:tcPr>
                <w:p w14:paraId="7EF7CA0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配套</w:t>
                  </w:r>
                </w:p>
              </w:tc>
              <w:tc>
                <w:tcPr>
                  <w:tcW w:w="739" w:type="dxa"/>
                  <w:tcBorders>
                    <w:tl2br w:val="nil"/>
                    <w:tr2bl w:val="nil"/>
                  </w:tcBorders>
                  <w:shd w:val="clear" w:color="auto" w:fill="auto"/>
                  <w:vAlign w:val="center"/>
                </w:tcPr>
                <w:p w14:paraId="3CEE7263">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176" w:type="dxa"/>
                  <w:vMerge w:val="continue"/>
                  <w:tcBorders>
                    <w:tl2br w:val="nil"/>
                    <w:tr2bl w:val="nil"/>
                  </w:tcBorders>
                  <w:shd w:val="clear" w:color="auto" w:fill="auto"/>
                  <w:vAlign w:val="center"/>
                </w:tcPr>
                <w:p w14:paraId="6712A84C">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1D08C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64A3F41D">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28</w:t>
                  </w:r>
                </w:p>
              </w:tc>
              <w:tc>
                <w:tcPr>
                  <w:tcW w:w="2258" w:type="dxa"/>
                  <w:tcBorders>
                    <w:tl2br w:val="nil"/>
                    <w:tr2bl w:val="nil"/>
                  </w:tcBorders>
                  <w:shd w:val="clear" w:color="auto" w:fill="auto"/>
                  <w:vAlign w:val="center"/>
                </w:tcPr>
                <w:p w14:paraId="01A1EBC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输送电机</w:t>
                  </w:r>
                </w:p>
              </w:tc>
              <w:tc>
                <w:tcPr>
                  <w:tcW w:w="2385" w:type="dxa"/>
                  <w:tcBorders>
                    <w:tl2br w:val="nil"/>
                    <w:tr2bl w:val="nil"/>
                  </w:tcBorders>
                  <w:shd w:val="clear" w:color="auto" w:fill="auto"/>
                  <w:vAlign w:val="center"/>
                </w:tcPr>
                <w:p w14:paraId="0F8D464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国产电机</w:t>
                  </w:r>
                </w:p>
              </w:tc>
              <w:tc>
                <w:tcPr>
                  <w:tcW w:w="825" w:type="dxa"/>
                  <w:tcBorders>
                    <w:tl2br w:val="nil"/>
                    <w:tr2bl w:val="nil"/>
                  </w:tcBorders>
                  <w:shd w:val="clear" w:color="auto" w:fill="auto"/>
                  <w:vAlign w:val="center"/>
                </w:tcPr>
                <w:p w14:paraId="2186160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配套</w:t>
                  </w:r>
                </w:p>
              </w:tc>
              <w:tc>
                <w:tcPr>
                  <w:tcW w:w="739" w:type="dxa"/>
                  <w:tcBorders>
                    <w:tl2br w:val="nil"/>
                    <w:tr2bl w:val="nil"/>
                  </w:tcBorders>
                  <w:shd w:val="clear" w:color="auto" w:fill="auto"/>
                  <w:vAlign w:val="center"/>
                </w:tcPr>
                <w:p w14:paraId="458A9C51">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176" w:type="dxa"/>
                  <w:vMerge w:val="continue"/>
                  <w:tcBorders>
                    <w:tl2br w:val="nil"/>
                    <w:tr2bl w:val="nil"/>
                  </w:tcBorders>
                  <w:shd w:val="clear" w:color="auto" w:fill="auto"/>
                  <w:vAlign w:val="center"/>
                </w:tcPr>
                <w:p w14:paraId="59F983AF">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0A72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293FF64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29</w:t>
                  </w:r>
                </w:p>
              </w:tc>
              <w:tc>
                <w:tcPr>
                  <w:tcW w:w="2258" w:type="dxa"/>
                  <w:tcBorders>
                    <w:tl2br w:val="nil"/>
                    <w:tr2bl w:val="nil"/>
                  </w:tcBorders>
                  <w:shd w:val="clear" w:color="auto" w:fill="auto"/>
                  <w:vAlign w:val="center"/>
                </w:tcPr>
                <w:p w14:paraId="1A0B6CE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线槽</w:t>
                  </w:r>
                </w:p>
              </w:tc>
              <w:tc>
                <w:tcPr>
                  <w:tcW w:w="2385" w:type="dxa"/>
                  <w:tcBorders>
                    <w:tl2br w:val="nil"/>
                    <w:tr2bl w:val="nil"/>
                  </w:tcBorders>
                  <w:shd w:val="clear" w:color="auto" w:fill="auto"/>
                  <w:vAlign w:val="center"/>
                </w:tcPr>
                <w:p w14:paraId="0D488AD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不锈钢</w:t>
                  </w:r>
                </w:p>
              </w:tc>
              <w:tc>
                <w:tcPr>
                  <w:tcW w:w="825" w:type="dxa"/>
                  <w:tcBorders>
                    <w:tl2br w:val="nil"/>
                    <w:tr2bl w:val="nil"/>
                  </w:tcBorders>
                  <w:shd w:val="clear" w:color="auto" w:fill="auto"/>
                  <w:vAlign w:val="center"/>
                </w:tcPr>
                <w:p w14:paraId="23BD137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配套</w:t>
                  </w:r>
                </w:p>
              </w:tc>
              <w:tc>
                <w:tcPr>
                  <w:tcW w:w="739" w:type="dxa"/>
                  <w:tcBorders>
                    <w:tl2br w:val="nil"/>
                    <w:tr2bl w:val="nil"/>
                  </w:tcBorders>
                  <w:shd w:val="clear" w:color="auto" w:fill="auto"/>
                  <w:vAlign w:val="center"/>
                </w:tcPr>
                <w:p w14:paraId="259BB2E4">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176" w:type="dxa"/>
                  <w:vMerge w:val="continue"/>
                  <w:tcBorders>
                    <w:tl2br w:val="nil"/>
                    <w:tr2bl w:val="nil"/>
                  </w:tcBorders>
                  <w:shd w:val="clear" w:color="auto" w:fill="auto"/>
                  <w:vAlign w:val="center"/>
                </w:tcPr>
                <w:p w14:paraId="0A859FD3">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6062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7D8E2CB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w:t>
                  </w:r>
                </w:p>
              </w:tc>
              <w:tc>
                <w:tcPr>
                  <w:tcW w:w="2258" w:type="dxa"/>
                  <w:tcBorders>
                    <w:tl2br w:val="nil"/>
                    <w:tr2bl w:val="nil"/>
                  </w:tcBorders>
                  <w:shd w:val="clear" w:color="auto" w:fill="auto"/>
                  <w:vAlign w:val="center"/>
                </w:tcPr>
                <w:p w14:paraId="1E1D762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接水盘</w:t>
                  </w:r>
                </w:p>
              </w:tc>
              <w:tc>
                <w:tcPr>
                  <w:tcW w:w="2385" w:type="dxa"/>
                  <w:tcBorders>
                    <w:tl2br w:val="nil"/>
                    <w:tr2bl w:val="nil"/>
                  </w:tcBorders>
                  <w:shd w:val="clear" w:color="auto" w:fill="auto"/>
                  <w:vAlign w:val="center"/>
                </w:tcPr>
                <w:p w14:paraId="49DD485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不锈钢</w:t>
                  </w:r>
                </w:p>
              </w:tc>
              <w:tc>
                <w:tcPr>
                  <w:tcW w:w="825" w:type="dxa"/>
                  <w:tcBorders>
                    <w:tl2br w:val="nil"/>
                    <w:tr2bl w:val="nil"/>
                  </w:tcBorders>
                  <w:shd w:val="clear" w:color="auto" w:fill="auto"/>
                  <w:vAlign w:val="center"/>
                </w:tcPr>
                <w:p w14:paraId="5BBD447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2FA1C38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1413961F">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3F1B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63D69F8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31</w:t>
                  </w:r>
                </w:p>
              </w:tc>
              <w:tc>
                <w:tcPr>
                  <w:tcW w:w="2258" w:type="dxa"/>
                  <w:tcBorders>
                    <w:tl2br w:val="nil"/>
                    <w:tr2bl w:val="nil"/>
                  </w:tcBorders>
                  <w:shd w:val="clear" w:color="auto" w:fill="auto"/>
                  <w:vAlign w:val="center"/>
                </w:tcPr>
                <w:p w14:paraId="1142D28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输送控制电柜</w:t>
                  </w:r>
                </w:p>
              </w:tc>
              <w:tc>
                <w:tcPr>
                  <w:tcW w:w="2385" w:type="dxa"/>
                  <w:tcBorders>
                    <w:tl2br w:val="nil"/>
                    <w:tr2bl w:val="nil"/>
                  </w:tcBorders>
                  <w:shd w:val="clear" w:color="auto" w:fill="auto"/>
                  <w:vAlign w:val="center"/>
                </w:tcPr>
                <w:p w14:paraId="6BEB164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电控柜、电气控制装置</w:t>
                  </w:r>
                  <w:r>
                    <w:rPr>
                      <w:rFonts w:hint="default" w:ascii="Times New Roman" w:hAnsi="Times New Roman" w:eastAsia="宋体" w:cs="Times New Roman"/>
                      <w:color w:val="auto"/>
                      <w:sz w:val="21"/>
                      <w:szCs w:val="21"/>
                      <w:lang w:val="en-US" w:eastAsia="zh-CN" w:bidi="ar"/>
                    </w:rPr>
                    <w:t>等</w:t>
                  </w:r>
                </w:p>
              </w:tc>
              <w:tc>
                <w:tcPr>
                  <w:tcW w:w="825" w:type="dxa"/>
                  <w:tcBorders>
                    <w:tl2br w:val="nil"/>
                    <w:tr2bl w:val="nil"/>
                  </w:tcBorders>
                  <w:shd w:val="clear" w:color="auto" w:fill="auto"/>
                  <w:vAlign w:val="center"/>
                </w:tcPr>
                <w:p w14:paraId="07573CC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3A82740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1176" w:type="dxa"/>
                  <w:vMerge w:val="continue"/>
                  <w:tcBorders>
                    <w:tl2br w:val="nil"/>
                    <w:tr2bl w:val="nil"/>
                  </w:tcBorders>
                  <w:shd w:val="clear" w:color="auto" w:fill="auto"/>
                  <w:vAlign w:val="center"/>
                </w:tcPr>
                <w:p w14:paraId="2B73D39F">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232D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32E1E72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32</w:t>
                  </w:r>
                </w:p>
              </w:tc>
              <w:tc>
                <w:tcPr>
                  <w:tcW w:w="2258" w:type="dxa"/>
                  <w:tcBorders>
                    <w:tl2br w:val="nil"/>
                    <w:tr2bl w:val="nil"/>
                  </w:tcBorders>
                  <w:shd w:val="clear" w:color="auto" w:fill="auto"/>
                  <w:vAlign w:val="center"/>
                </w:tcPr>
                <w:p w14:paraId="586699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输送润滑系统</w:t>
                  </w:r>
                </w:p>
              </w:tc>
              <w:tc>
                <w:tcPr>
                  <w:tcW w:w="2385" w:type="dxa"/>
                  <w:tcBorders>
                    <w:tl2br w:val="nil"/>
                    <w:tr2bl w:val="nil"/>
                  </w:tcBorders>
                  <w:shd w:val="clear" w:color="auto" w:fill="auto"/>
                  <w:vAlign w:val="center"/>
                </w:tcPr>
                <w:p w14:paraId="707FDE3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喷嘴式</w:t>
                  </w:r>
                </w:p>
              </w:tc>
              <w:tc>
                <w:tcPr>
                  <w:tcW w:w="825" w:type="dxa"/>
                  <w:tcBorders>
                    <w:tl2br w:val="nil"/>
                    <w:tr2bl w:val="nil"/>
                  </w:tcBorders>
                  <w:shd w:val="clear" w:color="auto" w:fill="auto"/>
                  <w:vAlign w:val="center"/>
                </w:tcPr>
                <w:p w14:paraId="519FBEE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w:t>
                  </w:r>
                </w:p>
              </w:tc>
              <w:tc>
                <w:tcPr>
                  <w:tcW w:w="739" w:type="dxa"/>
                  <w:tcBorders>
                    <w:tl2br w:val="nil"/>
                    <w:tr2bl w:val="nil"/>
                  </w:tcBorders>
                  <w:shd w:val="clear" w:color="auto" w:fill="auto"/>
                  <w:vAlign w:val="center"/>
                </w:tcPr>
                <w:p w14:paraId="27069E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w:t>
                  </w:r>
                </w:p>
              </w:tc>
              <w:tc>
                <w:tcPr>
                  <w:tcW w:w="1176" w:type="dxa"/>
                  <w:vMerge w:val="continue"/>
                  <w:tcBorders>
                    <w:tl2br w:val="nil"/>
                    <w:tr2bl w:val="nil"/>
                  </w:tcBorders>
                  <w:shd w:val="clear" w:color="auto" w:fill="auto"/>
                  <w:vAlign w:val="center"/>
                </w:tcPr>
                <w:p w14:paraId="0E5102A7">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3984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2EAB7C3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33</w:t>
                  </w:r>
                </w:p>
              </w:tc>
              <w:tc>
                <w:tcPr>
                  <w:tcW w:w="2258" w:type="dxa"/>
                  <w:tcBorders>
                    <w:tl2br w:val="nil"/>
                    <w:tr2bl w:val="nil"/>
                  </w:tcBorders>
                  <w:shd w:val="clear" w:color="auto" w:fill="auto"/>
                  <w:vAlign w:val="center"/>
                </w:tcPr>
                <w:p w14:paraId="0306D70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输送滚筒</w:t>
                  </w:r>
                </w:p>
              </w:tc>
              <w:tc>
                <w:tcPr>
                  <w:tcW w:w="2385" w:type="dxa"/>
                  <w:tcBorders>
                    <w:tl2br w:val="nil"/>
                    <w:tr2bl w:val="nil"/>
                  </w:tcBorders>
                  <w:shd w:val="clear" w:color="auto" w:fill="auto"/>
                  <w:vAlign w:val="center"/>
                </w:tcPr>
                <w:p w14:paraId="6F51C7E7">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l2br w:val="nil"/>
                    <w:tr2bl w:val="nil"/>
                  </w:tcBorders>
                  <w:shd w:val="clear" w:color="auto" w:fill="auto"/>
                  <w:vAlign w:val="center"/>
                </w:tcPr>
                <w:p w14:paraId="6ABC2A3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29A696B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1B8F4589">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4456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79337D2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34</w:t>
                  </w:r>
                </w:p>
              </w:tc>
              <w:tc>
                <w:tcPr>
                  <w:tcW w:w="2258" w:type="dxa"/>
                  <w:tcBorders>
                    <w:tl2br w:val="nil"/>
                    <w:tr2bl w:val="nil"/>
                  </w:tcBorders>
                  <w:shd w:val="clear" w:color="auto" w:fill="auto"/>
                  <w:vAlign w:val="center"/>
                </w:tcPr>
                <w:p w14:paraId="7779FC9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全自动</w:t>
                  </w:r>
                  <w:r>
                    <w:rPr>
                      <w:rFonts w:hint="eastAsia" w:ascii="Times New Roman" w:hAnsi="Times New Roman" w:eastAsia="宋体" w:cs="Times New Roman"/>
                      <w:i w:val="0"/>
                      <w:iCs w:val="0"/>
                      <w:color w:val="auto"/>
                      <w:kern w:val="0"/>
                      <w:sz w:val="21"/>
                      <w:szCs w:val="21"/>
                      <w:u w:val="none"/>
                      <w:lang w:val="en-US" w:eastAsia="zh-CN" w:bidi="ar"/>
                    </w:rPr>
                    <w:t>包裹</w:t>
                  </w:r>
                  <w:r>
                    <w:rPr>
                      <w:rFonts w:hint="default" w:ascii="Times New Roman" w:hAnsi="Times New Roman" w:eastAsia="宋体" w:cs="Times New Roman"/>
                      <w:i w:val="0"/>
                      <w:iCs w:val="0"/>
                      <w:color w:val="auto"/>
                      <w:kern w:val="0"/>
                      <w:sz w:val="21"/>
                      <w:szCs w:val="21"/>
                      <w:u w:val="none"/>
                      <w:lang w:val="en-US" w:eastAsia="zh-CN" w:bidi="ar"/>
                    </w:rPr>
                    <w:t>机</w:t>
                  </w:r>
                </w:p>
              </w:tc>
              <w:tc>
                <w:tcPr>
                  <w:tcW w:w="2385" w:type="dxa"/>
                  <w:tcBorders>
                    <w:tl2br w:val="nil"/>
                    <w:tr2bl w:val="nil"/>
                  </w:tcBorders>
                  <w:shd w:val="clear" w:color="auto" w:fill="auto"/>
                  <w:vAlign w:val="center"/>
                </w:tcPr>
                <w:p w14:paraId="22BE56B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纸箱</w:t>
                  </w:r>
                </w:p>
              </w:tc>
              <w:tc>
                <w:tcPr>
                  <w:tcW w:w="825" w:type="dxa"/>
                  <w:tcBorders>
                    <w:tl2br w:val="nil"/>
                    <w:tr2bl w:val="nil"/>
                  </w:tcBorders>
                  <w:shd w:val="clear" w:color="auto" w:fill="auto"/>
                  <w:vAlign w:val="center"/>
                </w:tcPr>
                <w:p w14:paraId="09E4669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13CB8F0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1176" w:type="dxa"/>
                  <w:vMerge w:val="restart"/>
                  <w:tcBorders>
                    <w:tl2br w:val="nil"/>
                    <w:tr2bl w:val="nil"/>
                  </w:tcBorders>
                  <w:shd w:val="clear" w:color="auto" w:fill="auto"/>
                  <w:vAlign w:val="center"/>
                </w:tcPr>
                <w:p w14:paraId="19E6685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后包装系统</w:t>
                  </w:r>
                </w:p>
              </w:tc>
            </w:tr>
            <w:tr w14:paraId="7EB9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63FAF2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35</w:t>
                  </w:r>
                </w:p>
              </w:tc>
              <w:tc>
                <w:tcPr>
                  <w:tcW w:w="2258" w:type="dxa"/>
                  <w:tcBorders>
                    <w:tl2br w:val="nil"/>
                    <w:tr2bl w:val="nil"/>
                  </w:tcBorders>
                  <w:shd w:val="clear" w:color="auto" w:fill="auto"/>
                  <w:vAlign w:val="center"/>
                </w:tcPr>
                <w:p w14:paraId="26B2E98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箱称重</w:t>
                  </w:r>
                </w:p>
              </w:tc>
              <w:tc>
                <w:tcPr>
                  <w:tcW w:w="2385" w:type="dxa"/>
                  <w:tcBorders>
                    <w:tl2br w:val="nil"/>
                    <w:tr2bl w:val="nil"/>
                  </w:tcBorders>
                  <w:shd w:val="clear" w:color="auto" w:fill="auto"/>
                  <w:vAlign w:val="center"/>
                </w:tcPr>
                <w:p w14:paraId="75F7DA1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带剔除</w:t>
                  </w:r>
                </w:p>
              </w:tc>
              <w:tc>
                <w:tcPr>
                  <w:tcW w:w="825" w:type="dxa"/>
                  <w:tcBorders>
                    <w:tl2br w:val="nil"/>
                    <w:tr2bl w:val="nil"/>
                  </w:tcBorders>
                  <w:shd w:val="clear" w:color="auto" w:fill="auto"/>
                  <w:vAlign w:val="center"/>
                </w:tcPr>
                <w:p w14:paraId="118315B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71251B1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67E92925">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0A85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2E1656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36</w:t>
                  </w:r>
                </w:p>
              </w:tc>
              <w:tc>
                <w:tcPr>
                  <w:tcW w:w="2258" w:type="dxa"/>
                  <w:tcBorders>
                    <w:tl2br w:val="nil"/>
                    <w:tr2bl w:val="nil"/>
                  </w:tcBorders>
                  <w:shd w:val="clear" w:color="auto" w:fill="auto"/>
                  <w:vAlign w:val="center"/>
                </w:tcPr>
                <w:p w14:paraId="1E0A7DF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喷码机</w:t>
                  </w:r>
                </w:p>
              </w:tc>
              <w:tc>
                <w:tcPr>
                  <w:tcW w:w="2385" w:type="dxa"/>
                  <w:tcBorders>
                    <w:tl2br w:val="nil"/>
                    <w:tr2bl w:val="nil"/>
                  </w:tcBorders>
                  <w:shd w:val="clear" w:color="auto" w:fill="auto"/>
                  <w:vAlign w:val="center"/>
                </w:tcPr>
                <w:p w14:paraId="1998516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箱用</w:t>
                  </w:r>
                </w:p>
              </w:tc>
              <w:tc>
                <w:tcPr>
                  <w:tcW w:w="825" w:type="dxa"/>
                  <w:tcBorders>
                    <w:tl2br w:val="nil"/>
                    <w:tr2bl w:val="nil"/>
                  </w:tcBorders>
                  <w:shd w:val="clear" w:color="auto" w:fill="auto"/>
                  <w:vAlign w:val="center"/>
                </w:tcPr>
                <w:p w14:paraId="028B161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674C374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1176" w:type="dxa"/>
                  <w:vMerge w:val="continue"/>
                  <w:tcBorders>
                    <w:tl2br w:val="nil"/>
                    <w:tr2bl w:val="nil"/>
                  </w:tcBorders>
                  <w:shd w:val="clear" w:color="auto" w:fill="auto"/>
                  <w:vAlign w:val="center"/>
                </w:tcPr>
                <w:p w14:paraId="49D9A9BF">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5EB3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0F80C48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37</w:t>
                  </w:r>
                </w:p>
              </w:tc>
              <w:tc>
                <w:tcPr>
                  <w:tcW w:w="2258" w:type="dxa"/>
                  <w:tcBorders>
                    <w:tl2br w:val="nil"/>
                    <w:tr2bl w:val="nil"/>
                  </w:tcBorders>
                  <w:shd w:val="clear" w:color="auto" w:fill="auto"/>
                  <w:vAlign w:val="center"/>
                </w:tcPr>
                <w:p w14:paraId="452740B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总电柜</w:t>
                  </w:r>
                </w:p>
              </w:tc>
              <w:tc>
                <w:tcPr>
                  <w:tcW w:w="2385" w:type="dxa"/>
                  <w:tcBorders>
                    <w:tl2br w:val="nil"/>
                    <w:tr2bl w:val="nil"/>
                  </w:tcBorders>
                  <w:shd w:val="clear" w:color="auto" w:fill="auto"/>
                  <w:vAlign w:val="center"/>
                </w:tcPr>
                <w:p w14:paraId="6BA38075">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l2br w:val="nil"/>
                    <w:tr2bl w:val="nil"/>
                  </w:tcBorders>
                  <w:shd w:val="clear" w:color="auto" w:fill="auto"/>
                  <w:vAlign w:val="center"/>
                </w:tcPr>
                <w:p w14:paraId="76552EB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1AD6C24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1176" w:type="dxa"/>
                  <w:vMerge w:val="continue"/>
                  <w:tcBorders>
                    <w:tl2br w:val="nil"/>
                    <w:tr2bl w:val="nil"/>
                  </w:tcBorders>
                  <w:shd w:val="clear" w:color="auto" w:fill="auto"/>
                  <w:vAlign w:val="center"/>
                </w:tcPr>
                <w:p w14:paraId="193AE81F">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43CA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5A21D9F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38</w:t>
                  </w:r>
                </w:p>
              </w:tc>
              <w:tc>
                <w:tcPr>
                  <w:tcW w:w="2258" w:type="dxa"/>
                  <w:tcBorders>
                    <w:tl2br w:val="nil"/>
                    <w:tr2bl w:val="nil"/>
                  </w:tcBorders>
                  <w:shd w:val="clear" w:color="auto" w:fill="auto"/>
                  <w:vAlign w:val="center"/>
                </w:tcPr>
                <w:p w14:paraId="2DC9196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龙门码垛机</w:t>
                  </w:r>
                </w:p>
              </w:tc>
              <w:tc>
                <w:tcPr>
                  <w:tcW w:w="2385" w:type="dxa"/>
                  <w:tcBorders>
                    <w:tl2br w:val="nil"/>
                    <w:tr2bl w:val="nil"/>
                  </w:tcBorders>
                  <w:shd w:val="clear" w:color="auto" w:fill="auto"/>
                  <w:vAlign w:val="center"/>
                </w:tcPr>
                <w:p w14:paraId="4FE37188">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l2br w:val="nil"/>
                    <w:tr2bl w:val="nil"/>
                  </w:tcBorders>
                  <w:shd w:val="clear" w:color="auto" w:fill="auto"/>
                  <w:vAlign w:val="center"/>
                </w:tcPr>
                <w:p w14:paraId="08250B7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37DCD8B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1176" w:type="dxa"/>
                  <w:tcBorders>
                    <w:tl2br w:val="nil"/>
                    <w:tr2bl w:val="nil"/>
                  </w:tcBorders>
                  <w:shd w:val="clear" w:color="auto" w:fill="auto"/>
                  <w:vAlign w:val="center"/>
                </w:tcPr>
                <w:p w14:paraId="3374ECB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码垛</w:t>
                  </w:r>
                </w:p>
              </w:tc>
            </w:tr>
            <w:tr w14:paraId="4049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5D6BC63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39</w:t>
                  </w:r>
                </w:p>
              </w:tc>
              <w:tc>
                <w:tcPr>
                  <w:tcW w:w="2258" w:type="dxa"/>
                  <w:tcBorders>
                    <w:tl2br w:val="nil"/>
                    <w:tr2bl w:val="nil"/>
                  </w:tcBorders>
                  <w:shd w:val="clear" w:color="auto" w:fill="auto"/>
                  <w:vAlign w:val="center"/>
                </w:tcPr>
                <w:p w14:paraId="7E901F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r>
                    <w:rPr>
                      <w:rFonts w:hint="default" w:ascii="Times New Roman" w:hAnsi="Times New Roman" w:eastAsia="宋体" w:cs="Times New Roman"/>
                      <w:color w:val="auto"/>
                      <w:sz w:val="21"/>
                      <w:szCs w:val="21"/>
                      <w:lang w:val="en-US" w:eastAsia="zh-CN" w:bidi="ar"/>
                    </w:rPr>
                    <w:t>立方</w:t>
                  </w:r>
                  <w:r>
                    <w:rPr>
                      <w:rFonts w:hint="eastAsia" w:cs="Times New Roman"/>
                      <w:color w:val="auto"/>
                      <w:sz w:val="21"/>
                      <w:szCs w:val="21"/>
                      <w:lang w:val="en-US" w:eastAsia="zh-CN" w:bidi="ar"/>
                    </w:rPr>
                    <w:t>米的</w:t>
                  </w:r>
                  <w:r>
                    <w:rPr>
                      <w:rFonts w:hint="default" w:ascii="Times New Roman" w:hAnsi="Times New Roman" w:eastAsia="宋体" w:cs="Times New Roman"/>
                      <w:color w:val="auto"/>
                      <w:sz w:val="21"/>
                      <w:szCs w:val="21"/>
                      <w:lang w:val="en-US" w:eastAsia="zh-CN" w:bidi="ar"/>
                    </w:rPr>
                    <w:t>低压压缩机</w:t>
                  </w:r>
                </w:p>
              </w:tc>
              <w:tc>
                <w:tcPr>
                  <w:tcW w:w="2385" w:type="dxa"/>
                  <w:tcBorders>
                    <w:tl2br w:val="nil"/>
                    <w:tr2bl w:val="nil"/>
                  </w:tcBorders>
                  <w:shd w:val="clear" w:color="auto" w:fill="auto"/>
                  <w:vAlign w:val="center"/>
                </w:tcPr>
                <w:p w14:paraId="7B1FFA4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变频</w:t>
                  </w:r>
                </w:p>
              </w:tc>
              <w:tc>
                <w:tcPr>
                  <w:tcW w:w="825" w:type="dxa"/>
                  <w:tcBorders>
                    <w:tl2br w:val="nil"/>
                    <w:tr2bl w:val="nil"/>
                  </w:tcBorders>
                  <w:shd w:val="clear" w:color="auto" w:fill="auto"/>
                  <w:vAlign w:val="center"/>
                </w:tcPr>
                <w:p w14:paraId="2D5718A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558E412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restart"/>
                  <w:tcBorders>
                    <w:tl2br w:val="nil"/>
                    <w:tr2bl w:val="nil"/>
                  </w:tcBorders>
                  <w:shd w:val="clear" w:color="auto" w:fill="auto"/>
                  <w:vAlign w:val="center"/>
                </w:tcPr>
                <w:p w14:paraId="1FCC994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低压空压</w:t>
                  </w:r>
                  <w:r>
                    <w:rPr>
                      <w:rFonts w:hint="default" w:ascii="Times New Roman" w:hAnsi="Times New Roman" w:eastAsia="宋体" w:cs="Times New Roman"/>
                      <w:color w:val="auto"/>
                      <w:sz w:val="21"/>
                      <w:szCs w:val="21"/>
                      <w:lang w:val="en-US" w:eastAsia="zh-CN" w:bidi="ar"/>
                    </w:rPr>
                    <w:t>系统</w:t>
                  </w:r>
                </w:p>
              </w:tc>
            </w:tr>
            <w:tr w14:paraId="1E8F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22B7AD1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w:t>
                  </w:r>
                </w:p>
              </w:tc>
              <w:tc>
                <w:tcPr>
                  <w:tcW w:w="2258" w:type="dxa"/>
                  <w:tcBorders>
                    <w:tl2br w:val="nil"/>
                    <w:tr2bl w:val="nil"/>
                  </w:tcBorders>
                  <w:shd w:val="clear" w:color="auto" w:fill="auto"/>
                  <w:vAlign w:val="center"/>
                </w:tcPr>
                <w:p w14:paraId="71692B47">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冷冻式干燥机</w:t>
                  </w:r>
                </w:p>
              </w:tc>
              <w:tc>
                <w:tcPr>
                  <w:tcW w:w="2385" w:type="dxa"/>
                  <w:tcBorders>
                    <w:tl2br w:val="nil"/>
                    <w:tr2bl w:val="nil"/>
                  </w:tcBorders>
                  <w:shd w:val="clear" w:color="auto" w:fill="auto"/>
                  <w:vAlign w:val="center"/>
                </w:tcPr>
                <w:p w14:paraId="19F9BCF6">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l2br w:val="nil"/>
                    <w:tr2bl w:val="nil"/>
                  </w:tcBorders>
                  <w:shd w:val="clear" w:color="auto" w:fill="auto"/>
                  <w:vAlign w:val="center"/>
                </w:tcPr>
                <w:p w14:paraId="7B104BA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739" w:type="dxa"/>
                  <w:tcBorders>
                    <w:tl2br w:val="nil"/>
                    <w:tr2bl w:val="nil"/>
                  </w:tcBorders>
                  <w:shd w:val="clear" w:color="auto" w:fill="auto"/>
                  <w:vAlign w:val="center"/>
                </w:tcPr>
                <w:p w14:paraId="22E5F853">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001BED42">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7F5B1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4F037E2B">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41</w:t>
                  </w:r>
                </w:p>
              </w:tc>
              <w:tc>
                <w:tcPr>
                  <w:tcW w:w="2258" w:type="dxa"/>
                  <w:tcBorders>
                    <w:tl2br w:val="nil"/>
                    <w:tr2bl w:val="nil"/>
                  </w:tcBorders>
                  <w:shd w:val="clear" w:color="auto" w:fill="auto"/>
                  <w:vAlign w:val="center"/>
                </w:tcPr>
                <w:p w14:paraId="1C9CCA3A">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主管道过滤器</w:t>
                  </w:r>
                </w:p>
              </w:tc>
              <w:tc>
                <w:tcPr>
                  <w:tcW w:w="2385" w:type="dxa"/>
                  <w:tcBorders>
                    <w:tl2br w:val="nil"/>
                    <w:tr2bl w:val="nil"/>
                  </w:tcBorders>
                  <w:shd w:val="clear" w:color="auto" w:fill="auto"/>
                  <w:vAlign w:val="center"/>
                </w:tcPr>
                <w:p w14:paraId="3730AA23">
                  <w:pPr>
                    <w:keepNext w:val="0"/>
                    <w:keepLines w:val="0"/>
                    <w:pageBreakBefore w:val="0"/>
                    <w:widowControl/>
                    <w:kinsoku/>
                    <w:wordWrap/>
                    <w:overflowPunct/>
                    <w:topLinePunct w:val="0"/>
                    <w:autoSpaceDE/>
                    <w:autoSpaceDN/>
                    <w:bidi w:val="0"/>
                    <w:adjustRightInd/>
                    <w:snapToGrid/>
                    <w:ind w:firstLineChars="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25" w:type="dxa"/>
                  <w:tcBorders>
                    <w:tl2br w:val="nil"/>
                    <w:tr2bl w:val="nil"/>
                  </w:tcBorders>
                  <w:shd w:val="clear" w:color="auto" w:fill="auto"/>
                  <w:vAlign w:val="center"/>
                </w:tcPr>
                <w:p w14:paraId="7E18B5F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20E6FA88">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324310BC">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5582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335EF3E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42</w:t>
                  </w:r>
                </w:p>
              </w:tc>
              <w:tc>
                <w:tcPr>
                  <w:tcW w:w="2258" w:type="dxa"/>
                  <w:tcBorders>
                    <w:tl2br w:val="nil"/>
                    <w:tr2bl w:val="nil"/>
                  </w:tcBorders>
                  <w:shd w:val="clear" w:color="auto" w:fill="auto"/>
                  <w:vAlign w:val="center"/>
                </w:tcPr>
                <w:p w14:paraId="29D4D61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1</w:t>
                  </w:r>
                  <w:r>
                    <w:rPr>
                      <w:rFonts w:hint="default" w:ascii="Times New Roman" w:hAnsi="Times New Roman" w:eastAsia="宋体" w:cs="Times New Roman"/>
                      <w:color w:val="auto"/>
                      <w:sz w:val="21"/>
                      <w:szCs w:val="21"/>
                      <w:lang w:val="en-US" w:eastAsia="zh-CN" w:bidi="ar"/>
                    </w:rPr>
                    <w:t>立方</w:t>
                  </w:r>
                  <w:r>
                    <w:rPr>
                      <w:rFonts w:hint="eastAsia" w:cs="Times New Roman"/>
                      <w:color w:val="auto"/>
                      <w:sz w:val="21"/>
                      <w:szCs w:val="21"/>
                      <w:lang w:val="en-US" w:eastAsia="zh-CN" w:bidi="ar"/>
                    </w:rPr>
                    <w:t>米的</w:t>
                  </w:r>
                  <w:r>
                    <w:rPr>
                      <w:rFonts w:hint="default" w:ascii="Times New Roman" w:hAnsi="Times New Roman" w:eastAsia="宋体" w:cs="Times New Roman"/>
                      <w:color w:val="auto"/>
                      <w:sz w:val="21"/>
                      <w:szCs w:val="21"/>
                      <w:lang w:val="en-US" w:eastAsia="zh-CN" w:bidi="ar"/>
                    </w:rPr>
                    <w:t>储气罐</w:t>
                  </w:r>
                </w:p>
              </w:tc>
              <w:tc>
                <w:tcPr>
                  <w:tcW w:w="2385" w:type="dxa"/>
                  <w:tcBorders>
                    <w:tl2br w:val="nil"/>
                    <w:tr2bl w:val="nil"/>
                  </w:tcBorders>
                  <w:shd w:val="clear" w:color="auto" w:fill="auto"/>
                  <w:vAlign w:val="center"/>
                </w:tcPr>
                <w:p w14:paraId="56BEBAC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前处理部分</w:t>
                  </w:r>
                </w:p>
              </w:tc>
              <w:tc>
                <w:tcPr>
                  <w:tcW w:w="825" w:type="dxa"/>
                  <w:tcBorders>
                    <w:tl2br w:val="nil"/>
                    <w:tr2bl w:val="nil"/>
                  </w:tcBorders>
                  <w:shd w:val="clear" w:color="auto" w:fill="auto"/>
                  <w:vAlign w:val="center"/>
                </w:tcPr>
                <w:p w14:paraId="0D41753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558E80A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1BABECC5">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473A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683AAA62">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43</w:t>
                  </w:r>
                </w:p>
              </w:tc>
              <w:tc>
                <w:tcPr>
                  <w:tcW w:w="2258" w:type="dxa"/>
                  <w:tcBorders>
                    <w:tl2br w:val="nil"/>
                    <w:tr2bl w:val="nil"/>
                  </w:tcBorders>
                  <w:shd w:val="clear" w:color="auto" w:fill="auto"/>
                  <w:vAlign w:val="center"/>
                </w:tcPr>
                <w:p w14:paraId="6ABF192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2</w:t>
                  </w:r>
                  <w:r>
                    <w:rPr>
                      <w:rFonts w:hint="default" w:ascii="Times New Roman" w:hAnsi="Times New Roman" w:eastAsia="宋体" w:cs="Times New Roman"/>
                      <w:color w:val="auto"/>
                      <w:sz w:val="21"/>
                      <w:szCs w:val="21"/>
                      <w:lang w:val="en-US" w:eastAsia="zh-CN" w:bidi="ar"/>
                    </w:rPr>
                    <w:t>立方</w:t>
                  </w:r>
                  <w:r>
                    <w:rPr>
                      <w:rFonts w:hint="eastAsia" w:cs="Times New Roman"/>
                      <w:color w:val="auto"/>
                      <w:sz w:val="21"/>
                      <w:szCs w:val="21"/>
                      <w:lang w:val="en-US" w:eastAsia="zh-CN" w:bidi="ar"/>
                    </w:rPr>
                    <w:t>米的</w:t>
                  </w:r>
                  <w:r>
                    <w:rPr>
                      <w:rFonts w:hint="default" w:ascii="Times New Roman" w:hAnsi="Times New Roman" w:eastAsia="宋体" w:cs="Times New Roman"/>
                      <w:color w:val="auto"/>
                      <w:sz w:val="21"/>
                      <w:szCs w:val="21"/>
                      <w:lang w:val="en-US" w:eastAsia="zh-CN" w:bidi="ar"/>
                    </w:rPr>
                    <w:t>储气罐</w:t>
                  </w:r>
                </w:p>
              </w:tc>
              <w:tc>
                <w:tcPr>
                  <w:tcW w:w="2385" w:type="dxa"/>
                  <w:tcBorders>
                    <w:tl2br w:val="nil"/>
                    <w:tr2bl w:val="nil"/>
                  </w:tcBorders>
                  <w:shd w:val="clear" w:color="auto" w:fill="auto"/>
                  <w:vAlign w:val="center"/>
                </w:tcPr>
                <w:p w14:paraId="1B00F97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杀菌釜部分</w:t>
                  </w:r>
                </w:p>
              </w:tc>
              <w:tc>
                <w:tcPr>
                  <w:tcW w:w="825" w:type="dxa"/>
                  <w:tcBorders>
                    <w:tl2br w:val="nil"/>
                    <w:tr2bl w:val="nil"/>
                  </w:tcBorders>
                  <w:shd w:val="clear" w:color="auto" w:fill="auto"/>
                  <w:vAlign w:val="center"/>
                </w:tcPr>
                <w:p w14:paraId="6334F4F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3C817FF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58A90507">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1374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2552E7A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44</w:t>
                  </w:r>
                </w:p>
              </w:tc>
              <w:tc>
                <w:tcPr>
                  <w:tcW w:w="2258" w:type="dxa"/>
                  <w:tcBorders>
                    <w:tl2br w:val="nil"/>
                    <w:tr2bl w:val="nil"/>
                  </w:tcBorders>
                  <w:shd w:val="clear" w:color="auto" w:fill="auto"/>
                  <w:vAlign w:val="center"/>
                </w:tcPr>
                <w:p w14:paraId="716F7C5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冷却塔</w:t>
                  </w:r>
                </w:p>
              </w:tc>
              <w:tc>
                <w:tcPr>
                  <w:tcW w:w="2385" w:type="dxa"/>
                  <w:tcBorders>
                    <w:tl2br w:val="nil"/>
                    <w:tr2bl w:val="nil"/>
                  </w:tcBorders>
                  <w:shd w:val="clear" w:color="auto" w:fill="auto"/>
                  <w:vAlign w:val="center"/>
                </w:tcPr>
                <w:p w14:paraId="2F2DBA3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80 </w:t>
                  </w:r>
                  <w:r>
                    <w:rPr>
                      <w:rFonts w:hint="default" w:ascii="Times New Roman" w:hAnsi="Times New Roman" w:eastAsia="宋体" w:cs="Times New Roman"/>
                      <w:color w:val="auto"/>
                      <w:sz w:val="21"/>
                      <w:szCs w:val="21"/>
                      <w:lang w:val="en-US" w:eastAsia="zh-CN" w:bidi="ar"/>
                    </w:rPr>
                    <w:t>t/h</w:t>
                  </w:r>
                </w:p>
              </w:tc>
              <w:tc>
                <w:tcPr>
                  <w:tcW w:w="825" w:type="dxa"/>
                  <w:tcBorders>
                    <w:tl2br w:val="nil"/>
                    <w:tr2bl w:val="nil"/>
                  </w:tcBorders>
                  <w:shd w:val="clear" w:color="auto" w:fill="auto"/>
                  <w:vAlign w:val="center"/>
                </w:tcPr>
                <w:p w14:paraId="0BEF543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739" w:type="dxa"/>
                  <w:tcBorders>
                    <w:tl2br w:val="nil"/>
                    <w:tr2bl w:val="nil"/>
                  </w:tcBorders>
                  <w:shd w:val="clear" w:color="auto" w:fill="auto"/>
                  <w:vAlign w:val="center"/>
                </w:tcPr>
                <w:p w14:paraId="405A2D7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restart"/>
                  <w:tcBorders>
                    <w:tl2br w:val="nil"/>
                    <w:tr2bl w:val="nil"/>
                  </w:tcBorders>
                  <w:shd w:val="clear" w:color="auto" w:fill="auto"/>
                  <w:vAlign w:val="center"/>
                </w:tcPr>
                <w:p w14:paraId="418650A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冷却系统</w:t>
                  </w:r>
                </w:p>
              </w:tc>
            </w:tr>
            <w:tr w14:paraId="0F00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1A8360D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w:t>
                  </w:r>
                </w:p>
              </w:tc>
              <w:tc>
                <w:tcPr>
                  <w:tcW w:w="2258" w:type="dxa"/>
                  <w:tcBorders>
                    <w:tl2br w:val="nil"/>
                    <w:tr2bl w:val="nil"/>
                  </w:tcBorders>
                  <w:shd w:val="clear" w:color="auto" w:fill="auto"/>
                  <w:vAlign w:val="center"/>
                </w:tcPr>
                <w:p w14:paraId="05508FE4">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冷却塔</w:t>
                  </w:r>
                </w:p>
              </w:tc>
              <w:tc>
                <w:tcPr>
                  <w:tcW w:w="2385" w:type="dxa"/>
                  <w:tcBorders>
                    <w:tl2br w:val="nil"/>
                    <w:tr2bl w:val="nil"/>
                  </w:tcBorders>
                  <w:shd w:val="clear" w:color="auto" w:fill="auto"/>
                  <w:vAlign w:val="center"/>
                </w:tcPr>
                <w:p w14:paraId="10710285">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50 </w:t>
                  </w:r>
                  <w:r>
                    <w:rPr>
                      <w:rFonts w:hint="default" w:ascii="Times New Roman" w:hAnsi="Times New Roman" w:eastAsia="宋体" w:cs="Times New Roman"/>
                      <w:color w:val="auto"/>
                      <w:sz w:val="21"/>
                      <w:szCs w:val="21"/>
                      <w:lang w:val="en-US" w:eastAsia="zh-CN" w:bidi="ar"/>
                    </w:rPr>
                    <w:t>t/h</w:t>
                  </w:r>
                </w:p>
              </w:tc>
              <w:tc>
                <w:tcPr>
                  <w:tcW w:w="825" w:type="dxa"/>
                  <w:tcBorders>
                    <w:tl2br w:val="nil"/>
                    <w:tr2bl w:val="nil"/>
                  </w:tcBorders>
                  <w:shd w:val="clear" w:color="auto" w:fill="auto"/>
                  <w:vAlign w:val="center"/>
                </w:tcPr>
                <w:p w14:paraId="2774E4B9">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39" w:type="dxa"/>
                  <w:tcBorders>
                    <w:tl2br w:val="nil"/>
                    <w:tr2bl w:val="nil"/>
                  </w:tcBorders>
                  <w:shd w:val="clear" w:color="auto" w:fill="auto"/>
                  <w:vAlign w:val="center"/>
                </w:tcPr>
                <w:p w14:paraId="205B0526">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3BEE066B">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r w14:paraId="5DF7D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51" w:type="dxa"/>
                  <w:bottom w:w="0" w:type="dxa"/>
                  <w:right w:w="51" w:type="dxa"/>
                </w:tblCellMar>
              </w:tblPrEx>
              <w:trPr>
                <w:trHeight w:val="397" w:hRule="atLeast"/>
                <w:jc w:val="center"/>
              </w:trPr>
              <w:tc>
                <w:tcPr>
                  <w:tcW w:w="858" w:type="dxa"/>
                  <w:tcBorders>
                    <w:tl2br w:val="nil"/>
                    <w:tr2bl w:val="nil"/>
                  </w:tcBorders>
                  <w:shd w:val="clear" w:color="auto" w:fill="auto"/>
                  <w:vAlign w:val="center"/>
                </w:tcPr>
                <w:p w14:paraId="6D93DDF1">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46</w:t>
                  </w:r>
                </w:p>
              </w:tc>
              <w:tc>
                <w:tcPr>
                  <w:tcW w:w="2258" w:type="dxa"/>
                  <w:tcBorders>
                    <w:tl2br w:val="nil"/>
                    <w:tr2bl w:val="nil"/>
                  </w:tcBorders>
                  <w:shd w:val="clear" w:color="auto" w:fill="auto"/>
                  <w:vAlign w:val="center"/>
                </w:tcPr>
                <w:p w14:paraId="58274030">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冷却液循环泵</w:t>
                  </w:r>
                </w:p>
              </w:tc>
              <w:tc>
                <w:tcPr>
                  <w:tcW w:w="2385" w:type="dxa"/>
                  <w:tcBorders>
                    <w:tl2br w:val="nil"/>
                    <w:tr2bl w:val="nil"/>
                  </w:tcBorders>
                  <w:shd w:val="clear" w:color="auto" w:fill="auto"/>
                  <w:vAlign w:val="center"/>
                </w:tcPr>
                <w:p w14:paraId="7FE2444E">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80 t/h</w:t>
                  </w:r>
                </w:p>
              </w:tc>
              <w:tc>
                <w:tcPr>
                  <w:tcW w:w="825" w:type="dxa"/>
                  <w:tcBorders>
                    <w:tl2br w:val="nil"/>
                    <w:tr2bl w:val="nil"/>
                  </w:tcBorders>
                  <w:shd w:val="clear" w:color="auto" w:fill="auto"/>
                  <w:vAlign w:val="center"/>
                </w:tcPr>
                <w:p w14:paraId="2BE4192C">
                  <w:pPr>
                    <w:keepNext w:val="0"/>
                    <w:keepLines w:val="0"/>
                    <w:pageBreakBefore w:val="0"/>
                    <w:widowControl/>
                    <w:suppressLineNumbers w:val="0"/>
                    <w:kinsoku/>
                    <w:wordWrap/>
                    <w:overflowPunct/>
                    <w:topLinePunct w:val="0"/>
                    <w:autoSpaceDE/>
                    <w:autoSpaceDN/>
                    <w:bidi w:val="0"/>
                    <w:adjustRightInd/>
                    <w:snapToGrid/>
                    <w:ind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739" w:type="dxa"/>
                  <w:tcBorders>
                    <w:tl2br w:val="nil"/>
                    <w:tr2bl w:val="nil"/>
                  </w:tcBorders>
                  <w:shd w:val="clear" w:color="auto" w:fill="auto"/>
                  <w:vAlign w:val="center"/>
                </w:tcPr>
                <w:p w14:paraId="787F9BAF">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1176" w:type="dxa"/>
                  <w:vMerge w:val="continue"/>
                  <w:tcBorders>
                    <w:tl2br w:val="nil"/>
                    <w:tr2bl w:val="nil"/>
                  </w:tcBorders>
                  <w:shd w:val="clear" w:color="auto" w:fill="auto"/>
                  <w:vAlign w:val="center"/>
                </w:tcPr>
                <w:p w14:paraId="5AB0FC7C">
                  <w:pPr>
                    <w:keepNext w:val="0"/>
                    <w:keepLines w:val="0"/>
                    <w:pageBreakBefore w:val="0"/>
                    <w:widowControl/>
                    <w:kinsoku/>
                    <w:wordWrap/>
                    <w:overflowPunct/>
                    <w:topLinePunct w:val="0"/>
                    <w:autoSpaceDE/>
                    <w:autoSpaceDN/>
                    <w:bidi w:val="0"/>
                    <w:adjustRightInd/>
                    <w:snapToGrid/>
                    <w:ind w:firstLineChars="0"/>
                    <w:jc w:val="center"/>
                    <w:rPr>
                      <w:rFonts w:hint="default" w:ascii="Times New Roman" w:hAnsi="Times New Roman" w:eastAsia="宋体" w:cs="Times New Roman"/>
                      <w:i w:val="0"/>
                      <w:iCs w:val="0"/>
                      <w:color w:val="auto"/>
                      <w:sz w:val="21"/>
                      <w:szCs w:val="21"/>
                      <w:u w:val="none"/>
                    </w:rPr>
                  </w:pPr>
                </w:p>
              </w:tc>
            </w:tr>
          </w:tbl>
          <w:p w14:paraId="1200FB73">
            <w:pPr>
              <w:pStyle w:val="14"/>
              <w:bidi w:val="0"/>
              <w:rPr>
                <w:rFonts w:hint="default" w:ascii="Times New Roman" w:hAnsi="Times New Roman" w:eastAsia="宋体" w:cs="Times New Roman"/>
                <w:color w:val="auto"/>
              </w:rPr>
            </w:pPr>
          </w:p>
          <w:p w14:paraId="24724BD0">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表2-</w:t>
            </w:r>
            <w:r>
              <w:rPr>
                <w:rFonts w:hint="default" w:ascii="Times New Roman" w:hAnsi="Times New Roman" w:eastAsia="宋体" w:cs="Times New Roman"/>
                <w:color w:val="auto"/>
                <w:lang w:val="en-US" w:eastAsia="zh-CN"/>
              </w:rPr>
              <w:t>7</w:t>
            </w:r>
            <w:r>
              <w:rPr>
                <w:rFonts w:hint="eastAsia" w:cs="Times New Roman"/>
                <w:color w:val="auto"/>
                <w:lang w:val="en-US" w:eastAsia="zh-CN"/>
              </w:rPr>
              <w:t>为</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2000 吨提取生产线设备清单</w:t>
            </w:r>
          </w:p>
          <w:tbl>
            <w:tblPr>
              <w:tblStyle w:val="7"/>
              <w:tblW w:w="5000" w:type="pct"/>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Layout w:type="fixed"/>
              <w:tblCellMar>
                <w:top w:w="0" w:type="dxa"/>
                <w:left w:w="51" w:type="dxa"/>
                <w:bottom w:w="0" w:type="dxa"/>
                <w:right w:w="51" w:type="dxa"/>
              </w:tblCellMar>
            </w:tblPr>
            <w:tblGrid>
              <w:gridCol w:w="523"/>
              <w:gridCol w:w="1589"/>
              <w:gridCol w:w="1359"/>
              <w:gridCol w:w="742"/>
              <w:gridCol w:w="544"/>
              <w:gridCol w:w="3484"/>
            </w:tblGrid>
            <w:tr w14:paraId="1970DF8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0" w:space="0"/>
                    <w:bottom w:val="single" w:color="auto" w:sz="4" w:space="0"/>
                    <w:right w:val="single" w:color="auto" w:sz="4" w:space="0"/>
                    <w:tl2br w:val="nil"/>
                    <w:tr2bl w:val="nil"/>
                  </w:tcBorders>
                  <w:shd w:val="clear" w:color="auto" w:fill="auto"/>
                  <w:textDirection w:val="tbRlV"/>
                  <w:vAlign w:val="center"/>
                </w:tcPr>
                <w:p w14:paraId="704AD3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BAF33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设备名称</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B729D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型号规格</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E69F7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数量</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textDirection w:val="tbRlV"/>
                  <w:vAlign w:val="center"/>
                </w:tcPr>
                <w:p w14:paraId="181383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98E38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备注</w:t>
                  </w:r>
                </w:p>
              </w:tc>
            </w:tr>
            <w:tr w14:paraId="6DA7A33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A7D63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4C846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多功能提取罐</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C49B1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FD1DA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DBCCE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9A923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直筒式，四气缸，带搅拌，功率7.5</w:t>
                  </w:r>
                  <w:r>
                    <w:rPr>
                      <w:rFonts w:hint="eastAsia" w:ascii="Times New Roman" w:hAnsi="Times New Roman" w:eastAsia="宋体" w:cs="Times New Roman"/>
                      <w:i w:val="0"/>
                      <w:iCs w:val="0"/>
                      <w:color w:val="auto"/>
                      <w:kern w:val="0"/>
                      <w:sz w:val="21"/>
                      <w:szCs w:val="21"/>
                      <w:u w:val="none"/>
                      <w:lang w:val="en-US" w:eastAsia="zh-CN" w:bidi="ar"/>
                    </w:rPr>
                    <w:t>kW</w:t>
                  </w:r>
                  <w:r>
                    <w:rPr>
                      <w:rFonts w:hint="default" w:ascii="Times New Roman" w:hAnsi="Times New Roman" w:eastAsia="宋体" w:cs="Times New Roman"/>
                      <w:i w:val="0"/>
                      <w:iCs w:val="0"/>
                      <w:color w:val="auto"/>
                      <w:kern w:val="0"/>
                      <w:sz w:val="21"/>
                      <w:szCs w:val="21"/>
                      <w:u w:val="none"/>
                      <w:lang w:val="en-US" w:eastAsia="zh-CN" w:bidi="ar"/>
                    </w:rPr>
                    <w:t>防爆电机，冷凝面积为加热面积的2.6倍</w:t>
                  </w:r>
                  <w:r>
                    <w:rPr>
                      <w:rFonts w:hint="eastAsia" w:cs="Times New Roman"/>
                      <w:i w:val="0"/>
                      <w:iCs w:val="0"/>
                      <w:color w:val="auto"/>
                      <w:kern w:val="0"/>
                      <w:sz w:val="21"/>
                      <w:szCs w:val="21"/>
                      <w:u w:val="none"/>
                      <w:lang w:val="en-US" w:eastAsia="zh-CN" w:bidi="ar"/>
                    </w:rPr>
                    <w:t>。</w:t>
                  </w:r>
                </w:p>
              </w:tc>
            </w:tr>
            <w:tr w14:paraId="095CAE4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26EFB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B9533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双联过滤器</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1E18E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/h</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1966D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696EB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42077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材质：SUS304，压力0.30mpa，过滤精度：200目</w:t>
                  </w:r>
                  <w:r>
                    <w:rPr>
                      <w:rFonts w:hint="eastAsia" w:cs="Times New Roman"/>
                      <w:i w:val="0"/>
                      <w:iCs w:val="0"/>
                      <w:color w:val="auto"/>
                      <w:kern w:val="0"/>
                      <w:sz w:val="21"/>
                      <w:szCs w:val="21"/>
                      <w:u w:val="none"/>
                      <w:lang w:val="en-US" w:eastAsia="zh-CN" w:bidi="ar"/>
                    </w:rPr>
                    <w:t>。</w:t>
                  </w:r>
                </w:p>
              </w:tc>
            </w:tr>
            <w:tr w14:paraId="4D28EDF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65523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1AB7D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自吸离心泵</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8754F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/h</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D6B93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88D8C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6A1631D">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材质：SUS304，扬程30m，吸程2m，功率4</w:t>
                  </w:r>
                  <w:r>
                    <w:rPr>
                      <w:rFonts w:hint="eastAsia" w:ascii="Times New Roman" w:hAnsi="Times New Roman" w:eastAsia="宋体" w:cs="Times New Roman"/>
                      <w:i w:val="0"/>
                      <w:iCs w:val="0"/>
                      <w:color w:val="auto"/>
                      <w:kern w:val="0"/>
                      <w:sz w:val="21"/>
                      <w:szCs w:val="21"/>
                      <w:u w:val="none"/>
                      <w:lang w:val="en-US" w:eastAsia="zh-CN" w:bidi="ar"/>
                    </w:rPr>
                    <w:t>kW</w:t>
                  </w:r>
                  <w:r>
                    <w:rPr>
                      <w:rFonts w:hint="default" w:ascii="Times New Roman" w:hAnsi="Times New Roman" w:eastAsia="宋体" w:cs="Times New Roman"/>
                      <w:i w:val="0"/>
                      <w:iCs w:val="0"/>
                      <w:color w:val="auto"/>
                      <w:kern w:val="0"/>
                      <w:sz w:val="21"/>
                      <w:szCs w:val="21"/>
                      <w:u w:val="none"/>
                      <w:lang w:val="en-US" w:eastAsia="zh-CN" w:bidi="ar"/>
                    </w:rPr>
                    <w:t>，防爆电机</w:t>
                  </w:r>
                  <w:r>
                    <w:rPr>
                      <w:rFonts w:hint="eastAsia" w:cs="Times New Roman"/>
                      <w:i w:val="0"/>
                      <w:iCs w:val="0"/>
                      <w:color w:val="auto"/>
                      <w:kern w:val="0"/>
                      <w:sz w:val="21"/>
                      <w:szCs w:val="21"/>
                      <w:u w:val="none"/>
                      <w:lang w:val="en-US" w:eastAsia="zh-CN" w:bidi="ar"/>
                    </w:rPr>
                    <w:t>。</w:t>
                  </w:r>
                </w:p>
              </w:tc>
            </w:tr>
            <w:tr w14:paraId="03587A5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FC1C3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386A4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药渣压榨机</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BC0D6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5t/h</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5EF56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9D542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F1CE5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材质：SUS304，功率15</w:t>
                  </w:r>
                  <w:r>
                    <w:rPr>
                      <w:rFonts w:hint="eastAsia" w:ascii="Times New Roman" w:hAnsi="Times New Roman" w:eastAsia="宋体" w:cs="Times New Roman"/>
                      <w:i w:val="0"/>
                      <w:iCs w:val="0"/>
                      <w:color w:val="auto"/>
                      <w:kern w:val="0"/>
                      <w:sz w:val="21"/>
                      <w:szCs w:val="21"/>
                      <w:u w:val="none"/>
                      <w:lang w:val="en-US" w:eastAsia="zh-CN" w:bidi="ar"/>
                    </w:rPr>
                    <w:t>kW</w:t>
                  </w:r>
                  <w:r>
                    <w:rPr>
                      <w:rFonts w:hint="default" w:ascii="Times New Roman" w:hAnsi="Times New Roman" w:eastAsia="宋体" w:cs="Times New Roman"/>
                      <w:i w:val="0"/>
                      <w:iCs w:val="0"/>
                      <w:color w:val="auto"/>
                      <w:kern w:val="0"/>
                      <w:sz w:val="21"/>
                      <w:szCs w:val="21"/>
                      <w:u w:val="none"/>
                      <w:lang w:val="en-US" w:eastAsia="zh-CN" w:bidi="ar"/>
                    </w:rPr>
                    <w:t>，防爆电机</w:t>
                  </w:r>
                  <w:r>
                    <w:rPr>
                      <w:rFonts w:hint="eastAsia" w:cs="Times New Roman"/>
                      <w:i w:val="0"/>
                      <w:iCs w:val="0"/>
                      <w:color w:val="auto"/>
                      <w:kern w:val="0"/>
                      <w:sz w:val="21"/>
                      <w:szCs w:val="21"/>
                      <w:u w:val="none"/>
                      <w:lang w:val="en-US" w:eastAsia="zh-CN" w:bidi="ar"/>
                    </w:rPr>
                    <w:t>。</w:t>
                  </w:r>
                </w:p>
              </w:tc>
            </w:tr>
            <w:tr w14:paraId="3675281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85D58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DB69F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压榨机轨道</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F62662E">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CE504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09546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42B1E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材质：道轨，含配件及安装</w:t>
                  </w:r>
                  <w:r>
                    <w:rPr>
                      <w:rFonts w:hint="eastAsia" w:cs="Times New Roman"/>
                      <w:i w:val="0"/>
                      <w:iCs w:val="0"/>
                      <w:color w:val="auto"/>
                      <w:kern w:val="0"/>
                      <w:sz w:val="21"/>
                      <w:szCs w:val="21"/>
                      <w:u w:val="none"/>
                      <w:lang w:val="en-US" w:eastAsia="zh-CN" w:bidi="ar"/>
                    </w:rPr>
                    <w:t>。</w:t>
                  </w:r>
                </w:p>
              </w:tc>
            </w:tr>
            <w:tr w14:paraId="470342A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016EE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92AE5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榨液收集罐</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49355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C3F7D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2A378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0F458C4">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材质：SUS304，卧式，配呼吸器、清洗球、电子液位计</w:t>
                  </w:r>
                  <w:r>
                    <w:rPr>
                      <w:rFonts w:hint="eastAsia" w:cs="Times New Roman"/>
                      <w:i w:val="0"/>
                      <w:iCs w:val="0"/>
                      <w:color w:val="auto"/>
                      <w:kern w:val="0"/>
                      <w:sz w:val="21"/>
                      <w:szCs w:val="21"/>
                      <w:u w:val="none"/>
                      <w:lang w:val="en-US" w:eastAsia="zh-CN" w:bidi="ar"/>
                    </w:rPr>
                    <w:t>。</w:t>
                  </w:r>
                </w:p>
              </w:tc>
            </w:tr>
            <w:tr w14:paraId="3C6639C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21E57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8105F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药渣收集斗</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F823C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0585C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51AC0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8E129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材质：SUS304，排渣口气动控制</w:t>
                  </w:r>
                  <w:r>
                    <w:rPr>
                      <w:rFonts w:hint="eastAsia" w:cs="Times New Roman"/>
                      <w:i w:val="0"/>
                      <w:iCs w:val="0"/>
                      <w:color w:val="auto"/>
                      <w:kern w:val="0"/>
                      <w:sz w:val="21"/>
                      <w:szCs w:val="21"/>
                      <w:u w:val="none"/>
                      <w:lang w:val="en-US" w:eastAsia="zh-CN" w:bidi="ar"/>
                    </w:rPr>
                    <w:t>。</w:t>
                  </w:r>
                </w:p>
              </w:tc>
            </w:tr>
            <w:tr w14:paraId="49C385A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5F99F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0A4E1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提取液贮罐</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BA969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6m</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353D3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E550B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693D9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材质：SUS304，配呼吸器、清洗球、电子液位计</w:t>
                  </w:r>
                  <w:r>
                    <w:rPr>
                      <w:rFonts w:hint="eastAsia" w:cs="Times New Roman"/>
                      <w:i w:val="0"/>
                      <w:iCs w:val="0"/>
                      <w:color w:val="auto"/>
                      <w:kern w:val="0"/>
                      <w:sz w:val="21"/>
                      <w:szCs w:val="21"/>
                      <w:u w:val="none"/>
                      <w:lang w:val="en-US" w:eastAsia="zh-CN" w:bidi="ar"/>
                    </w:rPr>
                    <w:t>。</w:t>
                  </w:r>
                </w:p>
              </w:tc>
            </w:tr>
            <w:tr w14:paraId="602A83AE">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54A48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CA5D1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单效蒸发浓缩器</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98712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2000kg/h</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1AB70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A7E98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CE870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材质：SUS304，压力0.3mpa，冷凝面积为加热面积的3倍</w:t>
                  </w:r>
                  <w:r>
                    <w:rPr>
                      <w:rFonts w:hint="eastAsia" w:cs="Times New Roman"/>
                      <w:i w:val="0"/>
                      <w:iCs w:val="0"/>
                      <w:color w:val="auto"/>
                      <w:kern w:val="0"/>
                      <w:sz w:val="21"/>
                      <w:szCs w:val="21"/>
                      <w:u w:val="none"/>
                      <w:lang w:val="en-US" w:eastAsia="zh-CN" w:bidi="ar"/>
                    </w:rPr>
                    <w:t>。</w:t>
                  </w:r>
                </w:p>
              </w:tc>
            </w:tr>
            <w:tr w14:paraId="350988C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6DA5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9D64F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浓缩器贮罐</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1038A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54E3C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D2E48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19C19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材质：SUS304，配呼吸器、清洗球、电子液位计</w:t>
                  </w:r>
                  <w:r>
                    <w:rPr>
                      <w:rFonts w:hint="eastAsia" w:cs="Times New Roman"/>
                      <w:i w:val="0"/>
                      <w:iCs w:val="0"/>
                      <w:color w:val="auto"/>
                      <w:kern w:val="0"/>
                      <w:sz w:val="21"/>
                      <w:szCs w:val="21"/>
                      <w:u w:val="none"/>
                      <w:lang w:val="en-US" w:eastAsia="zh-CN" w:bidi="ar"/>
                    </w:rPr>
                    <w:t>。</w:t>
                  </w:r>
                </w:p>
              </w:tc>
            </w:tr>
            <w:tr w14:paraId="56C16B9F">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7DAC8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EB712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药液泵</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F3999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/h</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E209E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6AD16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650AB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材质：SUS304，扬程30m，功率2.2</w:t>
                  </w:r>
                  <w:r>
                    <w:rPr>
                      <w:rFonts w:hint="eastAsia" w:ascii="Times New Roman" w:hAnsi="Times New Roman" w:eastAsia="宋体" w:cs="Times New Roman"/>
                      <w:i w:val="0"/>
                      <w:iCs w:val="0"/>
                      <w:color w:val="auto"/>
                      <w:kern w:val="0"/>
                      <w:sz w:val="21"/>
                      <w:szCs w:val="21"/>
                      <w:u w:val="none"/>
                      <w:lang w:val="en-US" w:eastAsia="zh-CN" w:bidi="ar"/>
                    </w:rPr>
                    <w:t>kW</w:t>
                  </w:r>
                  <w:r>
                    <w:rPr>
                      <w:rFonts w:hint="default" w:ascii="Times New Roman" w:hAnsi="Times New Roman" w:eastAsia="宋体" w:cs="Times New Roman"/>
                      <w:i w:val="0"/>
                      <w:iCs w:val="0"/>
                      <w:color w:val="auto"/>
                      <w:kern w:val="0"/>
                      <w:sz w:val="21"/>
                      <w:szCs w:val="21"/>
                      <w:u w:val="none"/>
                      <w:lang w:val="en-US" w:eastAsia="zh-CN" w:bidi="ar"/>
                    </w:rPr>
                    <w:t>，防爆电机</w:t>
                  </w:r>
                  <w:r>
                    <w:rPr>
                      <w:rFonts w:hint="eastAsia" w:cs="Times New Roman"/>
                      <w:i w:val="0"/>
                      <w:iCs w:val="0"/>
                      <w:color w:val="auto"/>
                      <w:kern w:val="0"/>
                      <w:sz w:val="21"/>
                      <w:szCs w:val="21"/>
                      <w:u w:val="none"/>
                      <w:lang w:val="en-US" w:eastAsia="zh-CN" w:bidi="ar"/>
                    </w:rPr>
                    <w:t>。</w:t>
                  </w:r>
                </w:p>
              </w:tc>
            </w:tr>
            <w:tr w14:paraId="3FDBA03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441D0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C9A18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沉淀罐</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57286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6247F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C3530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B0CFAF6">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w:t>
                  </w:r>
                  <w:r>
                    <w:rPr>
                      <w:rFonts w:hint="eastAsia" w:cs="Times New Roman"/>
                      <w:i w:val="0"/>
                      <w:iCs w:val="0"/>
                      <w:color w:val="auto"/>
                      <w:kern w:val="0"/>
                      <w:sz w:val="21"/>
                      <w:szCs w:val="21"/>
                      <w:u w:val="none"/>
                      <w:lang w:val="en-US" w:eastAsia="zh-CN" w:bidi="ar"/>
                    </w:rPr>
                    <w:t>4</w:t>
                  </w:r>
                  <w:r>
                    <w:rPr>
                      <w:rFonts w:hint="default" w:ascii="Times New Roman" w:hAnsi="Times New Roman" w:eastAsia="宋体" w:cs="Times New Roman"/>
                      <w:i w:val="0"/>
                      <w:iCs w:val="0"/>
                      <w:color w:val="auto"/>
                      <w:kern w:val="0"/>
                      <w:sz w:val="21"/>
                      <w:szCs w:val="21"/>
                      <w:u w:val="none"/>
                      <w:lang w:val="en-US" w:eastAsia="zh-CN" w:bidi="ar"/>
                    </w:rPr>
                    <w:t>，带搅拌，1.1KW，防爆电机，旋转放液，</w:t>
                  </w:r>
                  <w:r>
                    <w:rPr>
                      <w:rFonts w:hint="eastAsia" w:ascii="Times New Roman" w:hAnsi="Times New Roman" w:eastAsia="宋体" w:cs="Times New Roman"/>
                      <w:i w:val="0"/>
                      <w:iCs w:val="0"/>
                      <w:color w:val="auto"/>
                      <w:kern w:val="0"/>
                      <w:sz w:val="21"/>
                      <w:szCs w:val="21"/>
                      <w:u w:val="none"/>
                      <w:lang w:val="en-US" w:eastAsia="zh-CN" w:bidi="ar"/>
                    </w:rPr>
                    <w:t>条形</w:t>
                  </w:r>
                  <w:r>
                    <w:rPr>
                      <w:rFonts w:hint="default" w:ascii="Times New Roman" w:hAnsi="Times New Roman" w:eastAsia="宋体" w:cs="Times New Roman"/>
                      <w:i w:val="0"/>
                      <w:iCs w:val="0"/>
                      <w:color w:val="auto"/>
                      <w:kern w:val="0"/>
                      <w:sz w:val="21"/>
                      <w:szCs w:val="21"/>
                      <w:u w:val="none"/>
                      <w:lang w:val="en-US" w:eastAsia="zh-CN" w:bidi="ar"/>
                    </w:rPr>
                    <w:t>视镜、视灯</w:t>
                  </w:r>
                  <w:r>
                    <w:rPr>
                      <w:rFonts w:hint="eastAsia" w:cs="Times New Roman"/>
                      <w:i w:val="0"/>
                      <w:iCs w:val="0"/>
                      <w:color w:val="auto"/>
                      <w:kern w:val="0"/>
                      <w:sz w:val="21"/>
                      <w:szCs w:val="21"/>
                      <w:u w:val="none"/>
                      <w:lang w:val="en-US" w:eastAsia="zh-CN" w:bidi="ar"/>
                    </w:rPr>
                    <w:t>。</w:t>
                  </w:r>
                </w:p>
              </w:tc>
            </w:tr>
            <w:tr w14:paraId="3838CDC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2BDDB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13</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D35F1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沉淀罐操作平台</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81F0F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9.5m*6m*4m</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77BFF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57</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E8B59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B8EB7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材质：Q235，带围栏，爬梯</w:t>
                  </w:r>
                  <w:r>
                    <w:rPr>
                      <w:rFonts w:hint="eastAsia" w:cs="Times New Roman"/>
                      <w:i w:val="0"/>
                      <w:iCs w:val="0"/>
                      <w:color w:val="auto"/>
                      <w:kern w:val="0"/>
                      <w:sz w:val="21"/>
                      <w:szCs w:val="21"/>
                      <w:u w:val="none"/>
                      <w:lang w:val="en-US" w:eastAsia="zh-CN" w:bidi="ar"/>
                    </w:rPr>
                    <w:t>。</w:t>
                  </w:r>
                </w:p>
              </w:tc>
            </w:tr>
            <w:tr w14:paraId="148E8E8E">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D405E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439F4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上清液收集罐</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37CE6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2E0F3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F6678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C469A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配呼吸器、清洗球、电子液位计</w:t>
                  </w:r>
                  <w:r>
                    <w:rPr>
                      <w:rFonts w:hint="eastAsia" w:cs="Times New Roman"/>
                      <w:i w:val="0"/>
                      <w:iCs w:val="0"/>
                      <w:color w:val="auto"/>
                      <w:kern w:val="0"/>
                      <w:sz w:val="21"/>
                      <w:szCs w:val="21"/>
                      <w:u w:val="none"/>
                      <w:lang w:val="en-US" w:eastAsia="zh-CN" w:bidi="ar"/>
                    </w:rPr>
                    <w:t>。</w:t>
                  </w:r>
                </w:p>
              </w:tc>
            </w:tr>
            <w:tr w14:paraId="3A493241">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DF70B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01F49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平板离心机</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6B983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600型</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0F742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81227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439DC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材质：SUS304，变频调速</w:t>
                  </w:r>
                  <w:r>
                    <w:rPr>
                      <w:rFonts w:hint="eastAsia" w:cs="Times New Roman"/>
                      <w:i w:val="0"/>
                      <w:iCs w:val="0"/>
                      <w:color w:val="auto"/>
                      <w:kern w:val="0"/>
                      <w:sz w:val="21"/>
                      <w:szCs w:val="21"/>
                      <w:u w:val="none"/>
                      <w:lang w:val="en-US" w:eastAsia="zh-CN" w:bidi="ar"/>
                    </w:rPr>
                    <w:t>。</w:t>
                  </w:r>
                </w:p>
              </w:tc>
            </w:tr>
            <w:tr w14:paraId="52386983">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CBC02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9FA45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离心液收集罐</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E9E15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0.5m</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FF9BF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8A9D3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4EE8FC6">
                  <w:pPr>
                    <w:keepNext w:val="0"/>
                    <w:keepLines w:val="0"/>
                    <w:pageBreakBefore w:val="0"/>
                    <w:widowControl/>
                    <w:suppressLineNumbers w:val="0"/>
                    <w:kinsoku/>
                    <w:wordWrap/>
                    <w:overflowPunct/>
                    <w:topLinePunct w:val="0"/>
                    <w:autoSpaceDE/>
                    <w:autoSpaceDN/>
                    <w:bidi w:val="0"/>
                    <w:adjustRightInd w:val="0"/>
                    <w:snapToGrid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材质：SUS304，卧式，配呼吸器、清洗球、 电子液位计</w:t>
                  </w:r>
                  <w:r>
                    <w:rPr>
                      <w:rFonts w:hint="eastAsia" w:cs="Times New Roman"/>
                      <w:i w:val="0"/>
                      <w:iCs w:val="0"/>
                      <w:color w:val="auto"/>
                      <w:kern w:val="0"/>
                      <w:sz w:val="21"/>
                      <w:szCs w:val="21"/>
                      <w:u w:val="none"/>
                      <w:lang w:val="en-US" w:eastAsia="zh-CN" w:bidi="ar"/>
                    </w:rPr>
                    <w:t>。</w:t>
                  </w:r>
                </w:p>
              </w:tc>
            </w:tr>
            <w:tr w14:paraId="799F885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6DB4B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40BFA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真空减压浓缩器</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A7683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1000L</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39DBC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3391D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FF318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材质：SUS304，带搅拌，功率5.5</w:t>
                  </w:r>
                  <w:r>
                    <w:rPr>
                      <w:rFonts w:hint="eastAsia" w:ascii="Times New Roman" w:hAnsi="Times New Roman" w:eastAsia="宋体" w:cs="Times New Roman"/>
                      <w:i w:val="0"/>
                      <w:iCs w:val="0"/>
                      <w:color w:val="auto"/>
                      <w:kern w:val="0"/>
                      <w:sz w:val="21"/>
                      <w:szCs w:val="21"/>
                      <w:u w:val="none"/>
                      <w:lang w:val="en-US" w:eastAsia="zh-CN" w:bidi="ar"/>
                    </w:rPr>
                    <w:t>kW</w:t>
                  </w:r>
                  <w:r>
                    <w:rPr>
                      <w:rFonts w:hint="default" w:ascii="Times New Roman" w:hAnsi="Times New Roman" w:eastAsia="宋体" w:cs="Times New Roman"/>
                      <w:i w:val="0"/>
                      <w:iCs w:val="0"/>
                      <w:color w:val="auto"/>
                      <w:kern w:val="0"/>
                      <w:sz w:val="21"/>
                      <w:szCs w:val="21"/>
                      <w:u w:val="none"/>
                      <w:lang w:val="en-US" w:eastAsia="zh-CN" w:bidi="ar"/>
                    </w:rPr>
                    <w:t>防爆电机，冷凝面积为加热面积的2.6倍</w:t>
                  </w:r>
                  <w:r>
                    <w:rPr>
                      <w:rFonts w:hint="eastAsia" w:cs="Times New Roman"/>
                      <w:i w:val="0"/>
                      <w:iCs w:val="0"/>
                      <w:color w:val="auto"/>
                      <w:kern w:val="0"/>
                      <w:sz w:val="21"/>
                      <w:szCs w:val="21"/>
                      <w:u w:val="none"/>
                      <w:lang w:val="en-US" w:eastAsia="zh-CN" w:bidi="ar"/>
                    </w:rPr>
                    <w:t>。</w:t>
                  </w:r>
                </w:p>
              </w:tc>
            </w:tr>
            <w:tr w14:paraId="21A9045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5755A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066F1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浓缩液贮罐</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4EDFA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1.5</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7FF57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1AE41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A69AD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w:t>
                  </w:r>
                  <w:r>
                    <w:rPr>
                      <w:rFonts w:hint="eastAsia" w:cs="Times New Roman"/>
                      <w:i w:val="0"/>
                      <w:iCs w:val="0"/>
                      <w:color w:val="auto"/>
                      <w:kern w:val="0"/>
                      <w:sz w:val="21"/>
                      <w:szCs w:val="21"/>
                      <w:u w:val="none"/>
                      <w:lang w:val="en-US" w:eastAsia="zh-CN" w:bidi="ar"/>
                    </w:rPr>
                    <w:t>，</w:t>
                  </w:r>
                  <w:r>
                    <w:rPr>
                      <w:rFonts w:hint="default" w:ascii="Times New Roman" w:hAnsi="Times New Roman" w:eastAsia="宋体" w:cs="Times New Roman"/>
                      <w:i w:val="0"/>
                      <w:iCs w:val="0"/>
                      <w:color w:val="auto"/>
                      <w:kern w:val="0"/>
                      <w:sz w:val="21"/>
                      <w:szCs w:val="21"/>
                      <w:u w:val="none"/>
                      <w:lang w:val="en-US" w:eastAsia="zh-CN" w:bidi="ar"/>
                    </w:rPr>
                    <w:t>配呼吸器、清洗球、电子液位计</w:t>
                  </w:r>
                  <w:r>
                    <w:rPr>
                      <w:rFonts w:hint="eastAsia" w:cs="Times New Roman"/>
                      <w:i w:val="0"/>
                      <w:iCs w:val="0"/>
                      <w:color w:val="auto"/>
                      <w:kern w:val="0"/>
                      <w:sz w:val="21"/>
                      <w:szCs w:val="21"/>
                      <w:u w:val="none"/>
                      <w:lang w:val="en-US" w:eastAsia="zh-CN" w:bidi="ar"/>
                    </w:rPr>
                    <w:t>。</w:t>
                  </w:r>
                </w:p>
              </w:tc>
            </w:tr>
            <w:tr w14:paraId="4536C34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8B619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19</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7C5B9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水环式真空泵</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2AE30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ZBV5-161</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A00AB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026FE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E12FB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材质：组合件，功率15KW，极限真空度-0.098mpa</w:t>
                  </w:r>
                  <w:r>
                    <w:rPr>
                      <w:rFonts w:hint="eastAsia" w:cs="Times New Roman"/>
                      <w:i w:val="0"/>
                      <w:iCs w:val="0"/>
                      <w:color w:val="auto"/>
                      <w:kern w:val="0"/>
                      <w:sz w:val="21"/>
                      <w:szCs w:val="21"/>
                      <w:u w:val="none"/>
                      <w:lang w:val="en-US" w:eastAsia="zh-CN" w:bidi="ar"/>
                    </w:rPr>
                    <w:t>。</w:t>
                  </w:r>
                </w:p>
              </w:tc>
            </w:tr>
            <w:tr w14:paraId="6D8222D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5D0A8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14E65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空压机</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16BB7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/min</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9732D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459B0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2F11A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材质：组合，压力0.8mpa</w:t>
                  </w:r>
                  <w:r>
                    <w:rPr>
                      <w:rFonts w:hint="eastAsia" w:cs="Times New Roman"/>
                      <w:i w:val="0"/>
                      <w:iCs w:val="0"/>
                      <w:color w:val="auto"/>
                      <w:kern w:val="0"/>
                      <w:sz w:val="21"/>
                      <w:szCs w:val="21"/>
                      <w:u w:val="none"/>
                      <w:lang w:val="en-US" w:eastAsia="zh-CN" w:bidi="ar"/>
                    </w:rPr>
                    <w:t>。</w:t>
                  </w:r>
                </w:p>
              </w:tc>
            </w:tr>
            <w:tr w14:paraId="6C2BC16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E41AA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C1F46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药液管道</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E3139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DN40</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5663E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720</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CC501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4C6E4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材质：SUS304，卫生级，含配件和安装</w:t>
                  </w:r>
                  <w:r>
                    <w:rPr>
                      <w:rFonts w:hint="eastAsia" w:cs="Times New Roman"/>
                      <w:i w:val="0"/>
                      <w:iCs w:val="0"/>
                      <w:color w:val="auto"/>
                      <w:kern w:val="0"/>
                      <w:sz w:val="21"/>
                      <w:szCs w:val="21"/>
                      <w:u w:val="none"/>
                      <w:lang w:val="en-US" w:eastAsia="zh-CN" w:bidi="ar"/>
                    </w:rPr>
                    <w:t>。</w:t>
                  </w:r>
                </w:p>
              </w:tc>
            </w:tr>
            <w:tr w14:paraId="4C6E289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DBF57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22</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48211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清洗管道</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30BD0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DN25</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DFBE3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480</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9AEA4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C483D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材质：SUS304，卫生级，含配件和安装</w:t>
                  </w:r>
                  <w:r>
                    <w:rPr>
                      <w:rFonts w:hint="eastAsia" w:cs="Times New Roman"/>
                      <w:i w:val="0"/>
                      <w:iCs w:val="0"/>
                      <w:color w:val="auto"/>
                      <w:kern w:val="0"/>
                      <w:sz w:val="21"/>
                      <w:szCs w:val="21"/>
                      <w:u w:val="none"/>
                      <w:lang w:val="en-US" w:eastAsia="zh-CN" w:bidi="ar"/>
                    </w:rPr>
                    <w:t>。</w:t>
                  </w:r>
                </w:p>
              </w:tc>
            </w:tr>
            <w:tr w14:paraId="6451DC3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58578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DBADE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循环水管道</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2678B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DN100</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22D9E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200</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DA61B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7E6BA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材质：镀锌管，含配件和安装</w:t>
                  </w:r>
                  <w:r>
                    <w:rPr>
                      <w:rFonts w:hint="eastAsia" w:cs="Times New Roman"/>
                      <w:i w:val="0"/>
                      <w:iCs w:val="0"/>
                      <w:color w:val="auto"/>
                      <w:kern w:val="0"/>
                      <w:sz w:val="21"/>
                      <w:szCs w:val="21"/>
                      <w:u w:val="none"/>
                      <w:lang w:val="en-US" w:eastAsia="zh-CN" w:bidi="ar"/>
                    </w:rPr>
                    <w:t>。</w:t>
                  </w:r>
                </w:p>
              </w:tc>
            </w:tr>
            <w:tr w14:paraId="70724DA2">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209CE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00C81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真空管道</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CCE0F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DN80</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D8D7F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120</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3B998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F7556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材质：无缝管，含配件和安装</w:t>
                  </w:r>
                  <w:r>
                    <w:rPr>
                      <w:rFonts w:hint="eastAsia" w:cs="Times New Roman"/>
                      <w:i w:val="0"/>
                      <w:iCs w:val="0"/>
                      <w:color w:val="auto"/>
                      <w:kern w:val="0"/>
                      <w:sz w:val="21"/>
                      <w:szCs w:val="21"/>
                      <w:u w:val="none"/>
                      <w:lang w:val="en-US" w:eastAsia="zh-CN" w:bidi="ar"/>
                    </w:rPr>
                    <w:t>。</w:t>
                  </w:r>
                </w:p>
              </w:tc>
            </w:tr>
            <w:tr w14:paraId="67F847E6">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162E1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18DAD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车间内蒸汽管道</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DD358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DN50</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CF480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256</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CDCC5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E1261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材质：无缝管，含配件和安装</w:t>
                  </w:r>
                  <w:r>
                    <w:rPr>
                      <w:rFonts w:hint="eastAsia" w:cs="Times New Roman"/>
                      <w:i w:val="0"/>
                      <w:iCs w:val="0"/>
                      <w:color w:val="auto"/>
                      <w:kern w:val="0"/>
                      <w:sz w:val="21"/>
                      <w:szCs w:val="21"/>
                      <w:u w:val="none"/>
                      <w:lang w:val="en-US" w:eastAsia="zh-CN" w:bidi="ar"/>
                    </w:rPr>
                    <w:t>。</w:t>
                  </w:r>
                </w:p>
              </w:tc>
            </w:tr>
            <w:tr w14:paraId="102E6BB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210B6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26</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FD0E4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蒸汽管道保温</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C9D3C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DN50</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E2A49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256</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F147C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01D14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含材料和安装</w:t>
                  </w:r>
                  <w:r>
                    <w:rPr>
                      <w:rFonts w:hint="eastAsia" w:cs="Times New Roman"/>
                      <w:i w:val="0"/>
                      <w:iCs w:val="0"/>
                      <w:color w:val="auto"/>
                      <w:kern w:val="0"/>
                      <w:sz w:val="21"/>
                      <w:szCs w:val="21"/>
                      <w:u w:val="none"/>
                      <w:lang w:val="en-US" w:eastAsia="zh-CN" w:bidi="ar"/>
                    </w:rPr>
                    <w:t>。</w:t>
                  </w:r>
                </w:p>
              </w:tc>
            </w:tr>
            <w:tr w14:paraId="3187EBE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397" w:hRule="atLeast"/>
                <w:jc w:val="center"/>
              </w:trPr>
              <w:tc>
                <w:tcPr>
                  <w:tcW w:w="5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56209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27</w:t>
                  </w:r>
                </w:p>
              </w:tc>
              <w:tc>
                <w:tcPr>
                  <w:tcW w:w="158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34E78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压缩空气管道</w:t>
                  </w:r>
                </w:p>
              </w:tc>
              <w:tc>
                <w:tcPr>
                  <w:tcW w:w="135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E7E32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DN15</w:t>
                  </w:r>
                </w:p>
              </w:tc>
              <w:tc>
                <w:tcPr>
                  <w:tcW w:w="742"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59E05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96</w:t>
                  </w:r>
                </w:p>
              </w:tc>
              <w:tc>
                <w:tcPr>
                  <w:tcW w:w="54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EED75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件</w:t>
                  </w:r>
                </w:p>
              </w:tc>
              <w:tc>
                <w:tcPr>
                  <w:tcW w:w="34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F6F4C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材质：SUS304，含材料、配件和安装</w:t>
                  </w:r>
                  <w:r>
                    <w:rPr>
                      <w:rFonts w:hint="eastAsia" w:cs="Times New Roman"/>
                      <w:i w:val="0"/>
                      <w:iCs w:val="0"/>
                      <w:color w:val="auto"/>
                      <w:kern w:val="0"/>
                      <w:sz w:val="21"/>
                      <w:szCs w:val="21"/>
                      <w:u w:val="none"/>
                      <w:lang w:val="en-US" w:eastAsia="zh-CN" w:bidi="ar"/>
                    </w:rPr>
                    <w:t>。</w:t>
                  </w:r>
                </w:p>
              </w:tc>
            </w:tr>
          </w:tbl>
          <w:p w14:paraId="71F1048F">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 xml:space="preserve">表2-8 </w:t>
            </w:r>
            <w:r>
              <w:rPr>
                <w:rFonts w:hint="default" w:ascii="Times New Roman" w:hAnsi="Times New Roman" w:eastAsia="宋体" w:cs="Times New Roman"/>
                <w:color w:val="auto"/>
              </w:rPr>
              <w:t>锅炉系统设备清单</w:t>
            </w:r>
          </w:p>
          <w:tbl>
            <w:tblPr>
              <w:tblStyle w:val="7"/>
              <w:tblW w:w="4884" w:type="pct"/>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15"/>
              <w:gridCol w:w="2414"/>
              <w:gridCol w:w="1786"/>
              <w:gridCol w:w="1200"/>
              <w:gridCol w:w="1037"/>
              <w:gridCol w:w="899"/>
            </w:tblGrid>
            <w:tr w14:paraId="31E75544">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0" w:space="0"/>
                    <w:bottom w:val="single" w:color="auto" w:sz="4" w:space="0"/>
                    <w:right w:val="single" w:color="auto" w:sz="4" w:space="0"/>
                    <w:tl2br w:val="nil"/>
                    <w:tr2bl w:val="nil"/>
                  </w:tcBorders>
                  <w:shd w:val="clear" w:color="auto" w:fill="auto"/>
                  <w:vAlign w:val="center"/>
                </w:tcPr>
                <w:p w14:paraId="05E4FD63">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序号</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422B56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设备名称</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24E14D5">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型号规格</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0153233">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装机台数</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5CD736E">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单位</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BAE8BF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备注</w:t>
                  </w:r>
                </w:p>
              </w:tc>
            </w:tr>
            <w:tr w14:paraId="1F1ADFD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CEDC7C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C005F5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锅炉主机</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5161CF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WNS8-1.25-YQ</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D1468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BFBD3B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3DAD4A0">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03EB714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15C6F3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36DCB5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平台、扶梯、护栏</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307BBD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Φ25×3管子</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76D070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2E8E3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A89BBD5">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553621C1">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32C74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D065B7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一次仪表、阀门</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E56B2D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配套</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A5A66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2E8113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73B0E96">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30ED766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85E064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E6628B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电源板、控制柜</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08C3B7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X7</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A75BB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3FDD5C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D21DBEC">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5BD1330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BBB49C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88B48A0">
                  <w:pPr>
                    <w:keepNext w:val="0"/>
                    <w:keepLines w:val="0"/>
                    <w:widowControl/>
                    <w:suppressLineNumbers w:val="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天然气燃烧器（NOX&lt;30mg/</w:t>
                  </w:r>
                  <w:r>
                    <w:rPr>
                      <w:rFonts w:hint="default" w:ascii="Times New Roman" w:hAnsi="Times New Roman" w:eastAsia="宋体" w:cs="Times New Roman"/>
                      <w:i w:val="0"/>
                      <w:iCs w:val="0"/>
                      <w:color w:val="auto"/>
                      <w:kern w:val="0"/>
                      <w:sz w:val="21"/>
                      <w:szCs w:val="21"/>
                      <w:u w:val="none"/>
                      <w:vertAlign w:val="baseli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FE2D7B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HGW08</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8DC65E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4B4A3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FE16308">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63438DC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71B552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A69171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ND钢铝翘片冷凝器</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87293C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配套</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8F430C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897C83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3AECA13">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30DEE7B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C08F1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8B917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分汽缸</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299D41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中瑞</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431CE1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CCAF2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EF087F1">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00BAB80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63A8DE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4BB2CB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水处理器</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21D018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10t/h</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EDF76F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68D5FA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AA90026">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03D6E3C8">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12817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9</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6199CA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补水泵（一备一用）</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C39AF6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CDM10-17</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0572F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00816E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D44F8B3">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7D4BA43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BAF9B2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91DF2F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冷凝器循环泵</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033302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TD40-20Q/2</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0C4CD7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EB69AD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E464C66">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4C10023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86B6E0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70675C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取样器</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76C0EC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配套</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BDD298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DA1B7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AA06BAC">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1021521D">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78B5686">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12</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119518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color w:val="auto"/>
                      <w:kern w:val="0"/>
                      <w:szCs w:val="21"/>
                      <w:highlight w:val="none"/>
                      <w:lang w:val="en-US" w:eastAsia="zh-CN"/>
                    </w:rPr>
                    <w:t>软水机</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8C07D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84t/h</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6A4F10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541F37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712C59C">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26BC7419">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8229349">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13</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B0F864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软化水箱（不锈钢）</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A67956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3×3×2</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F94F8E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3CB6BF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台</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A941C33">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5E4CC590">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7" w:hRule="atLeast"/>
                <w:jc w:val="center"/>
              </w:trPr>
              <w:tc>
                <w:tcPr>
                  <w:tcW w:w="71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930357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14</w:t>
                  </w:r>
                </w:p>
              </w:tc>
              <w:tc>
                <w:tcPr>
                  <w:tcW w:w="24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9C7A1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lang w:val="en-US"/>
                    </w:rPr>
                  </w:pPr>
                  <w:r>
                    <w:rPr>
                      <w:rFonts w:hint="default" w:ascii="Times New Roman" w:hAnsi="Times New Roman" w:eastAsia="宋体" w:cs="Times New Roman"/>
                      <w:i w:val="0"/>
                      <w:iCs w:val="0"/>
                      <w:color w:val="auto"/>
                      <w:kern w:val="0"/>
                      <w:sz w:val="21"/>
                      <w:szCs w:val="21"/>
                      <w:u w:val="none"/>
                      <w:lang w:val="en-US" w:eastAsia="zh-CN" w:bidi="ar"/>
                    </w:rPr>
                    <w:t>钢制烟囱</w:t>
                  </w:r>
                </w:p>
              </w:tc>
              <w:tc>
                <w:tcPr>
                  <w:tcW w:w="178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4AD637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8m</w:t>
                  </w:r>
                </w:p>
              </w:tc>
              <w:tc>
                <w:tcPr>
                  <w:tcW w:w="120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29BEC3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w:t>
                  </w:r>
                </w:p>
              </w:tc>
              <w:tc>
                <w:tcPr>
                  <w:tcW w:w="1037"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CD8BC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套</w:t>
                  </w:r>
                </w:p>
              </w:tc>
              <w:tc>
                <w:tcPr>
                  <w:tcW w:w="89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0373C4F">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bl>
          <w:p w14:paraId="7B3DAA60">
            <w:pPr>
              <w:adjustRightInd w:val="0"/>
              <w:snapToGrid w:val="0"/>
              <w:spacing w:before="240" w:line="360" w:lineRule="auto"/>
              <w:ind w:firstLine="482" w:firstLineChars="20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6.厂区总平面布置</w:t>
            </w:r>
          </w:p>
          <w:p w14:paraId="474025C5">
            <w:pPr>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本项目总占地面积</w:t>
            </w:r>
            <w:r>
              <w:rPr>
                <w:rFonts w:hint="default" w:ascii="Times New Roman" w:hAnsi="Times New Roman" w:eastAsia="宋体" w:cs="Times New Roman"/>
                <w:bCs/>
                <w:color w:val="auto"/>
                <w:sz w:val="24"/>
                <w:lang w:eastAsia="zh-CN"/>
              </w:rPr>
              <w:t>11801.62</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2</w:t>
            </w:r>
            <w:r>
              <w:rPr>
                <w:rFonts w:hint="default" w:ascii="Times New Roman" w:hAnsi="Times New Roman" w:eastAsia="宋体" w:cs="Times New Roman"/>
                <w:bCs/>
                <w:color w:val="auto"/>
                <w:sz w:val="24"/>
              </w:rPr>
              <w:t>，</w:t>
            </w:r>
            <w:r>
              <w:rPr>
                <w:rFonts w:hint="default" w:ascii="Times New Roman" w:hAnsi="Times New Roman" w:eastAsia="宋体" w:cs="Times New Roman"/>
                <w:bCs/>
                <w:color w:val="auto"/>
                <w:sz w:val="24"/>
                <w:lang w:val="en-US" w:eastAsia="zh-CN"/>
              </w:rPr>
              <w:t>根据年产2000吨甘草提取物和年产6000万罐甘草露生产工艺流程要求，合理布置各车间，其中甘草深加工厂房（1#厂房）位于厂区西南侧，甘草露生产厂房（2#厂房）位于厂区西北侧，锅炉房位于厂区东北侧。主要道路宽6米，次要道路宽4米，保证厂区内环形运输及消防道路畅通。在厂区南侧设主要出入口一个，厂内道路兼作消防道路。厂区内建、构筑物及道路安全距离，均符合建筑防火设计规范要求。</w:t>
            </w:r>
          </w:p>
          <w:p w14:paraId="07BE17E5">
            <w:pPr>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本项目总平面布置基本合理。厂区平面示意图见附图2。</w:t>
            </w:r>
          </w:p>
          <w:p w14:paraId="22A758C7">
            <w:pPr>
              <w:adjustRightInd w:val="0"/>
              <w:snapToGrid w:val="0"/>
              <w:spacing w:line="360" w:lineRule="auto"/>
              <w:ind w:firstLine="482" w:firstLineChars="20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7.劳动定员及生产制度</w:t>
            </w:r>
          </w:p>
          <w:p w14:paraId="090580B2">
            <w:pPr>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w:t>
            </w:r>
            <w:r>
              <w:rPr>
                <w:rFonts w:hint="default" w:ascii="Times New Roman" w:hAnsi="Times New Roman" w:eastAsia="宋体" w:cs="Times New Roman"/>
                <w:bCs/>
                <w:color w:val="auto"/>
                <w:sz w:val="24"/>
                <w:lang w:val="en-US" w:eastAsia="zh-CN"/>
              </w:rPr>
              <w:t>劳动定员50人</w:t>
            </w:r>
            <w:r>
              <w:rPr>
                <w:rFonts w:hint="default" w:ascii="Times New Roman" w:hAnsi="Times New Roman" w:eastAsia="宋体" w:cs="Times New Roman"/>
                <w:bCs/>
                <w:color w:val="auto"/>
                <w:sz w:val="24"/>
              </w:rPr>
              <w:t>，年工作天数</w:t>
            </w:r>
            <w:r>
              <w:rPr>
                <w:rFonts w:hint="default" w:ascii="Times New Roman" w:hAnsi="Times New Roman" w:eastAsia="宋体" w:cs="Times New Roman"/>
                <w:bCs/>
                <w:color w:val="auto"/>
                <w:sz w:val="24"/>
                <w:lang w:eastAsia="zh-CN"/>
              </w:rPr>
              <w:t>为</w:t>
            </w:r>
            <w:r>
              <w:rPr>
                <w:rFonts w:hint="default" w:ascii="Times New Roman" w:hAnsi="Times New Roman" w:eastAsia="宋体" w:cs="Times New Roman"/>
                <w:bCs/>
                <w:color w:val="auto"/>
                <w:sz w:val="24"/>
                <w:lang w:val="en-US" w:eastAsia="zh-CN"/>
              </w:rPr>
              <w:t>3</w:t>
            </w:r>
            <w:r>
              <w:rPr>
                <w:rFonts w:hint="default" w:ascii="Times New Roman" w:hAnsi="Times New Roman" w:eastAsia="宋体" w:cs="Times New Roman"/>
                <w:bCs/>
                <w:color w:val="auto"/>
                <w:sz w:val="24"/>
              </w:rPr>
              <w:t>00天，</w:t>
            </w:r>
            <w:r>
              <w:rPr>
                <w:rFonts w:hint="default" w:ascii="Times New Roman" w:hAnsi="Times New Roman" w:eastAsia="宋体" w:cs="Times New Roman"/>
                <w:bCs/>
                <w:color w:val="auto"/>
                <w:sz w:val="24"/>
                <w:lang w:val="en-US" w:eastAsia="zh-CN"/>
              </w:rPr>
              <w:t>3班制，</w:t>
            </w:r>
            <w:r>
              <w:rPr>
                <w:rFonts w:hint="default" w:ascii="Times New Roman" w:hAnsi="Times New Roman" w:eastAsia="宋体" w:cs="Times New Roman"/>
                <w:bCs/>
                <w:color w:val="auto"/>
                <w:sz w:val="24"/>
              </w:rPr>
              <w:t>每</w:t>
            </w:r>
            <w:r>
              <w:rPr>
                <w:rFonts w:hint="default" w:ascii="Times New Roman" w:hAnsi="Times New Roman" w:eastAsia="宋体" w:cs="Times New Roman"/>
                <w:bCs/>
                <w:color w:val="auto"/>
                <w:sz w:val="24"/>
                <w:lang w:val="en-US" w:eastAsia="zh-CN"/>
              </w:rPr>
              <w:t>班</w:t>
            </w:r>
            <w:r>
              <w:rPr>
                <w:rFonts w:hint="default" w:ascii="Times New Roman" w:hAnsi="Times New Roman" w:eastAsia="宋体" w:cs="Times New Roman"/>
                <w:bCs/>
                <w:color w:val="auto"/>
                <w:sz w:val="24"/>
              </w:rPr>
              <w:t>工作8小时。</w:t>
            </w:r>
          </w:p>
          <w:p w14:paraId="3326DB32">
            <w:pPr>
              <w:adjustRightInd w:val="0"/>
              <w:snapToGrid w:val="0"/>
              <w:spacing w:line="360" w:lineRule="auto"/>
              <w:ind w:firstLine="482" w:firstLineChars="20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8.公用工程</w:t>
            </w:r>
          </w:p>
          <w:p w14:paraId="74B3DF48">
            <w:pPr>
              <w:adjustRightInd w:val="0"/>
              <w:snapToGrid w:val="0"/>
              <w:spacing w:line="360" w:lineRule="auto"/>
              <w:ind w:firstLine="482" w:firstLineChars="200"/>
              <w:rPr>
                <w:rFonts w:hint="eastAsia" w:ascii="Times New Roman" w:hAnsi="Times New Roman" w:eastAsia="宋体" w:cs="Times New Roman"/>
                <w:b/>
                <w:bCs w:val="0"/>
                <w:color w:val="auto"/>
                <w:sz w:val="24"/>
                <w:lang w:val="en-US" w:eastAsia="zh-CN"/>
              </w:rPr>
            </w:pPr>
            <w:r>
              <w:rPr>
                <w:rFonts w:hint="default" w:ascii="Times New Roman" w:hAnsi="Times New Roman" w:eastAsia="宋体" w:cs="Times New Roman"/>
                <w:b/>
                <w:bCs w:val="0"/>
                <w:color w:val="auto"/>
                <w:sz w:val="24"/>
                <w:lang w:val="en-US" w:eastAsia="zh-CN"/>
              </w:rPr>
              <w:t>8.1</w:t>
            </w:r>
            <w:r>
              <w:rPr>
                <w:rFonts w:hint="default" w:ascii="Times New Roman" w:hAnsi="Times New Roman" w:eastAsia="宋体" w:cs="Times New Roman"/>
                <w:b/>
                <w:bCs w:val="0"/>
                <w:color w:val="auto"/>
                <w:sz w:val="24"/>
              </w:rPr>
              <w:t>供水</w:t>
            </w:r>
            <w:r>
              <w:rPr>
                <w:rFonts w:hint="eastAsia" w:ascii="Times New Roman" w:hAnsi="Times New Roman" w:eastAsia="宋体" w:cs="Times New Roman"/>
                <w:b/>
                <w:bCs w:val="0"/>
                <w:color w:val="auto"/>
                <w:sz w:val="24"/>
                <w:lang w:val="en-US" w:eastAsia="zh-CN"/>
              </w:rPr>
              <w:t>工程</w:t>
            </w:r>
          </w:p>
          <w:p w14:paraId="3C75EA00">
            <w:pPr>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本项目用水由市政给水管网提供，用水包括生活用水和生产用水。具体用水量分析如下：</w:t>
            </w:r>
          </w:p>
          <w:p w14:paraId="68B10DA8">
            <w:pPr>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lang w:val="en-US" w:eastAsia="zh-CN"/>
              </w:rPr>
              <w:t>1</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生活用水</w:t>
            </w:r>
          </w:p>
          <w:p w14:paraId="0D0DC95D">
            <w:pPr>
              <w:adjustRightInd w:val="0"/>
              <w:snapToGrid w:val="0"/>
              <w:spacing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Cs/>
                <w:color w:val="auto"/>
                <w:sz w:val="24"/>
                <w:lang w:val="en-US" w:eastAsia="zh-CN"/>
              </w:rPr>
              <w:t>本项目劳动定员50人，</w:t>
            </w:r>
            <w:r>
              <w:rPr>
                <w:rFonts w:hint="default" w:ascii="Times New Roman" w:hAnsi="Times New Roman" w:eastAsia="宋体" w:cs="Times New Roman"/>
                <w:bCs/>
                <w:color w:val="auto"/>
                <w:sz w:val="24"/>
              </w:rPr>
              <w:t>年工作天数</w:t>
            </w:r>
            <w:r>
              <w:rPr>
                <w:rFonts w:hint="default" w:ascii="Times New Roman" w:hAnsi="Times New Roman" w:eastAsia="宋体" w:cs="Times New Roman"/>
                <w:bCs/>
                <w:color w:val="auto"/>
                <w:sz w:val="24"/>
                <w:lang w:eastAsia="zh-CN"/>
              </w:rPr>
              <w:t>为</w:t>
            </w:r>
            <w:r>
              <w:rPr>
                <w:rFonts w:hint="default" w:ascii="Times New Roman" w:hAnsi="Times New Roman" w:eastAsia="宋体" w:cs="Times New Roman"/>
                <w:bCs/>
                <w:color w:val="auto"/>
                <w:sz w:val="24"/>
                <w:lang w:val="en-US" w:eastAsia="zh-CN"/>
              </w:rPr>
              <w:t>3</w:t>
            </w:r>
            <w:r>
              <w:rPr>
                <w:rFonts w:hint="default" w:ascii="Times New Roman" w:hAnsi="Times New Roman" w:eastAsia="宋体" w:cs="Times New Roman"/>
                <w:bCs/>
                <w:color w:val="auto"/>
                <w:sz w:val="24"/>
              </w:rPr>
              <w:t>00天，根据《行业用水定额》（DB15/T385 2020），职工生活用水量按40L/人·d计，则用水量为</w:t>
            </w:r>
            <w:r>
              <w:rPr>
                <w:rFonts w:hint="default" w:ascii="Times New Roman" w:hAnsi="Times New Roman" w:eastAsia="宋体" w:cs="Times New Roman"/>
                <w:bCs/>
                <w:color w:val="auto"/>
                <w:sz w:val="24"/>
                <w:highlight w:val="none"/>
                <w:lang w:val="en-US" w:eastAsia="zh-CN"/>
              </w:rPr>
              <w:t>600</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3</w:t>
            </w:r>
            <w:r>
              <w:rPr>
                <w:rFonts w:hint="default" w:ascii="Times New Roman" w:hAnsi="Times New Roman" w:eastAsia="宋体" w:cs="Times New Roman"/>
                <w:bCs/>
                <w:color w:val="auto"/>
                <w:sz w:val="24"/>
              </w:rPr>
              <w:t>/a。</w:t>
            </w:r>
          </w:p>
          <w:p w14:paraId="3389D05B">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lang w:val="en-US" w:eastAsia="zh-CN"/>
              </w:rPr>
              <w:t>2</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生产用水</w:t>
            </w:r>
          </w:p>
          <w:p w14:paraId="490B0EFF">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生产用水主要为</w:t>
            </w:r>
            <w:r>
              <w:rPr>
                <w:rFonts w:hint="default" w:ascii="Times New Roman" w:hAnsi="Times New Roman" w:eastAsia="宋体" w:cs="Times New Roman"/>
                <w:bCs/>
                <w:color w:val="auto"/>
                <w:sz w:val="24"/>
                <w:lang w:val="en-US" w:eastAsia="zh-CN"/>
              </w:rPr>
              <w:t>甘草清洗用水、</w:t>
            </w:r>
            <w:r>
              <w:rPr>
                <w:rFonts w:hint="default" w:ascii="Times New Roman" w:hAnsi="Times New Roman" w:eastAsia="宋体" w:cs="Times New Roman"/>
                <w:bCs/>
                <w:color w:val="auto"/>
                <w:sz w:val="24"/>
              </w:rPr>
              <w:t>提取工艺用水、燃气锅炉用水、设备清洗用水、</w:t>
            </w:r>
            <w:r>
              <w:rPr>
                <w:rFonts w:hint="default" w:ascii="Times New Roman" w:hAnsi="Times New Roman" w:eastAsia="宋体" w:cs="Times New Roman"/>
                <w:bCs/>
                <w:color w:val="auto"/>
                <w:sz w:val="24"/>
                <w:highlight w:val="none"/>
              </w:rPr>
              <w:t>冷却用水</w:t>
            </w:r>
            <w:r>
              <w:rPr>
                <w:rFonts w:hint="default" w:ascii="Times New Roman" w:hAnsi="Times New Roman" w:eastAsia="宋体" w:cs="Times New Roman"/>
                <w:bCs/>
                <w:color w:val="auto"/>
                <w:sz w:val="24"/>
              </w:rPr>
              <w:t>和厂区</w:t>
            </w:r>
            <w:r>
              <w:rPr>
                <w:rFonts w:hint="default" w:ascii="Times New Roman" w:hAnsi="Times New Roman" w:eastAsia="宋体" w:cs="Times New Roman"/>
                <w:bCs/>
                <w:color w:val="auto"/>
                <w:sz w:val="24"/>
                <w:lang w:val="en-US" w:eastAsia="zh-CN"/>
              </w:rPr>
              <w:t>洒水</w:t>
            </w:r>
            <w:r>
              <w:rPr>
                <w:rFonts w:hint="default" w:ascii="Times New Roman" w:hAnsi="Times New Roman" w:eastAsia="宋体" w:cs="Times New Roman"/>
                <w:bCs/>
                <w:color w:val="auto"/>
                <w:sz w:val="24"/>
              </w:rPr>
              <w:t>抑尘</w:t>
            </w:r>
            <w:r>
              <w:rPr>
                <w:rFonts w:hint="eastAsia" w:cs="Times New Roman"/>
                <w:bCs/>
                <w:color w:val="auto"/>
                <w:sz w:val="24"/>
                <w:lang w:eastAsia="zh-CN"/>
              </w:rPr>
              <w:t>用水</w:t>
            </w:r>
            <w:r>
              <w:rPr>
                <w:rFonts w:hint="default" w:ascii="Times New Roman" w:hAnsi="Times New Roman" w:eastAsia="宋体" w:cs="Times New Roman"/>
                <w:bCs/>
                <w:color w:val="auto"/>
                <w:sz w:val="24"/>
              </w:rPr>
              <w:t>。</w:t>
            </w:r>
          </w:p>
          <w:p w14:paraId="4C7FB2C9">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①甘草清洗用水：甘草入场后首先进行清洗，根据建设单位提供资料，清洗用水量为2000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/a，其中</w:t>
            </w:r>
            <w:r>
              <w:rPr>
                <w:rFonts w:hint="default" w:ascii="Times New Roman" w:hAnsi="Times New Roman" w:eastAsia="宋体" w:cs="Times New Roman"/>
                <w:bCs/>
                <w:color w:val="auto"/>
                <w:sz w:val="24"/>
                <w:highlight w:val="none"/>
                <w:lang w:val="en-US" w:eastAsia="zh-CN"/>
              </w:rPr>
              <w:t>1990</w:t>
            </w:r>
            <w:r>
              <w:rPr>
                <w:rFonts w:hint="default" w:ascii="Times New Roman" w:hAnsi="Times New Roman" w:eastAsia="宋体" w:cs="Times New Roman"/>
                <w:bCs/>
                <w:color w:val="auto"/>
                <w:sz w:val="24"/>
                <w:highlight w:val="none"/>
                <w:vertAlign w:val="baseline"/>
                <w:lang w:val="en-US" w:eastAsia="zh-CN"/>
              </w:rPr>
              <w:t>m</w:t>
            </w:r>
            <w:r>
              <w:rPr>
                <w:rFonts w:hint="default" w:ascii="Times New Roman" w:hAnsi="Times New Roman" w:eastAsia="宋体"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w:t>
            </w:r>
            <w:r>
              <w:rPr>
                <w:rFonts w:hint="default" w:ascii="Times New Roman" w:hAnsi="Times New Roman" w:eastAsia="宋体" w:cs="Times New Roman"/>
                <w:bCs/>
                <w:color w:val="auto"/>
                <w:sz w:val="24"/>
                <w:lang w:val="en-US" w:eastAsia="zh-CN"/>
              </w:rPr>
              <w:t>为清洗水液沉降分离后的上清液，10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/a为新鲜水补水。</w:t>
            </w:r>
          </w:p>
          <w:p w14:paraId="465031CB">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②提取工艺用水：本项目提取工序按照1:6比例用水浸泡，清洗后甘草量为9990t/a，则提取工艺用水量为59940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/a，其中45490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/a为离心分离及真空浓缩工序产生的液体，14450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/a为新鲜水补水。</w:t>
            </w:r>
          </w:p>
          <w:p w14:paraId="16C5C625">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③燃气锅炉用水：燃气锅炉的给水量G=K</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D+Dp</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其中K富裕系数（可取1.1~1.15），D为燃气锅炉额定蒸发量（本项目为1台8t/h燃气锅炉，年工作7200h，计算得额定蒸发量为57600t/a），Dp为燃气锅炉的排污量。项目燃气锅炉排污量即燃气锅炉废水（包括排污水+软化处理废水），废水产污系数参照《排放源统计调查产排污核算方法和系数手册》中</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4430工业锅炉（热力生产和供应行业）行业系数手册中－工业废水量产污系数表</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中天然气全部类型锅炉（锅外水处理）－工业废水量产污系数13.56（锅炉排污水和软化处理废水）吨/万立方米－原料，本项目天然气用量为432万</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/a，即本项目燃气锅炉废水量为5858</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/a，本项目燃气锅炉富裕系数K按1.1计，计算可得燃气锅炉用水量为69804</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w:t>
            </w:r>
            <w:r>
              <w:rPr>
                <w:rFonts w:hint="default" w:ascii="Times New Roman" w:hAnsi="Times New Roman" w:eastAsia="宋体" w:cs="Times New Roman"/>
                <w:bCs/>
                <w:color w:val="auto"/>
                <w:sz w:val="24"/>
                <w:highlight w:val="none"/>
                <w:lang w:val="en-US" w:eastAsia="zh-CN"/>
              </w:rPr>
              <w:t>a，其中</w:t>
            </w:r>
            <w:r>
              <w:rPr>
                <w:rFonts w:hint="eastAsia" w:cs="Times New Roman"/>
                <w:bCs/>
                <w:color w:val="auto"/>
                <w:sz w:val="24"/>
                <w:highlight w:val="none"/>
                <w:lang w:val="en-US" w:eastAsia="zh-CN"/>
              </w:rPr>
              <w:t>25132</w:t>
            </w:r>
            <w:r>
              <w:rPr>
                <w:rFonts w:hint="default" w:ascii="Times New Roman" w:hAnsi="Times New Roman" w:eastAsia="宋体" w:cs="Times New Roman"/>
                <w:bCs/>
                <w:color w:val="auto"/>
                <w:sz w:val="24"/>
                <w:highlight w:val="none"/>
                <w:vertAlign w:val="baseline"/>
                <w:lang w:val="en-US" w:eastAsia="zh-CN"/>
              </w:rPr>
              <w:t>m</w:t>
            </w:r>
            <w:r>
              <w:rPr>
                <w:rFonts w:hint="default" w:ascii="Times New Roman" w:hAnsi="Times New Roman" w:eastAsia="宋体"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/a为蒸汽冷凝水回用水，</w:t>
            </w:r>
            <w:r>
              <w:rPr>
                <w:rFonts w:hint="eastAsia" w:cs="Times New Roman"/>
                <w:bCs/>
                <w:color w:val="auto"/>
                <w:sz w:val="24"/>
                <w:highlight w:val="none"/>
                <w:lang w:val="en-US" w:eastAsia="zh-CN"/>
              </w:rPr>
              <w:t>44672</w:t>
            </w:r>
            <w:r>
              <w:rPr>
                <w:rFonts w:hint="default" w:ascii="Times New Roman" w:hAnsi="Times New Roman" w:eastAsia="宋体" w:cs="Times New Roman"/>
                <w:bCs/>
                <w:color w:val="auto"/>
                <w:sz w:val="24"/>
                <w:highlight w:val="none"/>
                <w:vertAlign w:val="baseline"/>
                <w:lang w:val="en-US" w:eastAsia="zh-CN"/>
              </w:rPr>
              <w:t>m</w:t>
            </w:r>
            <w:r>
              <w:rPr>
                <w:rFonts w:hint="default" w:ascii="Times New Roman" w:hAnsi="Times New Roman" w:eastAsia="宋体"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lang w:val="en-US" w:eastAsia="zh-CN"/>
              </w:rPr>
              <w:t>/a为新鲜水补水。</w:t>
            </w:r>
          </w:p>
          <w:p w14:paraId="2634199F">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④循环冷却用水：冷却塔循环冷却用水量为130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/h，需要定期补充循环水，补水量为8320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w:t>
            </w:r>
            <w:r>
              <w:rPr>
                <w:rFonts w:hint="default" w:ascii="Times New Roman" w:hAnsi="Times New Roman" w:eastAsia="宋体" w:cs="Times New Roman"/>
                <w:bCs/>
                <w:color w:val="auto"/>
                <w:sz w:val="24"/>
                <w:highlight w:val="none"/>
                <w:lang w:val="en-US" w:eastAsia="zh-CN"/>
              </w:rPr>
              <w:t>，</w:t>
            </w:r>
            <w:r>
              <w:rPr>
                <w:rFonts w:hint="eastAsia" w:cs="Times New Roman"/>
                <w:bCs/>
                <w:color w:val="auto"/>
                <w:sz w:val="24"/>
                <w:highlight w:val="none"/>
                <w:lang w:val="en-US" w:eastAsia="zh-CN"/>
              </w:rPr>
              <w:t>全部</w:t>
            </w:r>
            <w:r>
              <w:rPr>
                <w:rFonts w:hint="default" w:ascii="Times New Roman" w:hAnsi="Times New Roman" w:eastAsia="宋体" w:cs="Times New Roman"/>
                <w:bCs/>
                <w:color w:val="auto"/>
                <w:sz w:val="24"/>
                <w:highlight w:val="none"/>
                <w:lang w:val="en-US" w:eastAsia="zh-CN"/>
              </w:rPr>
              <w:t>为蒸汽冷凝水回用水。</w:t>
            </w:r>
          </w:p>
          <w:p w14:paraId="0531597B">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⑤设备清洗用水：生产设备每15天清洗一次，共20次/年，每次用水量20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则清洗用水量为400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/a，全部采用蒸汽冷凝水回用水。</w:t>
            </w:r>
          </w:p>
          <w:p w14:paraId="67817163">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⑥厂区抑尘洒水：项目占地面积11801.62</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2</w:t>
            </w:r>
            <w:r>
              <w:rPr>
                <w:rFonts w:hint="default" w:ascii="Times New Roman" w:hAnsi="Times New Roman" w:eastAsia="宋体" w:cs="Times New Roman"/>
                <w:bCs/>
                <w:color w:val="auto"/>
                <w:sz w:val="24"/>
                <w:lang w:val="en-US" w:eastAsia="zh-CN"/>
              </w:rPr>
              <w:t>，抑尘用水定额按0.2L/</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2</w:t>
            </w:r>
            <w:r>
              <w:rPr>
                <w:rFonts w:hint="default" w:ascii="Times New Roman" w:hAnsi="Times New Roman" w:eastAsia="宋体" w:cs="Times New Roman"/>
                <w:bCs/>
                <w:color w:val="auto"/>
                <w:sz w:val="24"/>
                <w:lang w:val="en-US" w:eastAsia="zh-CN"/>
              </w:rPr>
              <w:t>·d计，则厂区洒水抑尘用水量为708</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/a，全部采用蒸汽冷凝水回用水。</w:t>
            </w:r>
          </w:p>
          <w:p w14:paraId="3F8A201F">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val="en-US" w:eastAsia="zh-CN"/>
              </w:rPr>
              <w:t>综上，</w:t>
            </w:r>
            <w:r>
              <w:rPr>
                <w:rFonts w:hint="default" w:ascii="Times New Roman" w:hAnsi="Times New Roman" w:eastAsia="宋体" w:cs="Times New Roman"/>
                <w:bCs/>
                <w:color w:val="auto"/>
                <w:sz w:val="24"/>
              </w:rPr>
              <w:t>厂区</w:t>
            </w:r>
            <w:r>
              <w:rPr>
                <w:rFonts w:hint="default" w:ascii="Times New Roman" w:hAnsi="Times New Roman" w:eastAsia="宋体" w:cs="Times New Roman"/>
                <w:bCs/>
                <w:color w:val="auto"/>
                <w:sz w:val="24"/>
                <w:lang w:val="en-US" w:eastAsia="zh-CN"/>
              </w:rPr>
              <w:t>新鲜</w:t>
            </w:r>
            <w:r>
              <w:rPr>
                <w:rFonts w:hint="default" w:ascii="Times New Roman" w:hAnsi="Times New Roman" w:eastAsia="宋体" w:cs="Times New Roman"/>
                <w:bCs/>
                <w:color w:val="auto"/>
                <w:sz w:val="24"/>
              </w:rPr>
              <w:t>用水量为</w:t>
            </w:r>
            <w:r>
              <w:rPr>
                <w:rFonts w:hint="default" w:ascii="Times New Roman" w:hAnsi="Times New Roman" w:eastAsia="宋体" w:cs="Times New Roman"/>
                <w:bCs/>
                <w:color w:val="auto"/>
                <w:sz w:val="24"/>
                <w:highlight w:val="none"/>
                <w:lang w:val="en-US" w:eastAsia="zh-CN"/>
              </w:rPr>
              <w:t>53874</w:t>
            </w:r>
            <w:r>
              <w:rPr>
                <w:rFonts w:hint="default" w:ascii="Times New Roman" w:hAnsi="Times New Roman" w:eastAsia="宋体" w:cs="Times New Roman"/>
                <w:bCs/>
                <w:color w:val="auto"/>
                <w:sz w:val="24"/>
                <w:highlight w:val="none"/>
                <w:vertAlign w:val="baseline"/>
                <w:lang w:eastAsia="zh-CN"/>
              </w:rPr>
              <w:t>m</w:t>
            </w:r>
            <w:r>
              <w:rPr>
                <w:rFonts w:hint="default" w:ascii="Times New Roman" w:hAnsi="Times New Roman" w:eastAsia="宋体" w:cs="Times New Roman"/>
                <w:bCs/>
                <w:color w:val="auto"/>
                <w:sz w:val="24"/>
                <w:highlight w:val="none"/>
                <w:vertAlign w:val="superscript"/>
                <w:lang w:eastAsia="zh-CN"/>
              </w:rPr>
              <w:t>3</w:t>
            </w:r>
            <w:r>
              <w:rPr>
                <w:rFonts w:hint="default" w:ascii="Times New Roman" w:hAnsi="Times New Roman" w:eastAsia="宋体" w:cs="Times New Roman"/>
                <w:bCs/>
                <w:color w:val="auto"/>
                <w:sz w:val="24"/>
                <w:highlight w:val="none"/>
              </w:rPr>
              <w:t>/a。</w:t>
            </w:r>
          </w:p>
          <w:p w14:paraId="30FF136A">
            <w:pPr>
              <w:adjustRightInd w:val="0"/>
              <w:snapToGrid w:val="0"/>
              <w:spacing w:line="360" w:lineRule="auto"/>
              <w:ind w:firstLine="482" w:firstLineChars="20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8.2</w:t>
            </w:r>
            <w:r>
              <w:rPr>
                <w:rFonts w:hint="default" w:ascii="Times New Roman" w:hAnsi="Times New Roman" w:eastAsia="宋体" w:cs="Times New Roman"/>
                <w:b/>
                <w:bCs w:val="0"/>
                <w:color w:val="auto"/>
                <w:sz w:val="24"/>
              </w:rPr>
              <w:t>排水工程</w:t>
            </w:r>
          </w:p>
          <w:p w14:paraId="0E8B1015">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lang w:val="en-US" w:eastAsia="zh-CN"/>
              </w:rPr>
              <w:t>1</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生活污水</w:t>
            </w:r>
          </w:p>
          <w:p w14:paraId="541F926F">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生活污水量按用水量的80%计算，则职工生活污水产生量为</w:t>
            </w:r>
            <w:r>
              <w:rPr>
                <w:rFonts w:hint="default" w:ascii="Times New Roman" w:hAnsi="Times New Roman" w:eastAsia="宋体" w:cs="Times New Roman"/>
                <w:bCs/>
                <w:color w:val="auto"/>
                <w:sz w:val="24"/>
                <w:lang w:val="en-US" w:eastAsia="zh-CN"/>
              </w:rPr>
              <w:t>480</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3</w:t>
            </w:r>
            <w:r>
              <w:rPr>
                <w:rFonts w:hint="default" w:ascii="Times New Roman" w:hAnsi="Times New Roman" w:eastAsia="宋体" w:cs="Times New Roman"/>
                <w:bCs/>
                <w:color w:val="auto"/>
                <w:sz w:val="24"/>
              </w:rPr>
              <w:t>/a。生活污水经化粪池收集后，</w:t>
            </w:r>
            <w:r>
              <w:rPr>
                <w:rFonts w:hint="default" w:ascii="Times New Roman" w:hAnsi="Times New Roman" w:eastAsia="宋体" w:cs="Times New Roman"/>
                <w:bCs/>
                <w:color w:val="auto"/>
                <w:sz w:val="24"/>
                <w:lang w:val="en-US" w:eastAsia="zh-CN"/>
              </w:rPr>
              <w:t>通过市政污水管网，排至杭锦旗锡尼镇污水处理厂</w:t>
            </w:r>
            <w:r>
              <w:rPr>
                <w:rFonts w:hint="default" w:ascii="Times New Roman" w:hAnsi="Times New Roman" w:eastAsia="宋体" w:cs="Times New Roman"/>
                <w:bCs/>
                <w:color w:val="auto"/>
                <w:sz w:val="24"/>
              </w:rPr>
              <w:t>。</w:t>
            </w:r>
          </w:p>
          <w:p w14:paraId="2B97A35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lang w:val="en-US" w:eastAsia="zh-CN"/>
              </w:rPr>
              <w:t>2</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生产废水</w:t>
            </w:r>
          </w:p>
          <w:p w14:paraId="3B6EEFB4">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①甘草清洗：清洗水液进行沉降分离，上清液回用于甘草清洗，清洗用水排水量为10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w:t>
            </w:r>
          </w:p>
          <w:p w14:paraId="5A86ACE3">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②提取工艺用水：除进入甘草废渣损耗外，其余均进入产品。</w:t>
            </w:r>
          </w:p>
          <w:p w14:paraId="0F6BF139">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③蒸汽冷凝水：项目生产过程中用蒸汽进行加热，蒸汽年用量为576400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/a，使用过程中约60%产生蒸汽冷凝水，蒸汽冷凝水产生量为34560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/a，损失量为23040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/a。蒸汽冷凝水</w:t>
            </w:r>
            <w:r>
              <w:rPr>
                <w:rFonts w:hint="eastAsia" w:cs="Times New Roman"/>
                <w:bCs/>
                <w:color w:val="auto"/>
                <w:sz w:val="24"/>
                <w:lang w:val="en-US" w:eastAsia="zh-CN"/>
              </w:rPr>
              <w:t>本质是软水，水质指标均可达到《城市污水再生利用 工业用水水质》（GB-T19923-2024）要求，</w:t>
            </w:r>
            <w:r>
              <w:rPr>
                <w:rFonts w:hint="default" w:ascii="Times New Roman" w:hAnsi="Times New Roman" w:eastAsia="宋体" w:cs="Times New Roman"/>
                <w:bCs/>
                <w:color w:val="auto"/>
                <w:sz w:val="24"/>
                <w:lang w:val="en-US" w:eastAsia="zh-CN"/>
              </w:rPr>
              <w:t>全部</w:t>
            </w:r>
            <w:r>
              <w:rPr>
                <w:rFonts w:hint="eastAsia" w:cs="Times New Roman"/>
                <w:bCs/>
                <w:color w:val="auto"/>
                <w:sz w:val="24"/>
                <w:lang w:val="en-US" w:eastAsia="zh-CN"/>
              </w:rPr>
              <w:t>回</w:t>
            </w:r>
            <w:r>
              <w:rPr>
                <w:rFonts w:hint="default" w:ascii="Times New Roman" w:hAnsi="Times New Roman" w:eastAsia="宋体" w:cs="Times New Roman"/>
                <w:bCs/>
                <w:color w:val="auto"/>
                <w:sz w:val="24"/>
                <w:lang w:val="en-US" w:eastAsia="zh-CN"/>
              </w:rPr>
              <w:t>用于</w:t>
            </w:r>
            <w:r>
              <w:rPr>
                <w:rFonts w:hint="eastAsia" w:cs="Times New Roman"/>
                <w:bCs/>
                <w:color w:val="auto"/>
                <w:sz w:val="24"/>
                <w:lang w:val="en-US" w:eastAsia="zh-CN"/>
              </w:rPr>
              <w:t>生产</w:t>
            </w:r>
            <w:r>
              <w:rPr>
                <w:rFonts w:hint="default" w:ascii="Times New Roman" w:hAnsi="Times New Roman" w:eastAsia="宋体" w:cs="Times New Roman"/>
                <w:bCs/>
                <w:color w:val="auto"/>
                <w:sz w:val="24"/>
                <w:lang w:val="en-US" w:eastAsia="zh-CN"/>
              </w:rPr>
              <w:t>，不外排。</w:t>
            </w:r>
          </w:p>
          <w:p w14:paraId="26121507">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④燃气锅炉排水主要为燃气锅炉排污水和软水制备废水，排放量为5858</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/a，排入市政污水管网</w:t>
            </w:r>
            <w:r>
              <w:rPr>
                <w:rFonts w:hint="eastAsia" w:cs="Times New Roman"/>
                <w:bCs/>
                <w:color w:val="auto"/>
                <w:sz w:val="24"/>
                <w:lang w:val="en-US" w:eastAsia="zh-CN"/>
              </w:rPr>
              <w:t>。</w:t>
            </w:r>
          </w:p>
          <w:p w14:paraId="11CE438E">
            <w:pPr>
              <w:adjustRightInd w:val="0"/>
              <w:snapToGrid w:val="0"/>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⑤设备清洗废水：设备清洗废水的产生量按用水量的90%计算，则清洗废水产生量为360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/a，排入市政污水管网。</w:t>
            </w:r>
          </w:p>
          <w:p w14:paraId="2772647F">
            <w:pPr>
              <w:autoSpaceDE w:val="0"/>
              <w:autoSpaceDN w:val="0"/>
              <w:adjustRightInd w:val="0"/>
              <w:snapToGrid w:val="0"/>
              <w:spacing w:line="360" w:lineRule="auto"/>
              <w:ind w:firstLine="480" w:firstLineChars="20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sz w:val="24"/>
              </w:rPr>
              <w:t>项目用排水情况具体见表2-</w:t>
            </w:r>
            <w:r>
              <w:rPr>
                <w:rFonts w:hint="default" w:ascii="Times New Roman" w:hAnsi="Times New Roman" w:eastAsia="宋体" w:cs="Times New Roman"/>
                <w:color w:val="auto"/>
                <w:sz w:val="24"/>
                <w:lang w:val="en-US" w:eastAsia="zh-CN"/>
              </w:rPr>
              <w:t>9</w:t>
            </w:r>
            <w:r>
              <w:rPr>
                <w:rFonts w:hint="default" w:ascii="Times New Roman" w:hAnsi="Times New Roman" w:eastAsia="宋体" w:cs="Times New Roman"/>
                <w:color w:val="auto"/>
                <w:sz w:val="24"/>
              </w:rPr>
              <w:t>，水平衡见图2-1</w:t>
            </w:r>
            <w:r>
              <w:rPr>
                <w:rFonts w:hint="eastAsia" w:cs="Times New Roman"/>
                <w:color w:val="auto"/>
                <w:sz w:val="24"/>
                <w:lang w:val="en-US" w:eastAsia="zh-CN"/>
              </w:rPr>
              <w:t>.</w:t>
            </w:r>
          </w:p>
          <w:p w14:paraId="21758B85">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表2-</w:t>
            </w:r>
            <w:r>
              <w:rPr>
                <w:rFonts w:hint="default" w:ascii="Times New Roman" w:hAnsi="Times New Roman" w:eastAsia="宋体" w:cs="Times New Roman"/>
                <w:color w:val="auto"/>
                <w:lang w:val="en-US" w:eastAsia="zh-CN"/>
              </w:rPr>
              <w:t>9</w:t>
            </w:r>
            <w:r>
              <w:rPr>
                <w:rFonts w:hint="default" w:ascii="Times New Roman" w:hAnsi="Times New Roman" w:eastAsia="宋体" w:cs="Times New Roman"/>
                <w:color w:val="auto"/>
              </w:rPr>
              <w:t xml:space="preserve"> 项目用排水情况一览表</w:t>
            </w:r>
          </w:p>
          <w:tbl>
            <w:tblPr>
              <w:tblStyle w:val="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Layout w:type="fixed"/>
              <w:tblCellMar>
                <w:top w:w="0" w:type="dxa"/>
                <w:left w:w="23" w:type="dxa"/>
                <w:bottom w:w="0" w:type="dxa"/>
                <w:right w:w="23" w:type="dxa"/>
              </w:tblCellMar>
            </w:tblPr>
            <w:tblGrid>
              <w:gridCol w:w="1345"/>
              <w:gridCol w:w="834"/>
              <w:gridCol w:w="897"/>
              <w:gridCol w:w="1255"/>
              <w:gridCol w:w="817"/>
              <w:gridCol w:w="990"/>
              <w:gridCol w:w="1171"/>
              <w:gridCol w:w="932"/>
            </w:tblGrid>
            <w:tr w14:paraId="6BB9F387">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vMerge w:val="restart"/>
                  <w:tcBorders>
                    <w:top w:val="single" w:color="auto" w:sz="4" w:space="0"/>
                    <w:left w:val="single" w:color="auto" w:sz="0" w:space="0"/>
                    <w:right w:val="single" w:color="auto" w:sz="4" w:space="0"/>
                    <w:tl2br w:val="nil"/>
                    <w:tr2bl w:val="nil"/>
                  </w:tcBorders>
                  <w:shd w:val="clear" w:color="auto" w:fill="auto"/>
                  <w:vAlign w:val="center"/>
                </w:tcPr>
                <w:p w14:paraId="5265C1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用水项目</w:t>
                  </w:r>
                </w:p>
              </w:tc>
              <w:tc>
                <w:tcPr>
                  <w:tcW w:w="2986" w:type="dxa"/>
                  <w:gridSpan w:val="3"/>
                  <w:tcBorders>
                    <w:top w:val="single" w:color="auto" w:sz="4" w:space="0"/>
                    <w:left w:val="single" w:color="auto" w:sz="4" w:space="0"/>
                    <w:right w:val="single" w:color="auto" w:sz="4" w:space="0"/>
                    <w:tl2br w:val="nil"/>
                    <w:tr2bl w:val="nil"/>
                  </w:tcBorders>
                  <w:shd w:val="clear" w:color="auto" w:fill="auto"/>
                  <w:noWrap/>
                  <w:vAlign w:val="center"/>
                </w:tcPr>
                <w:p w14:paraId="26B5F0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用水</w:t>
                  </w:r>
                </w:p>
              </w:tc>
              <w:tc>
                <w:tcPr>
                  <w:tcW w:w="817" w:type="dxa"/>
                  <w:vMerge w:val="restart"/>
                  <w:tcBorders>
                    <w:top w:val="single" w:color="auto" w:sz="4" w:space="0"/>
                    <w:left w:val="single" w:color="auto" w:sz="4" w:space="0"/>
                    <w:right w:val="single" w:color="auto" w:sz="4" w:space="0"/>
                    <w:tl2br w:val="nil"/>
                    <w:tr2bl w:val="nil"/>
                  </w:tcBorders>
                  <w:shd w:val="clear" w:color="auto" w:fill="auto"/>
                  <w:noWrap/>
                  <w:vAlign w:val="center"/>
                </w:tcPr>
                <w:p w14:paraId="5A3FD2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排污系数</w:t>
                  </w:r>
                </w:p>
              </w:tc>
              <w:tc>
                <w:tcPr>
                  <w:tcW w:w="2161" w:type="dxa"/>
                  <w:gridSpan w:val="2"/>
                  <w:tcBorders>
                    <w:top w:val="single" w:color="auto" w:sz="4" w:space="0"/>
                    <w:left w:val="single" w:color="auto" w:sz="4" w:space="0"/>
                    <w:right w:val="single" w:color="auto" w:sz="4" w:space="0"/>
                    <w:tl2br w:val="nil"/>
                    <w:tr2bl w:val="nil"/>
                  </w:tcBorders>
                  <w:shd w:val="clear" w:color="auto" w:fill="auto"/>
                  <w:noWrap/>
                  <w:vAlign w:val="center"/>
                </w:tcPr>
                <w:p w14:paraId="461016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废水</w:t>
                  </w:r>
                </w:p>
              </w:tc>
              <w:tc>
                <w:tcPr>
                  <w:tcW w:w="932" w:type="dxa"/>
                  <w:vMerge w:val="restart"/>
                  <w:tcBorders>
                    <w:top w:val="single" w:color="auto" w:sz="4" w:space="0"/>
                    <w:left w:val="single" w:color="auto" w:sz="4" w:space="0"/>
                    <w:right w:val="single" w:color="auto" w:sz="4" w:space="0"/>
                    <w:tl2br w:val="nil"/>
                    <w:tr2bl w:val="nil"/>
                  </w:tcBorders>
                  <w:shd w:val="clear" w:color="auto" w:fill="auto"/>
                  <w:noWrap/>
                  <w:vAlign w:val="center"/>
                </w:tcPr>
                <w:p w14:paraId="2304F1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lang w:val="en-US"/>
                    </w:rPr>
                  </w:pPr>
                  <w:r>
                    <w:rPr>
                      <w:rFonts w:hint="default" w:ascii="Times New Roman" w:hAnsi="Times New Roman" w:eastAsia="宋体" w:cs="Times New Roman"/>
                      <w:b/>
                      <w:bCs/>
                      <w:i w:val="0"/>
                      <w:iCs w:val="0"/>
                      <w:color w:val="auto"/>
                      <w:kern w:val="0"/>
                      <w:sz w:val="21"/>
                      <w:szCs w:val="21"/>
                      <w:u w:val="none"/>
                      <w:lang w:val="en-US" w:eastAsia="zh-CN" w:bidi="ar"/>
                    </w:rPr>
                    <w:t>损耗量（</w:t>
                  </w:r>
                  <w:r>
                    <w:rPr>
                      <w:rFonts w:hint="default" w:ascii="Times New Roman" w:hAnsi="Times New Roman" w:eastAsia="宋体" w:cs="Times New Roman"/>
                      <w:b/>
                      <w:bCs/>
                      <w:i w:val="0"/>
                      <w:iCs w:val="0"/>
                      <w:color w:val="auto"/>
                      <w:kern w:val="0"/>
                      <w:sz w:val="21"/>
                      <w:szCs w:val="21"/>
                      <w:u w:val="none"/>
                      <w:vertAlign w:val="baseline"/>
                      <w:lang w:val="en-US" w:eastAsia="zh-CN" w:bidi="ar"/>
                    </w:rPr>
                    <w:t>m</w:t>
                  </w:r>
                  <w:r>
                    <w:rPr>
                      <w:rFonts w:hint="default" w:ascii="Times New Roman" w:hAnsi="Times New Roman" w:eastAsia="宋体" w:cs="Times New Roman"/>
                      <w:b/>
                      <w:bCs/>
                      <w:i w:val="0"/>
                      <w:iCs w:val="0"/>
                      <w:color w:val="auto"/>
                      <w:kern w:val="0"/>
                      <w:sz w:val="21"/>
                      <w:szCs w:val="21"/>
                      <w:u w:val="none"/>
                      <w:vertAlign w:val="superscript"/>
                      <w:lang w:val="en-US" w:eastAsia="zh-CN" w:bidi="ar"/>
                    </w:rPr>
                    <w:t>3</w:t>
                  </w:r>
                  <w:r>
                    <w:rPr>
                      <w:rFonts w:hint="default" w:ascii="Times New Roman" w:hAnsi="Times New Roman" w:eastAsia="宋体" w:cs="Times New Roman"/>
                      <w:b/>
                      <w:bCs/>
                      <w:i w:val="0"/>
                      <w:iCs w:val="0"/>
                      <w:color w:val="auto"/>
                      <w:kern w:val="0"/>
                      <w:sz w:val="21"/>
                      <w:szCs w:val="21"/>
                      <w:u w:val="none"/>
                      <w:lang w:val="en-US" w:eastAsia="zh-CN" w:bidi="ar"/>
                    </w:rPr>
                    <w:t>/a）</w:t>
                  </w:r>
                </w:p>
              </w:tc>
            </w:tr>
            <w:tr w14:paraId="3BA3D733">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vMerge w:val="continue"/>
                  <w:tcBorders>
                    <w:left w:val="single" w:color="auto" w:sz="4" w:space="0"/>
                    <w:right w:val="single" w:color="auto" w:sz="4" w:space="0"/>
                    <w:tl2br w:val="nil"/>
                    <w:tr2bl w:val="nil"/>
                  </w:tcBorders>
                  <w:shd w:val="clear" w:color="auto" w:fill="auto"/>
                  <w:vAlign w:val="center"/>
                </w:tcPr>
                <w:p w14:paraId="78F753A6">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auto"/>
                      <w:sz w:val="21"/>
                      <w:szCs w:val="21"/>
                      <w:u w:val="none"/>
                    </w:rPr>
                  </w:pPr>
                </w:p>
              </w:tc>
              <w:tc>
                <w:tcPr>
                  <w:tcW w:w="834" w:type="dxa"/>
                  <w:tcBorders>
                    <w:left w:val="single" w:color="auto" w:sz="4" w:space="0"/>
                    <w:right w:val="single" w:color="auto" w:sz="4" w:space="0"/>
                    <w:tl2br w:val="nil"/>
                    <w:tr2bl w:val="nil"/>
                  </w:tcBorders>
                  <w:shd w:val="clear" w:color="auto" w:fill="auto"/>
                  <w:vAlign w:val="center"/>
                </w:tcPr>
                <w:p w14:paraId="25C606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新鲜水用水量（</w:t>
                  </w:r>
                  <w:r>
                    <w:rPr>
                      <w:rFonts w:hint="default" w:ascii="Times New Roman" w:hAnsi="Times New Roman" w:eastAsia="宋体" w:cs="Times New Roman"/>
                      <w:b/>
                      <w:bCs/>
                      <w:i w:val="0"/>
                      <w:iCs w:val="0"/>
                      <w:color w:val="auto"/>
                      <w:kern w:val="0"/>
                      <w:sz w:val="21"/>
                      <w:szCs w:val="21"/>
                      <w:u w:val="none"/>
                      <w:vertAlign w:val="baseline"/>
                      <w:lang w:val="en-US" w:eastAsia="zh-CN" w:bidi="ar"/>
                    </w:rPr>
                    <w:t>m</w:t>
                  </w:r>
                  <w:r>
                    <w:rPr>
                      <w:rFonts w:hint="default" w:ascii="Times New Roman" w:hAnsi="Times New Roman" w:eastAsia="宋体" w:cs="Times New Roman"/>
                      <w:b/>
                      <w:bCs/>
                      <w:i w:val="0"/>
                      <w:iCs w:val="0"/>
                      <w:color w:val="auto"/>
                      <w:kern w:val="0"/>
                      <w:sz w:val="21"/>
                      <w:szCs w:val="21"/>
                      <w:u w:val="none"/>
                      <w:vertAlign w:val="superscript"/>
                      <w:lang w:val="en-US" w:eastAsia="zh-CN" w:bidi="ar"/>
                    </w:rPr>
                    <w:t>3</w:t>
                  </w:r>
                  <w:r>
                    <w:rPr>
                      <w:rFonts w:hint="default" w:ascii="Times New Roman" w:hAnsi="Times New Roman" w:eastAsia="宋体" w:cs="Times New Roman"/>
                      <w:b/>
                      <w:bCs/>
                      <w:i w:val="0"/>
                      <w:iCs w:val="0"/>
                      <w:color w:val="auto"/>
                      <w:kern w:val="0"/>
                      <w:sz w:val="21"/>
                      <w:szCs w:val="21"/>
                      <w:u w:val="none"/>
                      <w:lang w:val="en-US" w:eastAsia="zh-CN" w:bidi="ar"/>
                    </w:rPr>
                    <w:t>/a）</w:t>
                  </w:r>
                </w:p>
              </w:tc>
              <w:tc>
                <w:tcPr>
                  <w:tcW w:w="897" w:type="dxa"/>
                  <w:tcBorders>
                    <w:left w:val="single" w:color="auto" w:sz="4" w:space="0"/>
                    <w:right w:val="single" w:color="auto" w:sz="4" w:space="0"/>
                    <w:tl2br w:val="nil"/>
                    <w:tr2bl w:val="nil"/>
                  </w:tcBorders>
                  <w:shd w:val="clear" w:color="auto" w:fill="auto"/>
                  <w:vAlign w:val="center"/>
                </w:tcPr>
                <w:p w14:paraId="4DB8E4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回用水</w:t>
                  </w:r>
                </w:p>
              </w:tc>
              <w:tc>
                <w:tcPr>
                  <w:tcW w:w="1255" w:type="dxa"/>
                  <w:tcBorders>
                    <w:left w:val="single" w:color="auto" w:sz="4" w:space="0"/>
                    <w:right w:val="single" w:color="auto" w:sz="4" w:space="0"/>
                    <w:tl2br w:val="nil"/>
                    <w:tr2bl w:val="nil"/>
                  </w:tcBorders>
                  <w:shd w:val="clear" w:color="auto" w:fill="auto"/>
                  <w:vAlign w:val="center"/>
                </w:tcPr>
                <w:p w14:paraId="7854A0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备注</w:t>
                  </w:r>
                </w:p>
              </w:tc>
              <w:tc>
                <w:tcPr>
                  <w:tcW w:w="817" w:type="dxa"/>
                  <w:vMerge w:val="continue"/>
                  <w:tcBorders>
                    <w:left w:val="single" w:color="auto" w:sz="4" w:space="0"/>
                    <w:right w:val="single" w:color="auto" w:sz="4" w:space="0"/>
                    <w:tl2br w:val="nil"/>
                    <w:tr2bl w:val="nil"/>
                  </w:tcBorders>
                  <w:shd w:val="clear" w:color="auto" w:fill="auto"/>
                  <w:vAlign w:val="center"/>
                </w:tcPr>
                <w:p w14:paraId="040EBB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p>
              </w:tc>
              <w:tc>
                <w:tcPr>
                  <w:tcW w:w="990" w:type="dxa"/>
                  <w:tcBorders>
                    <w:left w:val="single" w:color="auto" w:sz="4" w:space="0"/>
                    <w:right w:val="single" w:color="auto" w:sz="4" w:space="0"/>
                    <w:tl2br w:val="nil"/>
                    <w:tr2bl w:val="nil"/>
                  </w:tcBorders>
                  <w:shd w:val="clear" w:color="auto" w:fill="auto"/>
                  <w:vAlign w:val="center"/>
                </w:tcPr>
                <w:p w14:paraId="05CC6E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排水量（</w:t>
                  </w:r>
                  <w:r>
                    <w:rPr>
                      <w:rFonts w:hint="default" w:ascii="Times New Roman" w:hAnsi="Times New Roman" w:eastAsia="宋体" w:cs="Times New Roman"/>
                      <w:b/>
                      <w:bCs/>
                      <w:i w:val="0"/>
                      <w:iCs w:val="0"/>
                      <w:color w:val="auto"/>
                      <w:kern w:val="0"/>
                      <w:sz w:val="21"/>
                      <w:szCs w:val="21"/>
                      <w:u w:val="none"/>
                      <w:vertAlign w:val="baseline"/>
                      <w:lang w:val="en-US" w:eastAsia="zh-CN" w:bidi="ar"/>
                    </w:rPr>
                    <w:t>m</w:t>
                  </w:r>
                  <w:r>
                    <w:rPr>
                      <w:rFonts w:hint="default" w:ascii="Times New Roman" w:hAnsi="Times New Roman" w:eastAsia="宋体" w:cs="Times New Roman"/>
                      <w:b/>
                      <w:bCs/>
                      <w:i w:val="0"/>
                      <w:iCs w:val="0"/>
                      <w:color w:val="auto"/>
                      <w:kern w:val="0"/>
                      <w:sz w:val="21"/>
                      <w:szCs w:val="21"/>
                      <w:u w:val="none"/>
                      <w:vertAlign w:val="superscript"/>
                      <w:lang w:val="en-US" w:eastAsia="zh-CN" w:bidi="ar"/>
                    </w:rPr>
                    <w:t>3</w:t>
                  </w:r>
                  <w:r>
                    <w:rPr>
                      <w:rFonts w:hint="default" w:ascii="Times New Roman" w:hAnsi="Times New Roman" w:eastAsia="宋体" w:cs="Times New Roman"/>
                      <w:b/>
                      <w:bCs/>
                      <w:i w:val="0"/>
                      <w:iCs w:val="0"/>
                      <w:color w:val="auto"/>
                      <w:kern w:val="0"/>
                      <w:sz w:val="21"/>
                      <w:szCs w:val="21"/>
                      <w:u w:val="none"/>
                      <w:lang w:val="en-US" w:eastAsia="zh-CN" w:bidi="ar"/>
                    </w:rPr>
                    <w:t>/a）</w:t>
                  </w:r>
                </w:p>
              </w:tc>
              <w:tc>
                <w:tcPr>
                  <w:tcW w:w="1171" w:type="dxa"/>
                  <w:tcBorders>
                    <w:left w:val="single" w:color="auto" w:sz="4" w:space="0"/>
                    <w:right w:val="single" w:color="auto" w:sz="4" w:space="0"/>
                    <w:tl2br w:val="nil"/>
                    <w:tr2bl w:val="nil"/>
                  </w:tcBorders>
                  <w:shd w:val="clear" w:color="auto" w:fill="auto"/>
                  <w:vAlign w:val="center"/>
                </w:tcPr>
                <w:p w14:paraId="762CE3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备注</w:t>
                  </w:r>
                </w:p>
              </w:tc>
              <w:tc>
                <w:tcPr>
                  <w:tcW w:w="932" w:type="dxa"/>
                  <w:vMerge w:val="continue"/>
                  <w:tcBorders>
                    <w:left w:val="single" w:color="auto" w:sz="4" w:space="0"/>
                    <w:right w:val="single" w:color="auto" w:sz="4" w:space="0"/>
                    <w:tl2br w:val="nil"/>
                    <w:tr2bl w:val="nil"/>
                  </w:tcBorders>
                  <w:shd w:val="clear" w:color="auto" w:fill="auto"/>
                  <w:vAlign w:val="center"/>
                </w:tcPr>
                <w:p w14:paraId="2C3099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b/>
                      <w:bCs/>
                      <w:i w:val="0"/>
                      <w:iCs w:val="0"/>
                      <w:color w:val="auto"/>
                      <w:sz w:val="21"/>
                      <w:szCs w:val="21"/>
                      <w:u w:val="none"/>
                      <w:lang w:val="en-US"/>
                    </w:rPr>
                  </w:pPr>
                </w:p>
              </w:tc>
            </w:tr>
            <w:tr w14:paraId="23F626FA">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tcBorders>
                    <w:left w:val="single" w:color="auto" w:sz="4" w:space="0"/>
                    <w:right w:val="single" w:color="auto" w:sz="4" w:space="0"/>
                    <w:tl2br w:val="nil"/>
                    <w:tr2bl w:val="nil"/>
                  </w:tcBorders>
                  <w:shd w:val="clear" w:color="auto" w:fill="auto"/>
                  <w:vAlign w:val="center"/>
                </w:tcPr>
                <w:p w14:paraId="1D2A9D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生活用水</w:t>
                  </w:r>
                </w:p>
              </w:tc>
              <w:tc>
                <w:tcPr>
                  <w:tcW w:w="834" w:type="dxa"/>
                  <w:tcBorders>
                    <w:left w:val="single" w:color="auto" w:sz="4" w:space="0"/>
                    <w:right w:val="single" w:color="auto" w:sz="4" w:space="0"/>
                    <w:tl2br w:val="nil"/>
                    <w:tr2bl w:val="nil"/>
                  </w:tcBorders>
                  <w:shd w:val="clear" w:color="auto" w:fill="auto"/>
                  <w:vAlign w:val="center"/>
                </w:tcPr>
                <w:p w14:paraId="630FFE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600</w:t>
                  </w:r>
                </w:p>
              </w:tc>
              <w:tc>
                <w:tcPr>
                  <w:tcW w:w="897" w:type="dxa"/>
                  <w:tcBorders>
                    <w:left w:val="single" w:color="auto" w:sz="4" w:space="0"/>
                    <w:right w:val="single" w:color="auto" w:sz="4" w:space="0"/>
                    <w:tl2br w:val="nil"/>
                    <w:tr2bl w:val="nil"/>
                  </w:tcBorders>
                  <w:shd w:val="clear" w:color="auto" w:fill="auto"/>
                  <w:vAlign w:val="center"/>
                </w:tcPr>
                <w:p w14:paraId="05C54E96">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255" w:type="dxa"/>
                  <w:tcBorders>
                    <w:left w:val="single" w:color="auto" w:sz="4" w:space="0"/>
                    <w:right w:val="single" w:color="auto" w:sz="4" w:space="0"/>
                    <w:tl2br w:val="nil"/>
                    <w:tr2bl w:val="nil"/>
                  </w:tcBorders>
                  <w:shd w:val="clear" w:color="auto" w:fill="auto"/>
                  <w:vAlign w:val="center"/>
                </w:tcPr>
                <w:p w14:paraId="5C9BA078">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17" w:type="dxa"/>
                  <w:tcBorders>
                    <w:left w:val="single" w:color="auto" w:sz="4" w:space="0"/>
                    <w:right w:val="single" w:color="auto" w:sz="4" w:space="0"/>
                    <w:tl2br w:val="nil"/>
                    <w:tr2bl w:val="nil"/>
                  </w:tcBorders>
                  <w:shd w:val="clear" w:color="auto" w:fill="auto"/>
                  <w:vAlign w:val="center"/>
                </w:tcPr>
                <w:p w14:paraId="00FF43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0.8</w:t>
                  </w:r>
                </w:p>
              </w:tc>
              <w:tc>
                <w:tcPr>
                  <w:tcW w:w="990" w:type="dxa"/>
                  <w:tcBorders>
                    <w:left w:val="single" w:color="auto" w:sz="4" w:space="0"/>
                    <w:right w:val="single" w:color="auto" w:sz="4" w:space="0"/>
                    <w:tl2br w:val="nil"/>
                    <w:tr2bl w:val="nil"/>
                  </w:tcBorders>
                  <w:shd w:val="clear" w:color="auto" w:fill="auto"/>
                  <w:vAlign w:val="center"/>
                </w:tcPr>
                <w:p w14:paraId="731380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480</w:t>
                  </w:r>
                </w:p>
              </w:tc>
              <w:tc>
                <w:tcPr>
                  <w:tcW w:w="1171" w:type="dxa"/>
                  <w:tcBorders>
                    <w:left w:val="single" w:color="auto" w:sz="4" w:space="0"/>
                    <w:right w:val="single" w:color="auto" w:sz="4" w:space="0"/>
                    <w:tl2br w:val="nil"/>
                    <w:tr2bl w:val="nil"/>
                  </w:tcBorders>
                  <w:shd w:val="clear" w:color="auto" w:fill="auto"/>
                  <w:vAlign w:val="center"/>
                </w:tcPr>
                <w:p w14:paraId="0DF19BFE">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32" w:type="dxa"/>
                  <w:tcBorders>
                    <w:left w:val="single" w:color="auto" w:sz="4" w:space="0"/>
                    <w:right w:val="single" w:color="auto" w:sz="4" w:space="0"/>
                    <w:tl2br w:val="nil"/>
                    <w:tr2bl w:val="nil"/>
                  </w:tcBorders>
                  <w:shd w:val="clear" w:color="auto" w:fill="auto"/>
                  <w:vAlign w:val="center"/>
                </w:tcPr>
                <w:p w14:paraId="03D838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120</w:t>
                  </w:r>
                </w:p>
              </w:tc>
            </w:tr>
            <w:tr w14:paraId="776957B3">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tcBorders>
                    <w:left w:val="single" w:color="auto" w:sz="4" w:space="0"/>
                    <w:right w:val="single" w:color="auto" w:sz="4" w:space="0"/>
                    <w:tl2br w:val="nil"/>
                    <w:tr2bl w:val="nil"/>
                  </w:tcBorders>
                  <w:shd w:val="clear" w:color="auto" w:fill="auto"/>
                  <w:vAlign w:val="center"/>
                </w:tcPr>
                <w:p w14:paraId="01629B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甘草清洗用水</w:t>
                  </w:r>
                </w:p>
              </w:tc>
              <w:tc>
                <w:tcPr>
                  <w:tcW w:w="834" w:type="dxa"/>
                  <w:tcBorders>
                    <w:left w:val="single" w:color="auto" w:sz="4" w:space="0"/>
                    <w:right w:val="single" w:color="auto" w:sz="4" w:space="0"/>
                    <w:tl2br w:val="nil"/>
                    <w:tr2bl w:val="nil"/>
                  </w:tcBorders>
                  <w:shd w:val="clear" w:color="auto" w:fill="auto"/>
                  <w:vAlign w:val="center"/>
                </w:tcPr>
                <w:p w14:paraId="6CD4EA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897" w:type="dxa"/>
                  <w:tcBorders>
                    <w:left w:val="single" w:color="auto" w:sz="4" w:space="0"/>
                    <w:right w:val="single" w:color="auto" w:sz="4" w:space="0"/>
                    <w:tl2br w:val="nil"/>
                    <w:tr2bl w:val="nil"/>
                  </w:tcBorders>
                  <w:shd w:val="clear" w:color="auto" w:fill="auto"/>
                  <w:vAlign w:val="center"/>
                </w:tcPr>
                <w:p w14:paraId="44B76E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1990</w:t>
                  </w:r>
                </w:p>
              </w:tc>
              <w:tc>
                <w:tcPr>
                  <w:tcW w:w="1255" w:type="dxa"/>
                  <w:tcBorders>
                    <w:left w:val="single" w:color="auto" w:sz="4" w:space="0"/>
                    <w:right w:val="single" w:color="auto" w:sz="4" w:space="0"/>
                    <w:tl2br w:val="nil"/>
                    <w:tr2bl w:val="nil"/>
                  </w:tcBorders>
                  <w:shd w:val="clear" w:color="auto" w:fill="auto"/>
                  <w:vAlign w:val="center"/>
                </w:tcPr>
                <w:p w14:paraId="439C16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清洗废水上清液</w:t>
                  </w:r>
                </w:p>
              </w:tc>
              <w:tc>
                <w:tcPr>
                  <w:tcW w:w="817" w:type="dxa"/>
                  <w:tcBorders>
                    <w:left w:val="single" w:color="auto" w:sz="4" w:space="0"/>
                    <w:right w:val="single" w:color="auto" w:sz="4" w:space="0"/>
                    <w:tl2br w:val="nil"/>
                    <w:tr2bl w:val="nil"/>
                  </w:tcBorders>
                  <w:shd w:val="clear" w:color="auto" w:fill="auto"/>
                  <w:vAlign w:val="center"/>
                </w:tcPr>
                <w:p w14:paraId="64064260">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90" w:type="dxa"/>
                  <w:tcBorders>
                    <w:left w:val="single" w:color="auto" w:sz="4" w:space="0"/>
                    <w:right w:val="single" w:color="auto" w:sz="4" w:space="0"/>
                    <w:tl2br w:val="nil"/>
                    <w:tr2bl w:val="nil"/>
                  </w:tcBorders>
                  <w:shd w:val="clear" w:color="auto" w:fill="auto"/>
                  <w:vAlign w:val="center"/>
                </w:tcPr>
                <w:p w14:paraId="7F0311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c>
                <w:tcPr>
                  <w:tcW w:w="1171" w:type="dxa"/>
                  <w:tcBorders>
                    <w:left w:val="single" w:color="auto" w:sz="4" w:space="0"/>
                    <w:right w:val="single" w:color="auto" w:sz="4" w:space="0"/>
                    <w:tl2br w:val="nil"/>
                    <w:tr2bl w:val="nil"/>
                  </w:tcBorders>
                  <w:shd w:val="clear" w:color="auto" w:fill="auto"/>
                  <w:vAlign w:val="center"/>
                </w:tcPr>
                <w:p w14:paraId="1FB41BDC">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32" w:type="dxa"/>
                  <w:tcBorders>
                    <w:left w:val="single" w:color="auto" w:sz="4" w:space="0"/>
                    <w:right w:val="single" w:color="auto" w:sz="4" w:space="0"/>
                    <w:tl2br w:val="nil"/>
                    <w:tr2bl w:val="nil"/>
                  </w:tcBorders>
                  <w:shd w:val="clear" w:color="auto" w:fill="auto"/>
                  <w:vAlign w:val="center"/>
                </w:tcPr>
                <w:p w14:paraId="520762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w:t>
                  </w:r>
                </w:p>
              </w:tc>
            </w:tr>
            <w:tr w14:paraId="44698FDE">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tcBorders>
                    <w:left w:val="single" w:color="auto" w:sz="4" w:space="0"/>
                    <w:right w:val="single" w:color="auto" w:sz="4" w:space="0"/>
                    <w:tl2br w:val="nil"/>
                    <w:tr2bl w:val="nil"/>
                  </w:tcBorders>
                  <w:shd w:val="clear" w:color="auto" w:fill="auto"/>
                  <w:noWrap/>
                  <w:vAlign w:val="center"/>
                </w:tcPr>
                <w:p w14:paraId="63ACC0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提取工艺用水</w:t>
                  </w:r>
                </w:p>
              </w:tc>
              <w:tc>
                <w:tcPr>
                  <w:tcW w:w="834" w:type="dxa"/>
                  <w:tcBorders>
                    <w:left w:val="single" w:color="auto" w:sz="4" w:space="0"/>
                    <w:right w:val="single" w:color="auto" w:sz="4" w:space="0"/>
                    <w:tl2br w:val="nil"/>
                    <w:tr2bl w:val="nil"/>
                  </w:tcBorders>
                  <w:shd w:val="clear" w:color="auto" w:fill="auto"/>
                  <w:noWrap/>
                  <w:vAlign w:val="center"/>
                </w:tcPr>
                <w:p w14:paraId="6C5B6F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14450</w:t>
                  </w:r>
                </w:p>
              </w:tc>
              <w:tc>
                <w:tcPr>
                  <w:tcW w:w="897" w:type="dxa"/>
                  <w:tcBorders>
                    <w:left w:val="single" w:color="auto" w:sz="4" w:space="0"/>
                    <w:right w:val="single" w:color="auto" w:sz="4" w:space="0"/>
                    <w:tl2br w:val="nil"/>
                    <w:tr2bl w:val="nil"/>
                  </w:tcBorders>
                  <w:shd w:val="clear" w:color="auto" w:fill="auto"/>
                  <w:noWrap/>
                  <w:vAlign w:val="center"/>
                </w:tcPr>
                <w:p w14:paraId="69467C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45490</w:t>
                  </w:r>
                </w:p>
              </w:tc>
              <w:tc>
                <w:tcPr>
                  <w:tcW w:w="1255" w:type="dxa"/>
                  <w:tcBorders>
                    <w:left w:val="single" w:color="auto" w:sz="4" w:space="0"/>
                    <w:right w:val="single" w:color="auto" w:sz="4" w:space="0"/>
                    <w:tl2br w:val="nil"/>
                    <w:tr2bl w:val="nil"/>
                  </w:tcBorders>
                  <w:shd w:val="clear" w:color="auto" w:fill="auto"/>
                  <w:noWrap/>
                  <w:vAlign w:val="center"/>
                </w:tcPr>
                <w:p w14:paraId="1899F1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浓缩工序回用水</w:t>
                  </w:r>
                </w:p>
              </w:tc>
              <w:tc>
                <w:tcPr>
                  <w:tcW w:w="817" w:type="dxa"/>
                  <w:tcBorders>
                    <w:left w:val="single" w:color="auto" w:sz="4" w:space="0"/>
                    <w:right w:val="single" w:color="auto" w:sz="4" w:space="0"/>
                    <w:tl2br w:val="nil"/>
                    <w:tr2bl w:val="nil"/>
                  </w:tcBorders>
                  <w:shd w:val="clear" w:color="auto" w:fill="auto"/>
                  <w:noWrap/>
                  <w:vAlign w:val="center"/>
                </w:tcPr>
                <w:p w14:paraId="18AE0E1E">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90" w:type="dxa"/>
                  <w:tcBorders>
                    <w:left w:val="single" w:color="auto" w:sz="4" w:space="0"/>
                    <w:right w:val="single" w:color="auto" w:sz="4" w:space="0"/>
                    <w:tl2br w:val="nil"/>
                    <w:tr2bl w:val="nil"/>
                  </w:tcBorders>
                  <w:shd w:val="clear" w:color="auto" w:fill="auto"/>
                  <w:noWrap/>
                  <w:vAlign w:val="center"/>
                </w:tcPr>
                <w:p w14:paraId="4A278D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1171" w:type="dxa"/>
                  <w:tcBorders>
                    <w:left w:val="single" w:color="auto" w:sz="4" w:space="0"/>
                    <w:right w:val="single" w:color="auto" w:sz="4" w:space="0"/>
                    <w:tl2br w:val="nil"/>
                    <w:tr2bl w:val="nil"/>
                  </w:tcBorders>
                  <w:shd w:val="clear" w:color="auto" w:fill="auto"/>
                  <w:noWrap/>
                  <w:vAlign w:val="center"/>
                </w:tcPr>
                <w:p w14:paraId="405BFA42">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32" w:type="dxa"/>
                  <w:tcBorders>
                    <w:left w:val="single" w:color="auto" w:sz="4" w:space="0"/>
                    <w:right w:val="single" w:color="auto" w:sz="4" w:space="0"/>
                    <w:tl2br w:val="nil"/>
                    <w:tr2bl w:val="nil"/>
                  </w:tcBorders>
                  <w:shd w:val="clear" w:color="auto" w:fill="auto"/>
                  <w:vAlign w:val="center"/>
                </w:tcPr>
                <w:p w14:paraId="158B2E76">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0F9BFB04">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vMerge w:val="restart"/>
                  <w:tcBorders>
                    <w:left w:val="single" w:color="auto" w:sz="4" w:space="0"/>
                    <w:right w:val="single" w:color="auto" w:sz="4" w:space="0"/>
                    <w:tl2br w:val="nil"/>
                    <w:tr2bl w:val="nil"/>
                  </w:tcBorders>
                  <w:shd w:val="clear" w:color="auto" w:fill="auto"/>
                  <w:noWrap/>
                  <w:vAlign w:val="center"/>
                </w:tcPr>
                <w:p w14:paraId="7737C3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燃气锅炉用水</w:t>
                  </w:r>
                </w:p>
              </w:tc>
              <w:tc>
                <w:tcPr>
                  <w:tcW w:w="834" w:type="dxa"/>
                  <w:vMerge w:val="restart"/>
                  <w:tcBorders>
                    <w:left w:val="single" w:color="auto" w:sz="4" w:space="0"/>
                    <w:right w:val="single" w:color="auto" w:sz="4" w:space="0"/>
                    <w:tl2br w:val="nil"/>
                    <w:tr2bl w:val="nil"/>
                  </w:tcBorders>
                  <w:shd w:val="clear" w:color="auto" w:fill="auto"/>
                  <w:vAlign w:val="center"/>
                </w:tcPr>
                <w:p w14:paraId="1342881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 xml:space="preserve">44672 </w:t>
                  </w:r>
                </w:p>
              </w:tc>
              <w:tc>
                <w:tcPr>
                  <w:tcW w:w="897" w:type="dxa"/>
                  <w:vMerge w:val="restart"/>
                  <w:tcBorders>
                    <w:left w:val="single" w:color="auto" w:sz="4" w:space="0"/>
                    <w:right w:val="single" w:color="auto" w:sz="4" w:space="0"/>
                    <w:tl2br w:val="nil"/>
                    <w:tr2bl w:val="nil"/>
                  </w:tcBorders>
                  <w:shd w:val="clear" w:color="auto" w:fill="auto"/>
                  <w:vAlign w:val="center"/>
                </w:tcPr>
                <w:p w14:paraId="4F191E4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25132</w:t>
                  </w:r>
                </w:p>
              </w:tc>
              <w:tc>
                <w:tcPr>
                  <w:tcW w:w="1255" w:type="dxa"/>
                  <w:vMerge w:val="restart"/>
                  <w:tcBorders>
                    <w:left w:val="single" w:color="auto" w:sz="4" w:space="0"/>
                    <w:right w:val="single" w:color="auto" w:sz="4" w:space="0"/>
                    <w:tl2br w:val="nil"/>
                    <w:tr2bl w:val="nil"/>
                  </w:tcBorders>
                  <w:shd w:val="clear" w:color="auto" w:fill="auto"/>
                  <w:vAlign w:val="center"/>
                </w:tcPr>
                <w:p w14:paraId="3C89C952">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17" w:type="dxa"/>
                  <w:vMerge w:val="restart"/>
                  <w:tcBorders>
                    <w:left w:val="single" w:color="auto" w:sz="4" w:space="0"/>
                    <w:right w:val="single" w:color="auto" w:sz="4" w:space="0"/>
                    <w:tl2br w:val="nil"/>
                    <w:tr2bl w:val="nil"/>
                  </w:tcBorders>
                  <w:shd w:val="clear" w:color="auto" w:fill="auto"/>
                  <w:vAlign w:val="center"/>
                </w:tcPr>
                <w:p w14:paraId="789868F7">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90" w:type="dxa"/>
                  <w:tcBorders>
                    <w:left w:val="single" w:color="auto" w:sz="4" w:space="0"/>
                    <w:right w:val="single" w:color="auto" w:sz="4" w:space="0"/>
                    <w:tl2br w:val="nil"/>
                    <w:tr2bl w:val="nil"/>
                  </w:tcBorders>
                  <w:shd w:val="clear" w:color="auto" w:fill="auto"/>
                  <w:vAlign w:val="center"/>
                </w:tcPr>
                <w:p w14:paraId="0C343F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5858</w:t>
                  </w:r>
                </w:p>
              </w:tc>
              <w:tc>
                <w:tcPr>
                  <w:tcW w:w="1171" w:type="dxa"/>
                  <w:tcBorders>
                    <w:left w:val="single" w:color="auto" w:sz="4" w:space="0"/>
                    <w:right w:val="single" w:color="auto" w:sz="4" w:space="0"/>
                    <w:tl2br w:val="nil"/>
                    <w:tr2bl w:val="nil"/>
                  </w:tcBorders>
                  <w:shd w:val="clear" w:color="auto" w:fill="auto"/>
                  <w:vAlign w:val="center"/>
                </w:tcPr>
                <w:p w14:paraId="78D71D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锅炉排污水和软水制备废水</w:t>
                  </w:r>
                </w:p>
              </w:tc>
              <w:tc>
                <w:tcPr>
                  <w:tcW w:w="932" w:type="dxa"/>
                  <w:tcBorders>
                    <w:left w:val="single" w:color="auto" w:sz="4" w:space="0"/>
                    <w:right w:val="single" w:color="auto" w:sz="4" w:space="0"/>
                    <w:tl2br w:val="nil"/>
                    <w:tr2bl w:val="nil"/>
                  </w:tcBorders>
                  <w:shd w:val="clear" w:color="auto" w:fill="auto"/>
                  <w:vAlign w:val="center"/>
                </w:tcPr>
                <w:p w14:paraId="687D202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 xml:space="preserve">12204 </w:t>
                  </w:r>
                </w:p>
              </w:tc>
            </w:tr>
            <w:tr w14:paraId="191BDBBD">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vMerge w:val="continue"/>
                  <w:tcBorders>
                    <w:left w:val="single" w:color="auto" w:sz="4" w:space="0"/>
                    <w:right w:val="single" w:color="auto" w:sz="4" w:space="0"/>
                    <w:tl2br w:val="nil"/>
                    <w:tr2bl w:val="nil"/>
                  </w:tcBorders>
                  <w:shd w:val="clear" w:color="auto" w:fill="auto"/>
                  <w:noWrap/>
                  <w:vAlign w:val="center"/>
                </w:tcPr>
                <w:p w14:paraId="08531D62">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auto"/>
                      <w:sz w:val="21"/>
                      <w:szCs w:val="21"/>
                      <w:u w:val="none"/>
                    </w:rPr>
                  </w:pPr>
                </w:p>
              </w:tc>
              <w:tc>
                <w:tcPr>
                  <w:tcW w:w="834" w:type="dxa"/>
                  <w:vMerge w:val="continue"/>
                  <w:tcBorders>
                    <w:left w:val="single" w:color="auto" w:sz="4" w:space="0"/>
                    <w:right w:val="single" w:color="auto" w:sz="4" w:space="0"/>
                    <w:tl2br w:val="nil"/>
                    <w:tr2bl w:val="nil"/>
                  </w:tcBorders>
                  <w:shd w:val="clear" w:color="auto" w:fill="auto"/>
                  <w:vAlign w:val="center"/>
                </w:tcPr>
                <w:p w14:paraId="7BA354AF">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auto"/>
                      <w:sz w:val="21"/>
                      <w:szCs w:val="21"/>
                      <w:u w:val="none"/>
                    </w:rPr>
                  </w:pPr>
                </w:p>
              </w:tc>
              <w:tc>
                <w:tcPr>
                  <w:tcW w:w="897" w:type="dxa"/>
                  <w:vMerge w:val="continue"/>
                  <w:tcBorders>
                    <w:left w:val="single" w:color="auto" w:sz="4" w:space="0"/>
                    <w:right w:val="single" w:color="auto" w:sz="4" w:space="0"/>
                    <w:tl2br w:val="nil"/>
                    <w:tr2bl w:val="nil"/>
                  </w:tcBorders>
                  <w:shd w:val="clear" w:color="auto" w:fill="auto"/>
                  <w:vAlign w:val="center"/>
                </w:tcPr>
                <w:p w14:paraId="05983EAD">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auto"/>
                      <w:sz w:val="21"/>
                      <w:szCs w:val="21"/>
                      <w:u w:val="none"/>
                    </w:rPr>
                  </w:pPr>
                </w:p>
              </w:tc>
              <w:tc>
                <w:tcPr>
                  <w:tcW w:w="1255" w:type="dxa"/>
                  <w:vMerge w:val="continue"/>
                  <w:tcBorders>
                    <w:left w:val="single" w:color="auto" w:sz="4" w:space="0"/>
                    <w:right w:val="single" w:color="auto" w:sz="4" w:space="0"/>
                    <w:tl2br w:val="nil"/>
                    <w:tr2bl w:val="nil"/>
                  </w:tcBorders>
                  <w:shd w:val="clear" w:color="auto" w:fill="auto"/>
                  <w:vAlign w:val="center"/>
                </w:tcPr>
                <w:p w14:paraId="0DD3EC29">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auto"/>
                      <w:sz w:val="21"/>
                      <w:szCs w:val="21"/>
                      <w:u w:val="none"/>
                    </w:rPr>
                  </w:pPr>
                </w:p>
              </w:tc>
              <w:tc>
                <w:tcPr>
                  <w:tcW w:w="817" w:type="dxa"/>
                  <w:vMerge w:val="continue"/>
                  <w:tcBorders>
                    <w:left w:val="single" w:color="auto" w:sz="4" w:space="0"/>
                    <w:right w:val="single" w:color="auto" w:sz="4" w:space="0"/>
                    <w:tl2br w:val="nil"/>
                    <w:tr2bl w:val="nil"/>
                  </w:tcBorders>
                  <w:shd w:val="clear" w:color="auto" w:fill="auto"/>
                  <w:vAlign w:val="center"/>
                </w:tcPr>
                <w:p w14:paraId="6F8733A4">
                  <w:pPr>
                    <w:keepNext w:val="0"/>
                    <w:keepLines w:val="0"/>
                    <w:pageBreakBefore w:val="0"/>
                    <w:widowControl/>
                    <w:kinsoku/>
                    <w:wordWrap/>
                    <w:overflowPunct/>
                    <w:topLinePunct w:val="0"/>
                    <w:autoSpaceDE/>
                    <w:autoSpaceDN/>
                    <w:bidi w:val="0"/>
                    <w:adjustRightInd w:val="0"/>
                    <w:snapToGrid w:val="0"/>
                    <w:jc w:val="center"/>
                    <w:rPr>
                      <w:rFonts w:hint="default" w:ascii="Times New Roman" w:hAnsi="Times New Roman" w:eastAsia="宋体" w:cs="Times New Roman"/>
                      <w:i w:val="0"/>
                      <w:iCs w:val="0"/>
                      <w:color w:val="auto"/>
                      <w:sz w:val="21"/>
                      <w:szCs w:val="21"/>
                      <w:u w:val="none"/>
                    </w:rPr>
                  </w:pPr>
                </w:p>
              </w:tc>
              <w:tc>
                <w:tcPr>
                  <w:tcW w:w="990" w:type="dxa"/>
                  <w:tcBorders>
                    <w:left w:val="single" w:color="auto" w:sz="4" w:space="0"/>
                    <w:right w:val="single" w:color="auto" w:sz="4" w:space="0"/>
                    <w:tl2br w:val="nil"/>
                    <w:tr2bl w:val="nil"/>
                  </w:tcBorders>
                  <w:shd w:val="clear" w:color="auto" w:fill="auto"/>
                  <w:vAlign w:val="center"/>
                </w:tcPr>
                <w:p w14:paraId="28EAB1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34560</w:t>
                  </w:r>
                </w:p>
              </w:tc>
              <w:tc>
                <w:tcPr>
                  <w:tcW w:w="1171" w:type="dxa"/>
                  <w:tcBorders>
                    <w:left w:val="single" w:color="auto" w:sz="4" w:space="0"/>
                    <w:right w:val="single" w:color="auto" w:sz="4" w:space="0"/>
                    <w:tl2br w:val="nil"/>
                    <w:tr2bl w:val="nil"/>
                  </w:tcBorders>
                  <w:shd w:val="clear" w:color="auto" w:fill="auto"/>
                  <w:vAlign w:val="center"/>
                </w:tcPr>
                <w:p w14:paraId="7B56FD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蒸汽冷凝水</w:t>
                  </w:r>
                </w:p>
              </w:tc>
              <w:tc>
                <w:tcPr>
                  <w:tcW w:w="932" w:type="dxa"/>
                  <w:tcBorders>
                    <w:left w:val="single" w:color="auto" w:sz="4" w:space="0"/>
                    <w:right w:val="single" w:color="auto" w:sz="4" w:space="0"/>
                    <w:tl2br w:val="nil"/>
                    <w:tr2bl w:val="nil"/>
                  </w:tcBorders>
                  <w:shd w:val="clear" w:color="auto" w:fill="auto"/>
                  <w:vAlign w:val="center"/>
                </w:tcPr>
                <w:p w14:paraId="438BCE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23040</w:t>
                  </w:r>
                </w:p>
              </w:tc>
            </w:tr>
            <w:tr w14:paraId="3AC8493F">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tcBorders>
                    <w:left w:val="single" w:color="auto" w:sz="4" w:space="0"/>
                    <w:right w:val="single" w:color="auto" w:sz="4" w:space="0"/>
                    <w:tl2br w:val="nil"/>
                    <w:tr2bl w:val="nil"/>
                  </w:tcBorders>
                  <w:shd w:val="clear" w:color="auto" w:fill="auto"/>
                  <w:noWrap/>
                  <w:vAlign w:val="center"/>
                </w:tcPr>
                <w:p w14:paraId="055F13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循环冷却用水</w:t>
                  </w:r>
                </w:p>
              </w:tc>
              <w:tc>
                <w:tcPr>
                  <w:tcW w:w="834" w:type="dxa"/>
                  <w:tcBorders>
                    <w:left w:val="single" w:color="auto" w:sz="4" w:space="0"/>
                    <w:right w:val="single" w:color="auto" w:sz="4" w:space="0"/>
                    <w:tl2br w:val="nil"/>
                    <w:tr2bl w:val="nil"/>
                  </w:tcBorders>
                  <w:shd w:val="clear" w:color="auto" w:fill="auto"/>
                  <w:vAlign w:val="center"/>
                </w:tcPr>
                <w:p w14:paraId="7D0D0B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897" w:type="dxa"/>
                  <w:tcBorders>
                    <w:left w:val="single" w:color="auto" w:sz="4" w:space="0"/>
                    <w:right w:val="single" w:color="auto" w:sz="4" w:space="0"/>
                    <w:tl2br w:val="nil"/>
                    <w:tr2bl w:val="nil"/>
                  </w:tcBorders>
                  <w:shd w:val="clear" w:color="auto" w:fill="auto"/>
                  <w:noWrap/>
                  <w:vAlign w:val="center"/>
                </w:tcPr>
                <w:p w14:paraId="50B835E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8320</w:t>
                  </w:r>
                </w:p>
              </w:tc>
              <w:tc>
                <w:tcPr>
                  <w:tcW w:w="1255" w:type="dxa"/>
                  <w:tcBorders>
                    <w:left w:val="single" w:color="auto" w:sz="4" w:space="0"/>
                    <w:right w:val="single" w:color="auto" w:sz="4" w:space="0"/>
                    <w:tl2br w:val="nil"/>
                    <w:tr2bl w:val="nil"/>
                  </w:tcBorders>
                  <w:shd w:val="clear" w:color="auto" w:fill="auto"/>
                  <w:vAlign w:val="center"/>
                </w:tcPr>
                <w:p w14:paraId="7B991B2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ascii="宋体" w:hAnsi="宋体" w:eastAsia="宋体" w:cs="宋体"/>
                      <w:i w:val="0"/>
                      <w:iCs w:val="0"/>
                      <w:color w:val="auto"/>
                      <w:kern w:val="0"/>
                      <w:sz w:val="22"/>
                      <w:szCs w:val="22"/>
                      <w:u w:val="none"/>
                      <w:lang w:val="en-US" w:eastAsia="zh-CN" w:bidi="ar"/>
                    </w:rPr>
                    <w:t>冷凝水</w:t>
                  </w:r>
                </w:p>
              </w:tc>
              <w:tc>
                <w:tcPr>
                  <w:tcW w:w="817" w:type="dxa"/>
                  <w:tcBorders>
                    <w:left w:val="single" w:color="auto" w:sz="4" w:space="0"/>
                    <w:right w:val="single" w:color="auto" w:sz="4" w:space="0"/>
                    <w:tl2br w:val="nil"/>
                    <w:tr2bl w:val="nil"/>
                  </w:tcBorders>
                  <w:shd w:val="clear" w:color="auto" w:fill="auto"/>
                  <w:noWrap/>
                  <w:vAlign w:val="center"/>
                </w:tcPr>
                <w:p w14:paraId="21B57678">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90" w:type="dxa"/>
                  <w:tcBorders>
                    <w:left w:val="single" w:color="auto" w:sz="4" w:space="0"/>
                    <w:right w:val="single" w:color="auto" w:sz="4" w:space="0"/>
                    <w:tl2br w:val="nil"/>
                    <w:tr2bl w:val="nil"/>
                  </w:tcBorders>
                  <w:shd w:val="clear" w:color="auto" w:fill="auto"/>
                  <w:noWrap/>
                  <w:vAlign w:val="center"/>
                </w:tcPr>
                <w:p w14:paraId="764326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1171" w:type="dxa"/>
                  <w:tcBorders>
                    <w:left w:val="single" w:color="auto" w:sz="4" w:space="0"/>
                    <w:right w:val="single" w:color="auto" w:sz="4" w:space="0"/>
                    <w:tl2br w:val="nil"/>
                    <w:tr2bl w:val="nil"/>
                  </w:tcBorders>
                  <w:shd w:val="clear" w:color="auto" w:fill="auto"/>
                  <w:noWrap/>
                  <w:vAlign w:val="center"/>
                </w:tcPr>
                <w:p w14:paraId="7D24F0EF">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32" w:type="dxa"/>
                  <w:tcBorders>
                    <w:left w:val="single" w:color="auto" w:sz="4" w:space="0"/>
                    <w:right w:val="single" w:color="auto" w:sz="4" w:space="0"/>
                    <w:tl2br w:val="nil"/>
                    <w:tr2bl w:val="nil"/>
                  </w:tcBorders>
                  <w:shd w:val="clear" w:color="auto" w:fill="auto"/>
                  <w:noWrap/>
                  <w:vAlign w:val="center"/>
                </w:tcPr>
                <w:p w14:paraId="05E276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8320</w:t>
                  </w:r>
                </w:p>
              </w:tc>
            </w:tr>
            <w:tr w14:paraId="3CD1D711">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tcBorders>
                    <w:left w:val="single" w:color="auto" w:sz="4" w:space="0"/>
                    <w:right w:val="single" w:color="auto" w:sz="4" w:space="0"/>
                    <w:tl2br w:val="nil"/>
                    <w:tr2bl w:val="nil"/>
                  </w:tcBorders>
                  <w:shd w:val="clear" w:color="auto" w:fill="auto"/>
                  <w:noWrap/>
                  <w:vAlign w:val="center"/>
                </w:tcPr>
                <w:p w14:paraId="5BDF89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设备清洗用水</w:t>
                  </w:r>
                </w:p>
              </w:tc>
              <w:tc>
                <w:tcPr>
                  <w:tcW w:w="834" w:type="dxa"/>
                  <w:tcBorders>
                    <w:left w:val="single" w:color="auto" w:sz="4" w:space="0"/>
                    <w:right w:val="single" w:color="auto" w:sz="4" w:space="0"/>
                    <w:tl2br w:val="nil"/>
                    <w:tr2bl w:val="nil"/>
                  </w:tcBorders>
                  <w:shd w:val="clear" w:color="auto" w:fill="auto"/>
                  <w:vAlign w:val="center"/>
                </w:tcPr>
                <w:p w14:paraId="09306D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897" w:type="dxa"/>
                  <w:tcBorders>
                    <w:left w:val="single" w:color="auto" w:sz="4" w:space="0"/>
                    <w:right w:val="single" w:color="auto" w:sz="4" w:space="0"/>
                    <w:tl2br w:val="nil"/>
                    <w:tr2bl w:val="nil"/>
                  </w:tcBorders>
                  <w:shd w:val="clear" w:color="auto" w:fill="auto"/>
                  <w:vAlign w:val="center"/>
                </w:tcPr>
                <w:p w14:paraId="2C4F05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400</w:t>
                  </w:r>
                </w:p>
              </w:tc>
              <w:tc>
                <w:tcPr>
                  <w:tcW w:w="1255" w:type="dxa"/>
                  <w:tcBorders>
                    <w:left w:val="single" w:color="auto" w:sz="4" w:space="0"/>
                    <w:right w:val="single" w:color="auto" w:sz="4" w:space="0"/>
                    <w:tl2br w:val="nil"/>
                    <w:tr2bl w:val="nil"/>
                  </w:tcBorders>
                  <w:shd w:val="clear" w:color="auto" w:fill="auto"/>
                  <w:vAlign w:val="center"/>
                </w:tcPr>
                <w:p w14:paraId="7144EE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冷凝水</w:t>
                  </w:r>
                </w:p>
              </w:tc>
              <w:tc>
                <w:tcPr>
                  <w:tcW w:w="817" w:type="dxa"/>
                  <w:tcBorders>
                    <w:left w:val="single" w:color="auto" w:sz="4" w:space="0"/>
                    <w:right w:val="single" w:color="auto" w:sz="4" w:space="0"/>
                    <w:tl2br w:val="nil"/>
                    <w:tr2bl w:val="nil"/>
                  </w:tcBorders>
                  <w:shd w:val="clear" w:color="auto" w:fill="auto"/>
                  <w:vAlign w:val="center"/>
                </w:tcPr>
                <w:p w14:paraId="51F983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0.9</w:t>
                  </w:r>
                </w:p>
              </w:tc>
              <w:tc>
                <w:tcPr>
                  <w:tcW w:w="990" w:type="dxa"/>
                  <w:tcBorders>
                    <w:left w:val="single" w:color="auto" w:sz="4" w:space="0"/>
                    <w:right w:val="single" w:color="auto" w:sz="4" w:space="0"/>
                    <w:tl2br w:val="nil"/>
                    <w:tr2bl w:val="nil"/>
                  </w:tcBorders>
                  <w:shd w:val="clear" w:color="auto" w:fill="auto"/>
                  <w:vAlign w:val="center"/>
                </w:tcPr>
                <w:p w14:paraId="275EA3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360</w:t>
                  </w:r>
                </w:p>
              </w:tc>
              <w:tc>
                <w:tcPr>
                  <w:tcW w:w="1171" w:type="dxa"/>
                  <w:tcBorders>
                    <w:left w:val="single" w:color="auto" w:sz="4" w:space="0"/>
                    <w:right w:val="single" w:color="auto" w:sz="4" w:space="0"/>
                    <w:tl2br w:val="nil"/>
                    <w:tr2bl w:val="nil"/>
                  </w:tcBorders>
                  <w:shd w:val="clear" w:color="auto" w:fill="auto"/>
                  <w:noWrap/>
                  <w:vAlign w:val="center"/>
                </w:tcPr>
                <w:p w14:paraId="5F995C43">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32" w:type="dxa"/>
                  <w:tcBorders>
                    <w:left w:val="single" w:color="auto" w:sz="4" w:space="0"/>
                    <w:right w:val="single" w:color="auto" w:sz="4" w:space="0"/>
                    <w:tl2br w:val="nil"/>
                    <w:tr2bl w:val="nil"/>
                  </w:tcBorders>
                  <w:shd w:val="clear" w:color="auto" w:fill="auto"/>
                  <w:vAlign w:val="center"/>
                </w:tcPr>
                <w:p w14:paraId="5D4DC6E1">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603E1688">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tcBorders>
                    <w:left w:val="single" w:color="auto" w:sz="4" w:space="0"/>
                    <w:right w:val="single" w:color="auto" w:sz="4" w:space="0"/>
                    <w:tl2br w:val="nil"/>
                    <w:tr2bl w:val="nil"/>
                  </w:tcBorders>
                  <w:shd w:val="clear" w:color="auto" w:fill="auto"/>
                  <w:noWrap/>
                  <w:vAlign w:val="center"/>
                </w:tcPr>
                <w:p w14:paraId="0D8495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厂区抑尘洒水</w:t>
                  </w:r>
                </w:p>
              </w:tc>
              <w:tc>
                <w:tcPr>
                  <w:tcW w:w="834" w:type="dxa"/>
                  <w:tcBorders>
                    <w:left w:val="single" w:color="auto" w:sz="4" w:space="0"/>
                    <w:right w:val="single" w:color="auto" w:sz="4" w:space="0"/>
                    <w:tl2br w:val="nil"/>
                    <w:tr2bl w:val="nil"/>
                  </w:tcBorders>
                  <w:shd w:val="clear" w:color="auto" w:fill="auto"/>
                  <w:vAlign w:val="center"/>
                </w:tcPr>
                <w:p w14:paraId="7FC9A2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 xml:space="preserve">0 </w:t>
                  </w:r>
                </w:p>
              </w:tc>
              <w:tc>
                <w:tcPr>
                  <w:tcW w:w="897" w:type="dxa"/>
                  <w:tcBorders>
                    <w:left w:val="single" w:color="auto" w:sz="4" w:space="0"/>
                    <w:right w:val="single" w:color="auto" w:sz="4" w:space="0"/>
                    <w:tl2br w:val="nil"/>
                    <w:tr2bl w:val="nil"/>
                  </w:tcBorders>
                  <w:shd w:val="clear" w:color="auto" w:fill="auto"/>
                  <w:vAlign w:val="center"/>
                </w:tcPr>
                <w:p w14:paraId="2B3A1A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708</w:t>
                  </w:r>
                </w:p>
              </w:tc>
              <w:tc>
                <w:tcPr>
                  <w:tcW w:w="1255" w:type="dxa"/>
                  <w:tcBorders>
                    <w:left w:val="single" w:color="auto" w:sz="4" w:space="0"/>
                    <w:right w:val="single" w:color="auto" w:sz="4" w:space="0"/>
                    <w:tl2br w:val="nil"/>
                    <w:tr2bl w:val="nil"/>
                  </w:tcBorders>
                  <w:shd w:val="clear" w:color="auto" w:fill="auto"/>
                  <w:vAlign w:val="center"/>
                </w:tcPr>
                <w:p w14:paraId="0F6559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冷凝水</w:t>
                  </w:r>
                </w:p>
              </w:tc>
              <w:tc>
                <w:tcPr>
                  <w:tcW w:w="817" w:type="dxa"/>
                  <w:tcBorders>
                    <w:left w:val="single" w:color="auto" w:sz="4" w:space="0"/>
                    <w:right w:val="single" w:color="auto" w:sz="4" w:space="0"/>
                    <w:tl2br w:val="nil"/>
                    <w:tr2bl w:val="nil"/>
                  </w:tcBorders>
                  <w:shd w:val="clear" w:color="auto" w:fill="auto"/>
                  <w:vAlign w:val="center"/>
                </w:tcPr>
                <w:p w14:paraId="1AB11DFD">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90" w:type="dxa"/>
                  <w:tcBorders>
                    <w:left w:val="single" w:color="auto" w:sz="4" w:space="0"/>
                    <w:right w:val="single" w:color="auto" w:sz="4" w:space="0"/>
                    <w:tl2br w:val="nil"/>
                    <w:tr2bl w:val="nil"/>
                  </w:tcBorders>
                  <w:shd w:val="clear" w:color="auto" w:fill="auto"/>
                  <w:vAlign w:val="center"/>
                </w:tcPr>
                <w:p w14:paraId="5631F3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0</w:t>
                  </w:r>
                </w:p>
              </w:tc>
              <w:tc>
                <w:tcPr>
                  <w:tcW w:w="1171" w:type="dxa"/>
                  <w:tcBorders>
                    <w:left w:val="single" w:color="auto" w:sz="4" w:space="0"/>
                    <w:right w:val="single" w:color="auto" w:sz="4" w:space="0"/>
                    <w:tl2br w:val="nil"/>
                    <w:tr2bl w:val="nil"/>
                  </w:tcBorders>
                  <w:shd w:val="clear" w:color="auto" w:fill="auto"/>
                  <w:vAlign w:val="center"/>
                </w:tcPr>
                <w:p w14:paraId="71F17AC8">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32" w:type="dxa"/>
                  <w:tcBorders>
                    <w:left w:val="single" w:color="auto" w:sz="4" w:space="0"/>
                    <w:right w:val="single" w:color="auto" w:sz="4" w:space="0"/>
                    <w:tl2br w:val="nil"/>
                    <w:tr2bl w:val="nil"/>
                  </w:tcBorders>
                  <w:shd w:val="clear" w:color="auto" w:fill="auto"/>
                  <w:vAlign w:val="center"/>
                </w:tcPr>
                <w:p w14:paraId="037D4046">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r w14:paraId="1CB37B48">
              <w:tblPrEx>
                <w:tblBorders>
                  <w:top w:val="single" w:color="auto" w:sz="12" w:space="0"/>
                  <w:left w:val="none" w:color="auto" w:sz="0" w:space="0"/>
                  <w:bottom w:val="single" w:color="auto" w:sz="12" w:space="0"/>
                  <w:right w:val="none" w:color="auto" w:sz="0" w:space="0"/>
                  <w:insideH w:val="single" w:color="auto" w:sz="4" w:space="0"/>
                  <w:insideV w:val="single" w:color="000000" w:sz="4" w:space="0"/>
                </w:tblBorders>
                <w:shd w:val="clear" w:color="auto" w:fill="auto"/>
                <w:tblCellMar>
                  <w:top w:w="0" w:type="dxa"/>
                  <w:left w:w="23" w:type="dxa"/>
                  <w:bottom w:w="0" w:type="dxa"/>
                  <w:right w:w="23" w:type="dxa"/>
                </w:tblCellMar>
              </w:tblPrEx>
              <w:trPr>
                <w:trHeight w:val="397" w:hRule="atLeast"/>
                <w:jc w:val="center"/>
              </w:trPr>
              <w:tc>
                <w:tcPr>
                  <w:tcW w:w="1345" w:type="dxa"/>
                  <w:tcBorders>
                    <w:left w:val="single" w:color="auto" w:sz="4" w:space="0"/>
                    <w:bottom w:val="single" w:color="auto" w:sz="4" w:space="0"/>
                    <w:right w:val="single" w:color="auto" w:sz="4" w:space="0"/>
                    <w:tl2br w:val="nil"/>
                    <w:tr2bl w:val="nil"/>
                  </w:tcBorders>
                  <w:shd w:val="clear" w:color="auto" w:fill="auto"/>
                  <w:vAlign w:val="center"/>
                </w:tcPr>
                <w:p w14:paraId="33603F3A">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合计</w:t>
                  </w:r>
                </w:p>
              </w:tc>
              <w:tc>
                <w:tcPr>
                  <w:tcW w:w="834" w:type="dxa"/>
                  <w:tcBorders>
                    <w:left w:val="single" w:color="auto" w:sz="4" w:space="0"/>
                    <w:bottom w:val="single" w:color="auto" w:sz="4" w:space="0"/>
                    <w:right w:val="single" w:color="auto" w:sz="4" w:space="0"/>
                    <w:tl2br w:val="nil"/>
                    <w:tr2bl w:val="nil"/>
                  </w:tcBorders>
                  <w:shd w:val="clear" w:color="auto" w:fill="auto"/>
                  <w:vAlign w:val="center"/>
                </w:tcPr>
                <w:p w14:paraId="7D4F53E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59732</w:t>
                  </w:r>
                </w:p>
              </w:tc>
              <w:tc>
                <w:tcPr>
                  <w:tcW w:w="897" w:type="dxa"/>
                  <w:tcBorders>
                    <w:left w:val="single" w:color="auto" w:sz="4" w:space="0"/>
                    <w:bottom w:val="single" w:color="auto" w:sz="4" w:space="0"/>
                    <w:right w:val="single" w:color="auto" w:sz="4" w:space="0"/>
                    <w:tl2br w:val="nil"/>
                    <w:tr2bl w:val="nil"/>
                  </w:tcBorders>
                  <w:shd w:val="clear" w:color="auto" w:fill="auto"/>
                  <w:vAlign w:val="center"/>
                </w:tcPr>
                <w:p w14:paraId="3D928786">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1255" w:type="dxa"/>
                  <w:tcBorders>
                    <w:left w:val="single" w:color="auto" w:sz="4" w:space="0"/>
                    <w:bottom w:val="single" w:color="auto" w:sz="4" w:space="0"/>
                    <w:right w:val="single" w:color="auto" w:sz="4" w:space="0"/>
                    <w:tl2br w:val="nil"/>
                    <w:tr2bl w:val="nil"/>
                  </w:tcBorders>
                  <w:shd w:val="clear" w:color="auto" w:fill="auto"/>
                  <w:vAlign w:val="center"/>
                </w:tcPr>
                <w:p w14:paraId="4CF281E0">
                  <w:pPr>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817" w:type="dxa"/>
                  <w:tcBorders>
                    <w:left w:val="single" w:color="auto" w:sz="4" w:space="0"/>
                    <w:bottom w:val="single" w:color="auto" w:sz="4" w:space="0"/>
                    <w:right w:val="single" w:color="auto" w:sz="4" w:space="0"/>
                    <w:tl2br w:val="nil"/>
                    <w:tr2bl w:val="nil"/>
                  </w:tcBorders>
                  <w:shd w:val="clear" w:color="auto" w:fill="auto"/>
                  <w:vAlign w:val="center"/>
                </w:tcPr>
                <w:p w14:paraId="60A65C0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w:t>
                  </w:r>
                </w:p>
              </w:tc>
              <w:tc>
                <w:tcPr>
                  <w:tcW w:w="990" w:type="dxa"/>
                  <w:tcBorders>
                    <w:left w:val="single" w:color="auto" w:sz="4" w:space="0"/>
                    <w:bottom w:val="single" w:color="auto" w:sz="4" w:space="0"/>
                    <w:right w:val="single" w:color="auto" w:sz="4" w:space="0"/>
                    <w:tl2br w:val="nil"/>
                    <w:tr2bl w:val="nil"/>
                  </w:tcBorders>
                  <w:shd w:val="clear" w:color="auto" w:fill="auto"/>
                  <w:vAlign w:val="center"/>
                </w:tcPr>
                <w:p w14:paraId="34A0F02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41268</w:t>
                  </w:r>
                </w:p>
              </w:tc>
              <w:tc>
                <w:tcPr>
                  <w:tcW w:w="1171" w:type="dxa"/>
                  <w:tcBorders>
                    <w:left w:val="single" w:color="auto" w:sz="4" w:space="0"/>
                    <w:bottom w:val="single" w:color="auto" w:sz="4" w:space="0"/>
                    <w:right w:val="single" w:color="auto" w:sz="4" w:space="0"/>
                    <w:tl2br w:val="nil"/>
                    <w:tr2bl w:val="nil"/>
                  </w:tcBorders>
                  <w:shd w:val="clear" w:color="auto" w:fill="auto"/>
                  <w:vAlign w:val="center"/>
                </w:tcPr>
                <w:p w14:paraId="29B68E99">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c>
                <w:tcPr>
                  <w:tcW w:w="932" w:type="dxa"/>
                  <w:tcBorders>
                    <w:left w:val="single" w:color="auto" w:sz="4" w:space="0"/>
                    <w:bottom w:val="single" w:color="auto" w:sz="4" w:space="0"/>
                    <w:right w:val="single" w:color="auto" w:sz="4" w:space="0"/>
                    <w:tl2br w:val="nil"/>
                    <w:tr2bl w:val="nil"/>
                  </w:tcBorders>
                  <w:shd w:val="clear" w:color="auto" w:fill="auto"/>
                  <w:vAlign w:val="center"/>
                </w:tcPr>
                <w:p w14:paraId="3B1618D3">
                  <w:pPr>
                    <w:keepNext w:val="0"/>
                    <w:keepLines w:val="0"/>
                    <w:pageBreakBefore w:val="0"/>
                    <w:widowControl/>
                    <w:kinsoku/>
                    <w:wordWrap/>
                    <w:overflowPunct/>
                    <w:topLinePunct w:val="0"/>
                    <w:autoSpaceDE/>
                    <w:autoSpaceDN/>
                    <w:bidi w:val="0"/>
                    <w:adjustRightInd w:val="0"/>
                    <w:snapToGrid w:val="0"/>
                    <w:jc w:val="center"/>
                    <w:rPr>
                      <w:rFonts w:hint="eastAsia" w:ascii="Times New Roman" w:hAnsi="Times New Roman" w:eastAsia="宋体" w:cs="Times New Roman"/>
                      <w:i w:val="0"/>
                      <w:iCs w:val="0"/>
                      <w:color w:val="auto"/>
                      <w:sz w:val="21"/>
                      <w:szCs w:val="21"/>
                      <w:u w:val="none"/>
                      <w:lang w:val="en-US" w:eastAsia="zh-CN"/>
                    </w:rPr>
                  </w:pPr>
                  <w:r>
                    <w:rPr>
                      <w:rFonts w:hint="eastAsia" w:cs="Times New Roman"/>
                      <w:i w:val="0"/>
                      <w:iCs w:val="0"/>
                      <w:color w:val="auto"/>
                      <w:sz w:val="21"/>
                      <w:szCs w:val="21"/>
                      <w:u w:val="none"/>
                      <w:lang w:val="en-US" w:eastAsia="zh-CN"/>
                    </w:rPr>
                    <w:t>/</w:t>
                  </w:r>
                </w:p>
              </w:tc>
            </w:tr>
          </w:tbl>
          <w:p w14:paraId="26A68841">
            <w:pPr>
              <w:autoSpaceDE w:val="0"/>
              <w:autoSpaceDN w:val="0"/>
              <w:adjustRightInd w:val="0"/>
              <w:snapToGrid w:val="0"/>
              <w:spacing w:line="360" w:lineRule="auto"/>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drawing>
                <wp:inline distT="0" distB="0" distL="114300" distR="114300">
                  <wp:extent cx="5162550" cy="2590800"/>
                  <wp:effectExtent l="0" t="0" r="0" b="0"/>
                  <wp:docPr id="1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4"/>
                          <pic:cNvPicPr>
                            <a:picLocks noChangeAspect="1"/>
                          </pic:cNvPicPr>
                        </pic:nvPicPr>
                        <pic:blipFill>
                          <a:blip r:embed="rId9"/>
                          <a:stretch>
                            <a:fillRect/>
                          </a:stretch>
                        </pic:blipFill>
                        <pic:spPr>
                          <a:xfrm>
                            <a:off x="0" y="0"/>
                            <a:ext cx="5162550" cy="2590800"/>
                          </a:xfrm>
                          <a:prstGeom prst="rect">
                            <a:avLst/>
                          </a:prstGeom>
                        </pic:spPr>
                      </pic:pic>
                    </a:graphicData>
                  </a:graphic>
                </wp:inline>
              </w:drawing>
            </w:r>
          </w:p>
          <w:p w14:paraId="5DC5FFC0">
            <w:pPr>
              <w:pStyle w:val="14"/>
              <w:bidi w:val="0"/>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 xml:space="preserve">图2-1 项目用水平衡图  </w:t>
            </w:r>
            <w:r>
              <w:rPr>
                <w:rFonts w:hint="default" w:ascii="Times New Roman" w:hAnsi="Times New Roman" w:eastAsia="宋体" w:cs="Times New Roman"/>
                <w:color w:val="auto"/>
                <w:vertAlign w:val="baseline"/>
                <w:lang w:eastAsia="zh-CN"/>
              </w:rPr>
              <w:t>m</w:t>
            </w:r>
            <w:r>
              <w:rPr>
                <w:rFonts w:hint="default" w:ascii="Times New Roman" w:hAnsi="Times New Roman" w:eastAsia="宋体" w:cs="Times New Roman"/>
                <w:color w:val="auto"/>
                <w:vertAlign w:val="superscript"/>
                <w:lang w:eastAsia="zh-CN"/>
              </w:rPr>
              <w:t>3</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a</w:t>
            </w:r>
          </w:p>
          <w:p w14:paraId="0FF1564C">
            <w:pPr>
              <w:adjustRightInd w:val="0"/>
              <w:snapToGrid w:val="0"/>
              <w:spacing w:line="360" w:lineRule="auto"/>
              <w:ind w:firstLine="482" w:firstLineChars="20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8.3</w:t>
            </w:r>
            <w:r>
              <w:rPr>
                <w:rFonts w:hint="default" w:ascii="Times New Roman" w:hAnsi="Times New Roman" w:eastAsia="宋体" w:cs="Times New Roman"/>
                <w:b/>
                <w:bCs w:val="0"/>
                <w:color w:val="auto"/>
                <w:sz w:val="24"/>
              </w:rPr>
              <w:t>供电工程</w:t>
            </w:r>
          </w:p>
          <w:p w14:paraId="38886A84">
            <w:pPr>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项目总用电量为</w:t>
            </w:r>
            <w:r>
              <w:rPr>
                <w:rFonts w:hint="default" w:ascii="Times New Roman" w:hAnsi="Times New Roman" w:eastAsia="宋体" w:cs="Times New Roman"/>
                <w:bCs/>
                <w:color w:val="auto"/>
                <w:sz w:val="24"/>
                <w:lang w:val="en-US" w:eastAsia="zh-CN"/>
              </w:rPr>
              <w:t>1</w:t>
            </w:r>
            <w:r>
              <w:rPr>
                <w:rFonts w:hint="default" w:ascii="Times New Roman" w:hAnsi="Times New Roman" w:eastAsia="宋体" w:cs="Times New Roman"/>
                <w:bCs/>
                <w:color w:val="auto"/>
                <w:sz w:val="24"/>
              </w:rPr>
              <w:t>0</w:t>
            </w:r>
            <w:r>
              <w:rPr>
                <w:rFonts w:hint="default" w:ascii="Times New Roman" w:hAnsi="Times New Roman" w:eastAsia="宋体" w:cs="Times New Roman"/>
                <w:bCs/>
                <w:color w:val="auto"/>
                <w:sz w:val="24"/>
                <w:lang w:val="en-US" w:eastAsia="zh-CN"/>
              </w:rPr>
              <w:t>万</w:t>
            </w:r>
            <w:r>
              <w:rPr>
                <w:rFonts w:hint="default" w:ascii="Times New Roman" w:hAnsi="Times New Roman" w:eastAsia="宋体" w:cs="Times New Roman"/>
                <w:bCs/>
                <w:color w:val="auto"/>
                <w:sz w:val="24"/>
              </w:rPr>
              <w:t>KWh，由当地电网供给。</w:t>
            </w:r>
          </w:p>
          <w:p w14:paraId="07BB4322">
            <w:pPr>
              <w:spacing w:line="360" w:lineRule="auto"/>
              <w:ind w:firstLine="482" w:firstLineChars="200"/>
              <w:rPr>
                <w:rFonts w:hint="default" w:ascii="Times New Roman" w:hAnsi="Times New Roman" w:eastAsia="宋体" w:cs="Times New Roman"/>
                <w:b/>
                <w:bCs w:val="0"/>
                <w:color w:val="auto"/>
                <w:sz w:val="24"/>
                <w:lang w:val="en-US" w:eastAsia="zh-CN"/>
              </w:rPr>
            </w:pPr>
            <w:r>
              <w:rPr>
                <w:rFonts w:hint="default" w:ascii="Times New Roman" w:hAnsi="Times New Roman" w:eastAsia="宋体" w:cs="Times New Roman"/>
                <w:b/>
                <w:bCs w:val="0"/>
                <w:color w:val="auto"/>
                <w:sz w:val="24"/>
                <w:lang w:val="en-US" w:eastAsia="zh-CN"/>
              </w:rPr>
              <w:t>8.4供气工程</w:t>
            </w:r>
          </w:p>
          <w:p w14:paraId="672A4128">
            <w:pPr>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val="en-US" w:eastAsia="zh-CN"/>
              </w:rPr>
              <w:t>本项目锅炉燃料为天然气，</w:t>
            </w:r>
            <w:r>
              <w:rPr>
                <w:rFonts w:hint="default" w:ascii="Times New Roman" w:hAnsi="Times New Roman" w:eastAsia="宋体" w:cs="Times New Roman"/>
                <w:bCs/>
                <w:color w:val="auto"/>
                <w:sz w:val="24"/>
              </w:rPr>
              <w:t>项目总用</w:t>
            </w:r>
            <w:r>
              <w:rPr>
                <w:rFonts w:hint="default" w:ascii="Times New Roman" w:hAnsi="Times New Roman" w:eastAsia="宋体" w:cs="Times New Roman"/>
                <w:bCs/>
                <w:color w:val="auto"/>
                <w:sz w:val="24"/>
                <w:lang w:val="en-US" w:eastAsia="zh-CN"/>
              </w:rPr>
              <w:t>气</w:t>
            </w:r>
            <w:r>
              <w:rPr>
                <w:rFonts w:hint="default" w:ascii="Times New Roman" w:hAnsi="Times New Roman" w:eastAsia="宋体" w:cs="Times New Roman"/>
                <w:bCs/>
                <w:color w:val="auto"/>
                <w:sz w:val="24"/>
                <w:highlight w:val="none"/>
              </w:rPr>
              <w:t>量为</w:t>
            </w:r>
            <w:r>
              <w:rPr>
                <w:rFonts w:hint="default" w:ascii="Times New Roman" w:hAnsi="Times New Roman" w:eastAsia="宋体" w:cs="Times New Roman"/>
                <w:bCs/>
                <w:color w:val="auto"/>
                <w:sz w:val="24"/>
                <w:highlight w:val="none"/>
                <w:lang w:val="en-US" w:eastAsia="zh-CN"/>
              </w:rPr>
              <w:t>432万</w:t>
            </w:r>
            <w:r>
              <w:rPr>
                <w:rFonts w:hint="default" w:ascii="Times New Roman" w:hAnsi="Times New Roman" w:eastAsia="宋体" w:cs="Times New Roman"/>
                <w:bCs/>
                <w:color w:val="auto"/>
                <w:sz w:val="24"/>
                <w:highlight w:val="none"/>
                <w:vertAlign w:val="baseline"/>
                <w:lang w:val="en-US" w:eastAsia="zh-CN"/>
              </w:rPr>
              <w:t>m</w:t>
            </w:r>
            <w:r>
              <w:rPr>
                <w:rFonts w:hint="default" w:ascii="Times New Roman" w:hAnsi="Times New Roman" w:eastAsia="宋体" w:cs="Times New Roman"/>
                <w:bCs/>
                <w:color w:val="auto"/>
                <w:sz w:val="24"/>
                <w:highlight w:val="none"/>
                <w:vertAlign w:val="superscript"/>
                <w:lang w:val="en-US" w:eastAsia="zh-CN"/>
              </w:rPr>
              <w:t>3</w:t>
            </w:r>
            <w:r>
              <w:rPr>
                <w:rFonts w:hint="default" w:ascii="Times New Roman" w:hAnsi="Times New Roman" w:eastAsia="宋体" w:cs="Times New Roman"/>
                <w:bCs/>
                <w:color w:val="auto"/>
                <w:sz w:val="24"/>
                <w:highlight w:val="none"/>
              </w:rPr>
              <w:t>，</w:t>
            </w:r>
            <w:r>
              <w:rPr>
                <w:rFonts w:hint="default" w:ascii="Times New Roman" w:hAnsi="Times New Roman" w:eastAsia="宋体" w:cs="Times New Roman"/>
                <w:bCs/>
                <w:color w:val="auto"/>
                <w:sz w:val="24"/>
              </w:rPr>
              <w:t>由当地</w:t>
            </w:r>
            <w:r>
              <w:rPr>
                <w:rFonts w:hint="default" w:ascii="Times New Roman" w:hAnsi="Times New Roman" w:eastAsia="宋体" w:cs="Times New Roman"/>
                <w:bCs/>
                <w:color w:val="auto"/>
                <w:sz w:val="24"/>
                <w:lang w:val="en-US" w:eastAsia="zh-CN"/>
              </w:rPr>
              <w:t>天然气管网</w:t>
            </w:r>
            <w:r>
              <w:rPr>
                <w:rFonts w:hint="default" w:ascii="Times New Roman" w:hAnsi="Times New Roman" w:eastAsia="宋体" w:cs="Times New Roman"/>
                <w:bCs/>
                <w:color w:val="auto"/>
                <w:sz w:val="24"/>
              </w:rPr>
              <w:t>供给。</w:t>
            </w:r>
          </w:p>
          <w:p w14:paraId="646B19AD">
            <w:pPr>
              <w:spacing w:line="360" w:lineRule="auto"/>
              <w:ind w:firstLine="482" w:firstLineChars="200"/>
              <w:rPr>
                <w:rFonts w:hint="default" w:ascii="Times New Roman" w:hAnsi="Times New Roman" w:eastAsia="宋体" w:cs="Times New Roman"/>
                <w:b/>
                <w:bCs w:val="0"/>
                <w:color w:val="auto"/>
                <w:sz w:val="24"/>
              </w:rPr>
            </w:pPr>
            <w:r>
              <w:rPr>
                <w:rFonts w:hint="default" w:ascii="Times New Roman" w:hAnsi="Times New Roman" w:eastAsia="宋体" w:cs="Times New Roman"/>
                <w:b/>
                <w:bCs w:val="0"/>
                <w:color w:val="auto"/>
                <w:sz w:val="24"/>
                <w:lang w:val="en-US" w:eastAsia="zh-CN"/>
              </w:rPr>
              <w:t>8.5</w:t>
            </w:r>
            <w:r>
              <w:rPr>
                <w:rFonts w:hint="default" w:ascii="Times New Roman" w:hAnsi="Times New Roman" w:eastAsia="宋体" w:cs="Times New Roman"/>
                <w:b/>
                <w:bCs w:val="0"/>
                <w:color w:val="auto"/>
                <w:sz w:val="24"/>
              </w:rPr>
              <w:t>供暖工程</w:t>
            </w:r>
          </w:p>
          <w:p w14:paraId="4BB3AF05">
            <w:pPr>
              <w:spacing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lang w:val="en-US" w:eastAsia="zh-CN"/>
              </w:rPr>
              <w:t>项目冬季供暖由当地市政供暖管网供给</w:t>
            </w:r>
            <w:r>
              <w:rPr>
                <w:rFonts w:hint="default" w:ascii="Times New Roman" w:hAnsi="Times New Roman" w:eastAsia="宋体" w:cs="Times New Roman"/>
                <w:color w:val="auto"/>
                <w:sz w:val="24"/>
              </w:rPr>
              <w:t>。</w:t>
            </w:r>
          </w:p>
        </w:tc>
      </w:tr>
      <w:tr w14:paraId="37FA00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39" w:type="pct"/>
            <w:vAlign w:val="center"/>
          </w:tcPr>
          <w:p w14:paraId="1F47615C">
            <w:pPr>
              <w:pStyle w:val="3"/>
              <w:adjustRightInd w:val="0"/>
              <w:snapToGrid w:val="0"/>
              <w:spacing w:before="0" w:beforeAutospacing="0" w:after="0" w:afterAutospacing="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工艺流程和产排污环节</w:t>
            </w:r>
          </w:p>
        </w:tc>
        <w:tc>
          <w:tcPr>
            <w:tcW w:w="4760" w:type="pct"/>
          </w:tcPr>
          <w:p w14:paraId="106EB75A">
            <w:pPr>
              <w:spacing w:line="360" w:lineRule="auto"/>
              <w:jc w:val="left"/>
              <w:rPr>
                <w:rFonts w:hint="default" w:ascii="Times New Roman" w:hAnsi="Times New Roman" w:eastAsia="宋体" w:cs="Times New Roman"/>
                <w:b/>
                <w:color w:val="auto"/>
                <w:sz w:val="24"/>
              </w:rPr>
            </w:pPr>
            <w:bookmarkStart w:id="3" w:name="_Toc65446908"/>
            <w:r>
              <w:rPr>
                <w:rFonts w:hint="default" w:ascii="Times New Roman" w:hAnsi="Times New Roman" w:eastAsia="宋体" w:cs="Times New Roman"/>
                <w:b/>
                <w:color w:val="auto"/>
                <w:sz w:val="24"/>
              </w:rPr>
              <w:t>项目生产工艺及流程</w:t>
            </w:r>
            <w:bookmarkEnd w:id="3"/>
          </w:p>
          <w:p w14:paraId="027CC2A1">
            <w:pPr>
              <w:spacing w:line="360" w:lineRule="auto"/>
              <w:ind w:firstLine="482" w:firstLineChars="200"/>
              <w:jc w:val="left"/>
              <w:rPr>
                <w:rFonts w:hint="default" w:ascii="Times New Roman" w:hAnsi="Times New Roman" w:eastAsia="宋体" w:cs="Times New Roman"/>
                <w:b/>
                <w:color w:val="auto"/>
                <w:sz w:val="24"/>
              </w:rPr>
            </w:pPr>
            <w:r>
              <w:rPr>
                <w:rFonts w:hint="eastAsia" w:ascii="Times New Roman" w:hAnsi="Times New Roman" w:eastAsia="宋体" w:cs="Times New Roman"/>
                <w:b/>
                <w:color w:val="auto"/>
                <w:sz w:val="24"/>
                <w:lang w:val="en-US" w:eastAsia="zh-CN"/>
              </w:rPr>
              <w:t>1.</w:t>
            </w:r>
            <w:r>
              <w:rPr>
                <w:rFonts w:hint="default" w:ascii="Times New Roman" w:hAnsi="Times New Roman" w:eastAsia="宋体" w:cs="Times New Roman"/>
                <w:b/>
                <w:color w:val="auto"/>
                <w:sz w:val="24"/>
              </w:rPr>
              <w:t>施工期工程分析</w:t>
            </w:r>
          </w:p>
          <w:p w14:paraId="0743402E">
            <w:pPr>
              <w:adjustRightInd w:val="0"/>
              <w:snapToGrid w:val="0"/>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本项目</w:t>
            </w:r>
            <w:r>
              <w:rPr>
                <w:rFonts w:hint="default" w:ascii="Times New Roman" w:hAnsi="Times New Roman" w:eastAsia="宋体" w:cs="Times New Roman"/>
                <w:color w:val="auto"/>
                <w:sz w:val="24"/>
              </w:rPr>
              <w:t>施工</w:t>
            </w:r>
            <w:r>
              <w:rPr>
                <w:rFonts w:hint="default" w:ascii="Times New Roman" w:hAnsi="Times New Roman" w:eastAsia="宋体" w:cs="Times New Roman"/>
                <w:color w:val="auto"/>
                <w:sz w:val="24"/>
                <w:lang w:val="en-US" w:eastAsia="zh-CN"/>
              </w:rPr>
              <w:t>期</w:t>
            </w:r>
            <w:r>
              <w:rPr>
                <w:rFonts w:hint="default" w:ascii="Times New Roman" w:hAnsi="Times New Roman" w:eastAsia="宋体" w:cs="Times New Roman"/>
                <w:color w:val="auto"/>
                <w:sz w:val="24"/>
              </w:rPr>
              <w:t>流程及各阶段主要污染物产生见图2-2。</w:t>
            </w:r>
          </w:p>
          <w:p w14:paraId="3A01E6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drawing>
                <wp:inline distT="0" distB="0" distL="0" distR="0">
                  <wp:extent cx="3084830" cy="1821180"/>
                  <wp:effectExtent l="0" t="0" r="1270" b="762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stretch>
                            <a:fillRect/>
                          </a:stretch>
                        </pic:blipFill>
                        <pic:spPr>
                          <a:xfrm>
                            <a:off x="0" y="0"/>
                            <a:ext cx="3084830" cy="1821180"/>
                          </a:xfrm>
                          <a:prstGeom prst="rect">
                            <a:avLst/>
                          </a:prstGeom>
                        </pic:spPr>
                      </pic:pic>
                    </a:graphicData>
                  </a:graphic>
                </wp:inline>
              </w:drawing>
            </w:r>
          </w:p>
          <w:p w14:paraId="75E919EB">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图2-2 施工期工艺流程图</w:t>
            </w:r>
          </w:p>
          <w:p w14:paraId="0A943067">
            <w:pPr>
              <w:adjustRightInd w:val="0"/>
              <w:snapToGrid w:val="0"/>
              <w:spacing w:line="360" w:lineRule="auto"/>
              <w:ind w:firstLine="482" w:firstLineChars="200"/>
              <w:jc w:val="left"/>
              <w:rPr>
                <w:rFonts w:hint="default" w:ascii="Times New Roman" w:hAnsi="Times New Roman" w:eastAsia="宋体" w:cs="Times New Roman"/>
                <w:b/>
                <w:bCs/>
                <w:color w:val="auto"/>
                <w:sz w:val="24"/>
              </w:rPr>
            </w:pPr>
            <w:r>
              <w:rPr>
                <w:rFonts w:hint="eastAsia" w:ascii="Times New Roman" w:hAnsi="Times New Roman" w:eastAsia="宋体" w:cs="Times New Roman"/>
                <w:b/>
                <w:bCs/>
                <w:color w:val="auto"/>
                <w:sz w:val="24"/>
                <w:lang w:val="en-US" w:eastAsia="zh-CN"/>
              </w:rPr>
              <w:t>2.</w:t>
            </w:r>
            <w:r>
              <w:rPr>
                <w:rFonts w:hint="default" w:ascii="Times New Roman" w:hAnsi="Times New Roman" w:eastAsia="宋体" w:cs="Times New Roman"/>
                <w:b/>
                <w:bCs/>
                <w:color w:val="auto"/>
                <w:sz w:val="24"/>
              </w:rPr>
              <w:t>运营期工程分析</w:t>
            </w:r>
          </w:p>
          <w:p w14:paraId="0E0968D1">
            <w:pPr>
              <w:adjustRightInd w:val="0"/>
              <w:snapToGrid w:val="0"/>
              <w:spacing w:line="360" w:lineRule="auto"/>
              <w:jc w:val="center"/>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drawing>
                <wp:inline distT="0" distB="0" distL="114300" distR="114300">
                  <wp:extent cx="3741420" cy="4815205"/>
                  <wp:effectExtent l="0" t="0" r="0" b="4445"/>
                  <wp:docPr id="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pic:cNvPicPr>
                            <a:picLocks noChangeAspect="1"/>
                          </pic:cNvPicPr>
                        </pic:nvPicPr>
                        <pic:blipFill>
                          <a:blip r:embed="rId11"/>
                          <a:stretch>
                            <a:fillRect/>
                          </a:stretch>
                        </pic:blipFill>
                        <pic:spPr>
                          <a:xfrm>
                            <a:off x="0" y="0"/>
                            <a:ext cx="3741420" cy="4815205"/>
                          </a:xfrm>
                          <a:prstGeom prst="rect">
                            <a:avLst/>
                          </a:prstGeom>
                        </pic:spPr>
                      </pic:pic>
                    </a:graphicData>
                  </a:graphic>
                </wp:inline>
              </w:drawing>
            </w:r>
          </w:p>
          <w:p w14:paraId="2278713A">
            <w:pPr>
              <w:pStyle w:val="14"/>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图2-3 工艺流程及产污环节图</w:t>
            </w:r>
          </w:p>
          <w:p w14:paraId="6566D1C7">
            <w:p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本项目所采取</w:t>
            </w:r>
            <w:r>
              <w:rPr>
                <w:rFonts w:hint="eastAsia" w:cs="Times New Roman"/>
                <w:bCs/>
                <w:color w:val="auto"/>
                <w:sz w:val="24"/>
                <w:highlight w:val="none"/>
                <w:lang w:val="en-US" w:eastAsia="zh-CN"/>
              </w:rPr>
              <w:t>的</w:t>
            </w:r>
            <w:r>
              <w:rPr>
                <w:rFonts w:hint="default" w:ascii="Times New Roman" w:hAnsi="Times New Roman" w:eastAsia="宋体" w:cs="Times New Roman"/>
                <w:bCs/>
                <w:color w:val="auto"/>
                <w:sz w:val="24"/>
                <w:highlight w:val="none"/>
                <w:lang w:val="en-US" w:eastAsia="zh-CN"/>
              </w:rPr>
              <w:t>提取工艺为水提取，不涉及醇提</w:t>
            </w:r>
            <w:r>
              <w:rPr>
                <w:rFonts w:hint="eastAsia" w:cs="Times New Roman"/>
                <w:bCs/>
                <w:color w:val="auto"/>
                <w:sz w:val="24"/>
                <w:highlight w:val="none"/>
                <w:lang w:val="en-US" w:eastAsia="zh-CN"/>
              </w:rPr>
              <w:t>取</w:t>
            </w:r>
            <w:r>
              <w:rPr>
                <w:rFonts w:hint="default" w:ascii="Times New Roman" w:hAnsi="Times New Roman" w:eastAsia="宋体" w:cs="Times New Roman"/>
                <w:bCs/>
                <w:color w:val="auto"/>
                <w:sz w:val="24"/>
                <w:highlight w:val="none"/>
                <w:lang w:val="en-US" w:eastAsia="zh-CN"/>
              </w:rPr>
              <w:t>。具体生产工艺流程及产污环节如下：</w:t>
            </w:r>
          </w:p>
          <w:p w14:paraId="5D5AD3B5">
            <w:pPr>
              <w:numPr>
                <w:ilvl w:val="0"/>
                <w:numId w:val="1"/>
              </w:num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甘草清洗：对回收的甘草根据根和根茎的不同规格进行初步分类。将分类后的甘草根和根茎投入洗药机中，按照标准操作程序进行清洗，直到药材表面无泥沙、土为止。清洗过程中要避免使用过多的水，以免影响甘草的有效成分。清洗之后的清洗水液进行沉降分离，底部泥浆压滤出多余水分后弃去上层清水回用于甘草清洗。</w:t>
            </w:r>
          </w:p>
          <w:p w14:paraId="3F2CDE0D">
            <w:pPr>
              <w:numPr>
                <w:ilvl w:val="0"/>
                <w:numId w:val="1"/>
              </w:num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切片：将清洗后的甘草放入高速万能截断机中切成2~3mm的薄片</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以便后续进行有效成分的提取。</w:t>
            </w:r>
          </w:p>
          <w:p w14:paraId="182D7437">
            <w:pPr>
              <w:numPr>
                <w:ilvl w:val="0"/>
                <w:numId w:val="1"/>
              </w:num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热回流提取：将甘草切片投入热回流提取罐，加入6~8倍重量的饮用水进行温浸（10~15h），</w:t>
            </w:r>
            <w:r>
              <w:rPr>
                <w:rFonts w:hint="eastAsia" w:cs="Times New Roman"/>
                <w:bCs/>
                <w:color w:val="auto"/>
                <w:sz w:val="24"/>
                <w:highlight w:val="none"/>
                <w:lang w:val="en-US" w:eastAsia="zh-CN"/>
              </w:rPr>
              <w:t>并</w:t>
            </w:r>
            <w:r>
              <w:rPr>
                <w:rFonts w:hint="default" w:ascii="Times New Roman" w:hAnsi="Times New Roman" w:eastAsia="宋体" w:cs="Times New Roman"/>
                <w:bCs/>
                <w:color w:val="auto"/>
                <w:sz w:val="24"/>
                <w:highlight w:val="none"/>
                <w:lang w:val="en-US" w:eastAsia="zh-CN"/>
              </w:rPr>
              <w:t>保持搅拌以提升提取效率使甘草酸充分溶出，随后在80~100℃条件下回流提取8~10小时，通过循环溶剂提高效率。</w:t>
            </w:r>
          </w:p>
          <w:p w14:paraId="2DF54126">
            <w:pPr>
              <w:numPr>
                <w:ilvl w:val="0"/>
                <w:numId w:val="1"/>
              </w:num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药渣压榨提取：过滤提取液，滤出固体药渣，将提取后的药渣放入压榨机中，通过物理压力进一步提取残留的有效成分，获得压榨液</w:t>
            </w:r>
            <w:r>
              <w:rPr>
                <w:rFonts w:hint="eastAsia" w:cs="Times New Roman"/>
                <w:bCs/>
                <w:color w:val="auto"/>
                <w:sz w:val="24"/>
                <w:highlight w:val="none"/>
                <w:lang w:val="en-US" w:eastAsia="zh-CN"/>
              </w:rPr>
              <w:t>并</w:t>
            </w:r>
            <w:r>
              <w:rPr>
                <w:rFonts w:hint="default" w:ascii="Times New Roman" w:hAnsi="Times New Roman" w:eastAsia="宋体" w:cs="Times New Roman"/>
                <w:bCs/>
                <w:color w:val="auto"/>
                <w:sz w:val="24"/>
                <w:highlight w:val="none"/>
                <w:lang w:val="en-US" w:eastAsia="zh-CN"/>
              </w:rPr>
              <w:t>保留液体部分，可回收药渣中约10</w:t>
            </w:r>
            <w:r>
              <w:rPr>
                <w:rFonts w:hint="eastAsia" w:ascii="Times New Roman" w:hAnsi="Times New Roman" w:eastAsia="宋体"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15%的甘草酸，显著提高采收率。</w:t>
            </w:r>
          </w:p>
          <w:p w14:paraId="14936A98">
            <w:pPr>
              <w:numPr>
                <w:ilvl w:val="0"/>
                <w:numId w:val="1"/>
              </w:num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提取液收集：将热回流提取液与压榨液合并，静置沉淀后取部分上层复合提取液，待冷却产品检验合格后，加入食品添加剂调配、装罐、灭菌后得到甘草露饮料。</w:t>
            </w:r>
          </w:p>
          <w:p w14:paraId="010927C7">
            <w:pPr>
              <w:numPr>
                <w:ilvl w:val="0"/>
                <w:numId w:val="1"/>
              </w:num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离心分离：将其余复合提取液及沉淀物送入平板离心机去除植物纤维、淀粉等大颗粒杂质</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离心转速在3000-5000r/min，离心时间10</w:t>
            </w:r>
            <w:r>
              <w:rPr>
                <w:rFonts w:hint="eastAsia" w:ascii="Times New Roman" w:hAnsi="Times New Roman" w:eastAsia="宋体"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20分钟，常温或低温操作</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4-10℃</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以减少热敏性成分</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如黄酮</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的分解。离心机采用全自动排渣设计，避免杂质倒流污染提取液。</w:t>
            </w:r>
          </w:p>
          <w:p w14:paraId="5E0E587F">
            <w:pPr>
              <w:numPr>
                <w:ilvl w:val="0"/>
                <w:numId w:val="1"/>
              </w:num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真空浓缩：离心后离心液需立即进行浓缩，避免长时间放置导致氧化或微生物污染。将离心清液送入单效蒸发浓缩器，控制真空度在-0.09至-0.095 MPa，温度控制在50-70℃，避免高温导致有效成分</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如甘草酸</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分解。单效蒸发浓缩器可将离心液中有效成分浓度由5%左右提高到50%左右。蒸发出的水回收</w:t>
            </w:r>
            <w:r>
              <w:rPr>
                <w:rFonts w:hint="eastAsia" w:cs="Times New Roman"/>
                <w:bCs/>
                <w:color w:val="auto"/>
                <w:sz w:val="24"/>
                <w:highlight w:val="none"/>
                <w:lang w:val="en-US" w:eastAsia="zh-CN"/>
              </w:rPr>
              <w:t>后</w:t>
            </w:r>
            <w:r>
              <w:rPr>
                <w:rFonts w:hint="default" w:ascii="Times New Roman" w:hAnsi="Times New Roman" w:eastAsia="宋体" w:cs="Times New Roman"/>
                <w:bCs/>
                <w:color w:val="auto"/>
                <w:sz w:val="24"/>
                <w:highlight w:val="none"/>
                <w:lang w:val="en-US" w:eastAsia="zh-CN"/>
              </w:rPr>
              <w:t>回用于提取。单效蒸发浓缩器底液进入真空减压浓缩器，控制真空度在-0.08至-0.09MPa，温度控制在45-55℃，进一步对提取液进行浓缩。经过真空减压浓缩器后，提取液中有效成分浓度达到80%左右，此时提取液为浸状</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相对密度1.22~1.26</w:t>
            </w:r>
            <w:r>
              <w:rPr>
                <w:rFonts w:hint="eastAsia"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w:t>
            </w:r>
          </w:p>
          <w:p w14:paraId="165EFFF2">
            <w:pPr>
              <w:numPr>
                <w:ilvl w:val="0"/>
                <w:numId w:val="1"/>
              </w:numPr>
              <w:adjustRightInd w:val="0"/>
              <w:snapToGrid w:val="0"/>
              <w:spacing w:line="360" w:lineRule="auto"/>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喷雾干燥：对浓缩后的提取液进行喷雾干燥，喷雾干燥进风温度控制在120℃，使提取液中含水量达到6.5</w:t>
            </w:r>
            <w:r>
              <w:rPr>
                <w:rFonts w:hint="eastAsia" w:ascii="Times New Roman" w:hAnsi="Times New Roman" w:eastAsia="宋体" w:cs="Times New Roman"/>
                <w:bCs/>
                <w:color w:val="auto"/>
                <w:sz w:val="24"/>
                <w:highlight w:val="none"/>
                <w:lang w:val="en-US" w:eastAsia="zh-CN"/>
              </w:rPr>
              <w:t>%～</w:t>
            </w:r>
            <w:r>
              <w:rPr>
                <w:rFonts w:hint="default" w:ascii="Times New Roman" w:hAnsi="Times New Roman" w:eastAsia="宋体" w:cs="Times New Roman"/>
                <w:bCs/>
                <w:color w:val="auto"/>
                <w:sz w:val="24"/>
                <w:highlight w:val="none"/>
                <w:lang w:val="en-US" w:eastAsia="zh-CN"/>
              </w:rPr>
              <w:t>7.5%，得到成品甘草提取物，产品检验合格后，打包外售。</w:t>
            </w:r>
          </w:p>
          <w:p w14:paraId="119AE48F">
            <w:pPr>
              <w:adjustRightInd w:val="0"/>
              <w:snapToGrid w:val="0"/>
              <w:spacing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主要污染工序</w:t>
            </w:r>
          </w:p>
          <w:p w14:paraId="7E3EFD5D">
            <w:pPr>
              <w:adjustRightInd w:val="0"/>
              <w:snapToGrid w:val="0"/>
              <w:spacing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1.施工期主要污染工序</w:t>
            </w:r>
          </w:p>
          <w:p w14:paraId="518ADA8F">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（1）废气：主要为扬尘以及施工机械、运输车辆</w:t>
            </w:r>
            <w:r>
              <w:rPr>
                <w:rFonts w:hint="eastAsia" w:cs="Times New Roman"/>
                <w:bCs/>
                <w:color w:val="auto"/>
                <w:sz w:val="24"/>
                <w:lang w:eastAsia="zh-CN"/>
              </w:rPr>
              <w:t>产生的</w:t>
            </w:r>
            <w:r>
              <w:rPr>
                <w:rFonts w:hint="default" w:ascii="Times New Roman" w:hAnsi="Times New Roman" w:eastAsia="宋体" w:cs="Times New Roman"/>
                <w:bCs/>
                <w:color w:val="auto"/>
                <w:sz w:val="24"/>
              </w:rPr>
              <w:t>废气。</w:t>
            </w:r>
          </w:p>
          <w:p w14:paraId="56EF90DD">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（2）废水：主要为施工人员生活污水和施工废水。</w:t>
            </w:r>
          </w:p>
          <w:p w14:paraId="3F956439">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（3）噪声：主要为施工过程中作业机械运行时产生的噪声。</w:t>
            </w:r>
          </w:p>
          <w:p w14:paraId="6132B4CC">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（4）固体废物：主要为建筑垃圾和施工人员生活垃圾。</w:t>
            </w:r>
          </w:p>
          <w:p w14:paraId="714EEAFF">
            <w:pPr>
              <w:adjustRightInd w:val="0"/>
              <w:snapToGrid w:val="0"/>
              <w:spacing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2.运营期主要污染工序</w:t>
            </w:r>
          </w:p>
          <w:p w14:paraId="7B9A2042">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（1）废气：主要为</w:t>
            </w:r>
            <w:r>
              <w:rPr>
                <w:rFonts w:hint="default" w:ascii="Times New Roman" w:hAnsi="Times New Roman" w:eastAsia="宋体" w:cs="Times New Roman"/>
                <w:bCs/>
                <w:color w:val="auto"/>
                <w:sz w:val="24"/>
                <w:highlight w:val="none"/>
                <w:lang w:val="en-US" w:eastAsia="zh-CN"/>
              </w:rPr>
              <w:t>天然气燃烧废气</w:t>
            </w:r>
            <w:r>
              <w:rPr>
                <w:rFonts w:hint="default" w:ascii="Times New Roman" w:hAnsi="Times New Roman" w:eastAsia="宋体" w:cs="Times New Roman"/>
                <w:bCs/>
                <w:color w:val="auto"/>
                <w:sz w:val="24"/>
                <w:highlight w:val="none"/>
              </w:rPr>
              <w:t>。</w:t>
            </w:r>
          </w:p>
          <w:p w14:paraId="62D48C45">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（2）废水：主要为生产废水和生活污水。</w:t>
            </w:r>
          </w:p>
          <w:p w14:paraId="0F161C7E">
            <w:pPr>
              <w:adjustRightInd w:val="0"/>
              <w:snapToGrid w:val="0"/>
              <w:spacing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（3）噪声：主要为</w:t>
            </w:r>
            <w:r>
              <w:rPr>
                <w:rFonts w:hint="default" w:ascii="Times New Roman" w:hAnsi="Times New Roman" w:eastAsia="宋体" w:cs="Times New Roman"/>
                <w:bCs/>
                <w:color w:val="auto"/>
                <w:sz w:val="24"/>
                <w:highlight w:val="none"/>
                <w:lang w:val="en-US" w:eastAsia="zh-CN"/>
              </w:rPr>
              <w:t>生产</w:t>
            </w:r>
            <w:r>
              <w:rPr>
                <w:rFonts w:hint="default" w:ascii="Times New Roman" w:hAnsi="Times New Roman" w:eastAsia="宋体" w:cs="Times New Roman"/>
                <w:bCs/>
                <w:color w:val="auto"/>
                <w:sz w:val="24"/>
                <w:highlight w:val="none"/>
              </w:rPr>
              <w:t>设备运转过程中产生的噪声。</w:t>
            </w:r>
          </w:p>
          <w:p w14:paraId="5E4FD70D">
            <w:pPr>
              <w:adjustRightInd w:val="0"/>
              <w:snapToGrid w:val="0"/>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highlight w:val="none"/>
              </w:rPr>
              <w:t>（4）固体废物：主要为生活垃圾</w:t>
            </w:r>
            <w:r>
              <w:rPr>
                <w:rFonts w:hint="default" w:ascii="Times New Roman" w:hAnsi="Times New Roman" w:eastAsia="宋体" w:cs="Times New Roman"/>
                <w:bCs/>
                <w:color w:val="auto"/>
                <w:sz w:val="24"/>
                <w:highlight w:val="none"/>
                <w:lang w:eastAsia="zh-CN"/>
              </w:rPr>
              <w:t>、</w:t>
            </w:r>
            <w:r>
              <w:rPr>
                <w:rFonts w:hint="default" w:ascii="Times New Roman" w:hAnsi="Times New Roman" w:eastAsia="宋体" w:cs="Times New Roman"/>
                <w:bCs/>
                <w:color w:val="auto"/>
                <w:sz w:val="24"/>
                <w:highlight w:val="none"/>
                <w:lang w:val="en-US" w:eastAsia="zh-CN"/>
              </w:rPr>
              <w:t>甘草清洗泥渣、甘草废渣、不合格产品、软水机废滤膜</w:t>
            </w:r>
            <w:r>
              <w:rPr>
                <w:rFonts w:hint="default" w:ascii="Times New Roman" w:hAnsi="Times New Roman" w:eastAsia="宋体" w:cs="Times New Roman"/>
                <w:bCs/>
                <w:color w:val="auto"/>
                <w:sz w:val="24"/>
                <w:highlight w:val="none"/>
              </w:rPr>
              <w:t>等。</w:t>
            </w:r>
          </w:p>
        </w:tc>
      </w:tr>
      <w:tr w14:paraId="0706A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39" w:type="pct"/>
            <w:vAlign w:val="center"/>
          </w:tcPr>
          <w:p w14:paraId="0CE9E64F">
            <w:pPr>
              <w:pStyle w:val="3"/>
              <w:adjustRightInd w:val="0"/>
              <w:snapToGrid w:val="0"/>
              <w:spacing w:before="0" w:beforeAutospacing="0" w:after="0" w:afterAutospacing="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
                <w:bCs w:val="0"/>
                <w:color w:val="auto"/>
                <w:kern w:val="2"/>
                <w:sz w:val="24"/>
                <w:szCs w:val="24"/>
              </w:rPr>
              <w:t>与项目有关的原有环境污染问题</w:t>
            </w:r>
          </w:p>
        </w:tc>
        <w:tc>
          <w:tcPr>
            <w:tcW w:w="4760" w:type="pct"/>
            <w:vAlign w:val="center"/>
          </w:tcPr>
          <w:p w14:paraId="39044FF5">
            <w:pPr>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无。</w:t>
            </w:r>
          </w:p>
        </w:tc>
      </w:tr>
    </w:tbl>
    <w:p w14:paraId="47CAC035">
      <w:pPr>
        <w:pStyle w:val="3"/>
        <w:jc w:val="center"/>
        <w:rPr>
          <w:rFonts w:hint="default" w:ascii="Times New Roman" w:hAnsi="Times New Roman" w:eastAsia="宋体" w:cs="Times New Roman"/>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D775470">
      <w:pPr>
        <w:pStyle w:val="2"/>
        <w:bidi w:val="0"/>
        <w:rPr>
          <w:rFonts w:hint="default" w:ascii="Times New Roman" w:hAnsi="Times New Roman" w:eastAsia="宋体" w:cs="Times New Roman"/>
          <w:color w:val="auto"/>
        </w:rPr>
      </w:pPr>
      <w:r>
        <w:rPr>
          <w:rFonts w:hint="default" w:ascii="Times New Roman" w:hAnsi="Times New Roman" w:eastAsia="宋体" w:cs="Times New Roman"/>
          <w:color w:val="auto"/>
        </w:rPr>
        <w:t>三、区域环境质量现状、环境保护目标及评价标准</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8604"/>
      </w:tblGrid>
      <w:tr w14:paraId="65B97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534" w:type="dxa"/>
            <w:vAlign w:val="center"/>
          </w:tcPr>
          <w:p w14:paraId="65EF5847">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区域</w:t>
            </w:r>
          </w:p>
          <w:p w14:paraId="2A1A84EB">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环境</w:t>
            </w:r>
          </w:p>
          <w:p w14:paraId="5669FF24">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质量</w:t>
            </w:r>
          </w:p>
          <w:p w14:paraId="3B6DE4C4">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现状</w:t>
            </w:r>
          </w:p>
        </w:tc>
        <w:tc>
          <w:tcPr>
            <w:tcW w:w="8527" w:type="dxa"/>
            <w:vAlign w:val="top"/>
          </w:tcPr>
          <w:p w14:paraId="01EE0122">
            <w:pPr>
              <w:autoSpaceDE w:val="0"/>
              <w:autoSpaceDN w:val="0"/>
              <w:spacing w:line="360" w:lineRule="auto"/>
              <w:ind w:firstLine="482" w:firstLineChars="200"/>
              <w:jc w:val="left"/>
              <w:rPr>
                <w:rFonts w:hint="default" w:ascii="Times New Roman" w:hAnsi="Times New Roman" w:eastAsia="宋体" w:cs="Times New Roman"/>
                <w:b/>
                <w:color w:val="auto"/>
                <w:kern w:val="0"/>
                <w:sz w:val="24"/>
              </w:rPr>
            </w:pPr>
            <w:r>
              <w:rPr>
                <w:rFonts w:hint="default" w:ascii="Times New Roman" w:hAnsi="Times New Roman" w:eastAsia="宋体" w:cs="Times New Roman"/>
                <w:b/>
                <w:color w:val="auto"/>
                <w:kern w:val="0"/>
                <w:sz w:val="24"/>
              </w:rPr>
              <w:t>1.环境空气质量现状</w:t>
            </w:r>
          </w:p>
          <w:p w14:paraId="22AE253C">
            <w:pPr>
              <w:spacing w:line="360" w:lineRule="auto"/>
              <w:ind w:firstLine="480" w:firstLineChars="200"/>
              <w:jc w:val="left"/>
              <w:rPr>
                <w:rFonts w:hint="eastAsia"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rPr>
              <w:t>项目所在区域达标判断及基本污染物环境空气质量</w:t>
            </w:r>
            <w:r>
              <w:rPr>
                <w:rFonts w:hint="eastAsia" w:cs="Times New Roman"/>
                <w:color w:val="auto"/>
                <w:kern w:val="0"/>
                <w:sz w:val="24"/>
                <w:lang w:eastAsia="zh-CN"/>
              </w:rPr>
              <w:t>现状的数据来源：</w:t>
            </w:r>
          </w:p>
          <w:p w14:paraId="0DD724E7">
            <w:pPr>
              <w:widowControl/>
              <w:spacing w:line="360" w:lineRule="auto"/>
              <w:ind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bCs/>
                <w:color w:val="auto"/>
                <w:kern w:val="0"/>
                <w:sz w:val="24"/>
              </w:rPr>
              <w:t>根据2024年6月内蒙古自治区生态环境厅发布的《2023年内蒙古自治区生态环境状况公报》，报告指出</w:t>
            </w:r>
            <w:r>
              <w:rPr>
                <w:rFonts w:hint="eastAsia" w:cs="Times New Roman"/>
                <w:bCs/>
                <w:color w:val="auto"/>
                <w:kern w:val="0"/>
                <w:sz w:val="24"/>
                <w:lang w:eastAsia="zh-CN"/>
              </w:rPr>
              <w:t>“</w:t>
            </w:r>
            <w:r>
              <w:rPr>
                <w:rFonts w:hint="default" w:ascii="Times New Roman" w:hAnsi="Times New Roman" w:eastAsia="宋体" w:cs="Times New Roman"/>
                <w:bCs/>
                <w:color w:val="auto"/>
                <w:kern w:val="0"/>
                <w:sz w:val="24"/>
              </w:rPr>
              <w:t>2023年，全区12个盟市中，除乌海市外，其他11个盟市环境空气质量均达标</w:t>
            </w:r>
            <w:r>
              <w:rPr>
                <w:rFonts w:hint="eastAsia" w:cs="Times New Roman"/>
                <w:bCs/>
                <w:color w:val="auto"/>
                <w:kern w:val="0"/>
                <w:sz w:val="24"/>
                <w:lang w:eastAsia="zh-CN"/>
              </w:rPr>
              <w:t>”</w:t>
            </w:r>
            <w:r>
              <w:rPr>
                <w:rFonts w:hint="default" w:ascii="Times New Roman" w:hAnsi="Times New Roman" w:eastAsia="宋体" w:cs="Times New Roman"/>
                <w:bCs/>
                <w:color w:val="auto"/>
                <w:kern w:val="0"/>
                <w:sz w:val="24"/>
              </w:rPr>
              <w:t>。</w:t>
            </w:r>
          </w:p>
          <w:p w14:paraId="11AF5B95">
            <w:pPr>
              <w:adjustRightInd w:val="0"/>
              <w:snapToGrid w:val="0"/>
              <w:spacing w:line="360" w:lineRule="auto"/>
              <w:ind w:firstLine="480" w:firstLineChars="200"/>
              <w:jc w:val="left"/>
              <w:rPr>
                <w:rFonts w:hint="default" w:ascii="Times New Roman" w:hAnsi="Times New Roman" w:eastAsia="宋体" w:cs="Times New Roman"/>
                <w:bCs/>
                <w:color w:val="auto"/>
                <w:sz w:val="24"/>
              </w:rPr>
            </w:pPr>
            <w:r>
              <w:rPr>
                <w:rFonts w:hint="default" w:ascii="Times New Roman" w:hAnsi="Times New Roman" w:eastAsia="宋体" w:cs="Times New Roman"/>
                <w:color w:val="auto"/>
                <w:kern w:val="0"/>
                <w:sz w:val="24"/>
              </w:rPr>
              <w:t>项目所在区域为达标区域</w:t>
            </w:r>
            <w:r>
              <w:rPr>
                <w:rFonts w:hint="default" w:ascii="Times New Roman" w:hAnsi="Times New Roman" w:eastAsia="宋体" w:cs="Times New Roman"/>
                <w:bCs/>
                <w:color w:val="auto"/>
                <w:sz w:val="24"/>
              </w:rPr>
              <w:t>。</w:t>
            </w:r>
          </w:p>
          <w:p w14:paraId="60EA0A9B">
            <w:pPr>
              <w:spacing w:before="120" w:beforeLines="50" w:line="360" w:lineRule="auto"/>
              <w:ind w:firstLine="482" w:firstLineChars="200"/>
              <w:jc w:val="left"/>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2.声环境质量现状</w:t>
            </w:r>
          </w:p>
          <w:p w14:paraId="291DBD40">
            <w:pPr>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项目厂界外50</w:t>
            </w:r>
            <w:r>
              <w:rPr>
                <w:rFonts w:hint="default" w:ascii="Times New Roman" w:hAnsi="Times New Roman" w:eastAsia="宋体" w:cs="Times New Roman"/>
                <w:color w:val="auto"/>
                <w:kern w:val="0"/>
                <w:sz w:val="24"/>
                <w:lang w:eastAsia="zh-CN"/>
              </w:rPr>
              <w:t>m</w:t>
            </w:r>
            <w:r>
              <w:rPr>
                <w:rFonts w:hint="default" w:ascii="Times New Roman" w:hAnsi="Times New Roman" w:eastAsia="宋体" w:cs="Times New Roman"/>
                <w:color w:val="auto"/>
                <w:kern w:val="0"/>
                <w:sz w:val="24"/>
              </w:rPr>
              <w:t>范围内无声环境敏感目标，因此，本次未开展声环境质量现状调查。</w:t>
            </w:r>
          </w:p>
          <w:p w14:paraId="10F25440">
            <w:pPr>
              <w:spacing w:line="360" w:lineRule="auto"/>
              <w:ind w:firstLine="482" w:firstLineChars="200"/>
              <w:jc w:val="left"/>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3.地下水环境</w:t>
            </w:r>
          </w:p>
          <w:p w14:paraId="3F0A4F01">
            <w:pPr>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建设项目环境影响报告表编制技术指南（污染影响类）》（试行），地下水、土壤环境原则上不开展环境质量现状调查。建设项目存在土壤、地下水污染途径的，应结合污染源、保护目标分布情况开展现状调查以留作背景值，以确保项目的可持续发展。针对环境保护目标，指南中针对地下水给出的内容为：地下水环境需明确厂界外500米范围内的地下水集中式饮用水水源和热水、矿泉水、温泉等特殊地下水资源。</w:t>
            </w:r>
          </w:p>
          <w:p w14:paraId="3FAE95FE">
            <w:pPr>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经调查，本项目</w:t>
            </w:r>
            <w:r>
              <w:rPr>
                <w:rFonts w:hint="default" w:ascii="Times New Roman" w:hAnsi="Times New Roman" w:eastAsia="宋体" w:cs="Times New Roman"/>
                <w:color w:val="auto"/>
                <w:sz w:val="24"/>
                <w:szCs w:val="24"/>
                <w:lang w:val="en-US" w:eastAsia="zh-CN"/>
              </w:rPr>
              <w:t>北侧310</w:t>
            </w:r>
            <w:r>
              <w:rPr>
                <w:rFonts w:hint="default" w:ascii="Times New Roman" w:hAnsi="Times New Roman" w:eastAsia="宋体" w:cs="Times New Roman"/>
                <w:color w:val="auto"/>
                <w:sz w:val="24"/>
                <w:szCs w:val="24"/>
                <w:lang w:eastAsia="zh-CN"/>
              </w:rPr>
              <w:t>m</w:t>
            </w:r>
            <w:r>
              <w:rPr>
                <w:rFonts w:hint="default" w:ascii="Times New Roman" w:hAnsi="Times New Roman" w:eastAsia="宋体" w:cs="Times New Roman"/>
                <w:color w:val="auto"/>
                <w:sz w:val="24"/>
                <w:szCs w:val="24"/>
              </w:rPr>
              <w:t>处为</w:t>
            </w:r>
            <w:r>
              <w:rPr>
                <w:rFonts w:hint="default" w:ascii="Times New Roman" w:hAnsi="Times New Roman" w:eastAsia="宋体" w:cs="Times New Roman"/>
                <w:color w:val="auto"/>
                <w:sz w:val="24"/>
                <w:szCs w:val="24"/>
                <w:lang w:val="en-US" w:eastAsia="zh-CN"/>
              </w:rPr>
              <w:t>锡尼镇</w:t>
            </w:r>
            <w:r>
              <w:rPr>
                <w:rFonts w:hint="default" w:ascii="Times New Roman" w:hAnsi="Times New Roman" w:eastAsia="宋体" w:cs="Times New Roman"/>
                <w:color w:val="auto"/>
                <w:sz w:val="24"/>
                <w:szCs w:val="24"/>
              </w:rPr>
              <w:t>水源地</w:t>
            </w:r>
            <w:r>
              <w:rPr>
                <w:rFonts w:hint="default" w:ascii="Times New Roman" w:hAnsi="Times New Roman" w:eastAsia="宋体" w:cs="Times New Roman"/>
                <w:color w:val="auto"/>
                <w:sz w:val="24"/>
                <w:szCs w:val="24"/>
                <w:lang w:val="en-US" w:eastAsia="zh-CN"/>
              </w:rPr>
              <w:t>5号井、东北侧340m处为锡尼镇水源地6和7号井</w:t>
            </w:r>
            <w:r>
              <w:rPr>
                <w:rFonts w:hint="default" w:ascii="Times New Roman" w:hAnsi="Times New Roman" w:eastAsia="宋体" w:cs="Times New Roman"/>
                <w:color w:val="auto"/>
                <w:sz w:val="24"/>
                <w:szCs w:val="24"/>
              </w:rPr>
              <w:t>。</w:t>
            </w:r>
          </w:p>
          <w:p w14:paraId="69EE87CB">
            <w:pPr>
              <w:spacing w:line="360" w:lineRule="auto"/>
              <w:ind w:firstLine="480" w:firstLineChars="200"/>
              <w:jc w:val="left"/>
              <w:rPr>
                <w:rFonts w:hint="default" w:ascii="Times New Roman" w:hAnsi="Times New Roman" w:eastAsia="宋体" w:cs="Times New Roman"/>
                <w:color w:val="auto"/>
                <w:szCs w:val="21"/>
              </w:rPr>
            </w:pPr>
            <w:r>
              <w:rPr>
                <w:rFonts w:hint="default" w:ascii="Times New Roman" w:hAnsi="Times New Roman" w:eastAsia="宋体" w:cs="Times New Roman"/>
                <w:color w:val="auto"/>
                <w:sz w:val="24"/>
                <w:szCs w:val="24"/>
              </w:rPr>
              <w:t>202</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年</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日，杭锦旗人民政府网站发布《关于公布鄂尔多斯市泽鑫水务投资集团有限责任公司2024年12月份水质检验报告》，对</w:t>
            </w:r>
            <w:r>
              <w:rPr>
                <w:rFonts w:hint="default" w:ascii="Times New Roman" w:hAnsi="Times New Roman" w:eastAsia="宋体" w:cs="Times New Roman"/>
                <w:color w:val="auto"/>
                <w:sz w:val="24"/>
                <w:szCs w:val="24"/>
                <w:lang w:val="en-US" w:eastAsia="zh-CN"/>
              </w:rPr>
              <w:t>锡尼镇</w:t>
            </w:r>
            <w:r>
              <w:rPr>
                <w:rFonts w:hint="default" w:ascii="Times New Roman" w:hAnsi="Times New Roman" w:eastAsia="宋体" w:cs="Times New Roman"/>
                <w:color w:val="auto"/>
                <w:sz w:val="24"/>
                <w:szCs w:val="24"/>
              </w:rPr>
              <w:t>生活饮用水水源地</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南水源地</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开展</w:t>
            </w:r>
            <w:r>
              <w:rPr>
                <w:rFonts w:hint="eastAsia" w:cs="Times New Roman"/>
                <w:color w:val="auto"/>
                <w:sz w:val="24"/>
                <w:szCs w:val="24"/>
                <w:lang w:eastAsia="zh-CN"/>
              </w:rPr>
              <w:t>水质</w:t>
            </w:r>
            <w:r>
              <w:rPr>
                <w:rFonts w:hint="default" w:ascii="Times New Roman" w:hAnsi="Times New Roman" w:eastAsia="宋体" w:cs="Times New Roman"/>
                <w:color w:val="auto"/>
                <w:sz w:val="24"/>
                <w:szCs w:val="24"/>
              </w:rPr>
              <w:t>检测。经检测，总大肠菌群、大肠埃希氏菌、菌落总数、砷、镉、铬（六价）、铅、汞、</w:t>
            </w:r>
            <w:r>
              <w:rPr>
                <w:rFonts w:hint="default" w:ascii="Times New Roman" w:hAnsi="Times New Roman" w:eastAsia="宋体" w:cs="Times New Roman"/>
                <w:color w:val="auto"/>
                <w:sz w:val="24"/>
                <w:szCs w:val="24"/>
                <w:lang w:val="en-US" w:eastAsia="zh-CN"/>
              </w:rPr>
              <w:t>氰</w:t>
            </w:r>
            <w:r>
              <w:rPr>
                <w:rFonts w:hint="default" w:ascii="Times New Roman" w:hAnsi="Times New Roman" w:eastAsia="宋体" w:cs="Times New Roman"/>
                <w:color w:val="auto"/>
                <w:sz w:val="24"/>
                <w:szCs w:val="24"/>
              </w:rPr>
              <w:t>化物、氟化物、硝酸盐、三</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rPr>
              <w:t>甲烷、一</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rPr>
              <w:t>二溴甲烷、二</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lang w:val="en-US" w:eastAsia="zh-CN"/>
              </w:rPr>
              <w:t>一</w:t>
            </w:r>
            <w:r>
              <w:rPr>
                <w:rFonts w:hint="default" w:ascii="Times New Roman" w:hAnsi="Times New Roman" w:eastAsia="宋体" w:cs="Times New Roman"/>
                <w:color w:val="auto"/>
                <w:sz w:val="24"/>
                <w:szCs w:val="24"/>
              </w:rPr>
              <w:t>溴甲烷、三溴甲烷、三卤甲烷（三</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rPr>
              <w:t>甲烷、</w:t>
            </w:r>
            <w:r>
              <w:rPr>
                <w:rFonts w:hint="default" w:ascii="Times New Roman" w:hAnsi="Times New Roman" w:eastAsia="宋体" w:cs="Times New Roman"/>
                <w:color w:val="auto"/>
                <w:sz w:val="24"/>
                <w:szCs w:val="24"/>
                <w:lang w:val="en-US" w:eastAsia="zh-CN"/>
              </w:rPr>
              <w:t>一</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rPr>
              <w:t>二溴甲烷、二</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lang w:val="en-US" w:eastAsia="zh-CN"/>
              </w:rPr>
              <w:t>一</w:t>
            </w:r>
            <w:r>
              <w:rPr>
                <w:rFonts w:hint="default" w:ascii="Times New Roman" w:hAnsi="Times New Roman" w:eastAsia="宋体" w:cs="Times New Roman"/>
                <w:color w:val="auto"/>
                <w:sz w:val="24"/>
                <w:szCs w:val="24"/>
              </w:rPr>
              <w:t>溴甲烷、三溴甲烷的总和）、二</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rPr>
              <w:t>乙酸、三</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rPr>
              <w:t>乙酸、溴酸盐、亚氯酸盐、氢酸盐、色度、浑浊度、臭和味、肉眼可见物、pH、铝、铁、锰、铜、锌、</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rPr>
              <w:t>化物、硫酸盐、溶解性总固体、总硬度（以CaC</w:t>
            </w:r>
            <w:r>
              <w:rPr>
                <w:rFonts w:hint="default" w:ascii="Times New Roman" w:hAnsi="Times New Roman" w:eastAsia="宋体" w:cs="Times New Roman"/>
                <w:color w:val="auto"/>
                <w:sz w:val="24"/>
                <w:szCs w:val="24"/>
                <w:lang w:val="en-US" w:eastAsia="zh-CN"/>
              </w:rPr>
              <w:t>O</w:t>
            </w:r>
            <w:r>
              <w:rPr>
                <w:rFonts w:hint="default" w:ascii="Times New Roman" w:hAnsi="Times New Roman" w:eastAsia="宋体" w:cs="Times New Roman"/>
                <w:color w:val="auto"/>
                <w:sz w:val="24"/>
                <w:szCs w:val="24"/>
                <w:vertAlign w:val="subscript"/>
                <w:lang w:val="en-US" w:eastAsia="zh-CN"/>
              </w:rPr>
              <w:t>3</w:t>
            </w:r>
            <w:r>
              <w:rPr>
                <w:rFonts w:hint="default" w:ascii="Times New Roman" w:hAnsi="Times New Roman" w:eastAsia="宋体" w:cs="Times New Roman"/>
                <w:color w:val="auto"/>
                <w:sz w:val="24"/>
                <w:szCs w:val="24"/>
              </w:rPr>
              <w:t>计</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、高锰酸盐指数</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以O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rPr>
              <w:t>计</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、氨</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以N计</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、总a放射性、总β放射性、游离</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rPr>
              <w:t>、总</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rPr>
              <w:t>、臭氧、二氧化</w:t>
            </w:r>
            <w:r>
              <w:rPr>
                <w:rFonts w:hint="default" w:ascii="Times New Roman" w:hAnsi="Times New Roman" w:eastAsia="宋体" w:cs="Times New Roman"/>
                <w:color w:val="auto"/>
                <w:sz w:val="24"/>
                <w:szCs w:val="24"/>
                <w:lang w:eastAsia="zh-CN"/>
              </w:rPr>
              <w:t>氯</w:t>
            </w:r>
            <w:r>
              <w:rPr>
                <w:rFonts w:hint="default" w:ascii="Times New Roman" w:hAnsi="Times New Roman" w:eastAsia="宋体" w:cs="Times New Roman"/>
                <w:color w:val="auto"/>
                <w:sz w:val="24"/>
                <w:szCs w:val="24"/>
              </w:rPr>
              <w:t>，共43项检测项目均满足《生活饮用水卫生标准》（GB5749-2022）标准限值要求。地下水检测报告详见附件7。</w:t>
            </w:r>
          </w:p>
        </w:tc>
      </w:tr>
      <w:tr w14:paraId="18235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85" w:hRule="atLeast"/>
          <w:jc w:val="center"/>
        </w:trPr>
        <w:tc>
          <w:tcPr>
            <w:tcW w:w="534" w:type="dxa"/>
            <w:vAlign w:val="center"/>
          </w:tcPr>
          <w:p w14:paraId="16369FD7">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环境</w:t>
            </w:r>
          </w:p>
          <w:p w14:paraId="489EB733">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保护</w:t>
            </w:r>
          </w:p>
          <w:p w14:paraId="0BE6ECEF">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目标</w:t>
            </w:r>
          </w:p>
        </w:tc>
        <w:tc>
          <w:tcPr>
            <w:tcW w:w="8527" w:type="dxa"/>
            <w:vAlign w:val="center"/>
          </w:tcPr>
          <w:p w14:paraId="351C324A">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项目拟选址在</w:t>
            </w:r>
            <w:r>
              <w:rPr>
                <w:rFonts w:hint="default" w:ascii="Times New Roman" w:hAnsi="Times New Roman" w:eastAsia="宋体" w:cs="Times New Roman"/>
                <w:bCs/>
                <w:color w:val="auto"/>
                <w:sz w:val="24"/>
              </w:rPr>
              <w:t>杭锦旗</w:t>
            </w:r>
            <w:r>
              <w:rPr>
                <w:rFonts w:hint="default" w:ascii="Times New Roman" w:hAnsi="Times New Roman" w:eastAsia="宋体" w:cs="Times New Roman"/>
                <w:bCs/>
                <w:color w:val="auto"/>
                <w:sz w:val="24"/>
                <w:lang w:eastAsia="zh-CN"/>
              </w:rPr>
              <w:t>锡尼镇团结社区，109国道南、阿四线西</w:t>
            </w:r>
            <w:r>
              <w:rPr>
                <w:rFonts w:hint="eastAsia" w:cs="Times New Roman"/>
                <w:color w:val="auto"/>
                <w:sz w:val="24"/>
                <w:lang w:eastAsia="zh-CN"/>
              </w:rPr>
              <w:t>。</w:t>
            </w:r>
            <w:r>
              <w:rPr>
                <w:rFonts w:hint="default" w:ascii="Times New Roman" w:hAnsi="Times New Roman" w:eastAsia="宋体" w:cs="Times New Roman"/>
                <w:color w:val="auto"/>
                <w:sz w:val="24"/>
              </w:rPr>
              <w:t>由现场调查可知，该区域内没有珍稀动植物资源、自然保护区、重点文物等重点保护目标</w:t>
            </w:r>
            <w:r>
              <w:rPr>
                <w:rFonts w:hint="default" w:ascii="Times New Roman" w:hAnsi="Times New Roman" w:eastAsia="宋体" w:cs="Times New Roman"/>
                <w:color w:val="auto"/>
                <w:sz w:val="24"/>
                <w:lang w:eastAsia="zh-CN"/>
              </w:rPr>
              <w:t>。项目</w:t>
            </w:r>
            <w:r>
              <w:rPr>
                <w:rFonts w:hint="default" w:ascii="Times New Roman" w:hAnsi="Times New Roman" w:eastAsia="宋体" w:cs="Times New Roman"/>
                <w:color w:val="auto"/>
                <w:sz w:val="24"/>
                <w:lang w:val="en-US" w:eastAsia="zh-CN"/>
              </w:rPr>
              <w:t>北侧310</w:t>
            </w:r>
            <w:r>
              <w:rPr>
                <w:rFonts w:hint="default" w:ascii="Times New Roman" w:hAnsi="Times New Roman" w:eastAsia="宋体" w:cs="Times New Roman"/>
                <w:color w:val="auto"/>
                <w:sz w:val="24"/>
                <w:lang w:eastAsia="zh-CN"/>
              </w:rPr>
              <w:t>m处为</w:t>
            </w:r>
            <w:r>
              <w:rPr>
                <w:rFonts w:hint="default" w:ascii="Times New Roman" w:hAnsi="Times New Roman" w:eastAsia="宋体" w:cs="Times New Roman"/>
                <w:color w:val="auto"/>
                <w:sz w:val="24"/>
                <w:lang w:val="en-US" w:eastAsia="zh-CN"/>
              </w:rPr>
              <w:t>锡尼镇</w:t>
            </w:r>
            <w:r>
              <w:rPr>
                <w:rFonts w:hint="default" w:ascii="Times New Roman" w:hAnsi="Times New Roman" w:eastAsia="宋体" w:cs="Times New Roman"/>
                <w:color w:val="auto"/>
                <w:sz w:val="24"/>
                <w:lang w:eastAsia="zh-CN"/>
              </w:rPr>
              <w:t>水源地</w:t>
            </w:r>
            <w:r>
              <w:rPr>
                <w:rFonts w:hint="default" w:ascii="Times New Roman" w:hAnsi="Times New Roman" w:eastAsia="宋体" w:cs="Times New Roman"/>
                <w:color w:val="auto"/>
                <w:sz w:val="24"/>
                <w:lang w:val="en-US" w:eastAsia="zh-CN"/>
              </w:rPr>
              <w:t>5号井、东北侧340m处为锡尼镇水源地6和7号井</w:t>
            </w:r>
            <w:r>
              <w:rPr>
                <w:rFonts w:hint="default" w:ascii="Times New Roman" w:hAnsi="Times New Roman" w:eastAsia="宋体" w:cs="Times New Roman"/>
                <w:color w:val="auto"/>
                <w:sz w:val="24"/>
              </w:rPr>
              <w:t>。</w:t>
            </w:r>
            <w:r>
              <w:rPr>
                <w:rFonts w:hint="default" w:ascii="Times New Roman" w:hAnsi="Times New Roman" w:eastAsia="宋体" w:cs="Times New Roman"/>
                <w:bCs/>
                <w:color w:val="auto"/>
                <w:sz w:val="24"/>
              </w:rPr>
              <w:t>本项目环境保护目标见表3-</w:t>
            </w:r>
            <w:r>
              <w:rPr>
                <w:rFonts w:hint="default" w:ascii="Times New Roman" w:hAnsi="Times New Roman" w:eastAsia="宋体" w:cs="Times New Roman"/>
                <w:bCs/>
                <w:color w:val="auto"/>
                <w:sz w:val="24"/>
                <w:lang w:val="en-US" w:eastAsia="zh-CN"/>
              </w:rPr>
              <w:t>1</w:t>
            </w:r>
            <w:r>
              <w:rPr>
                <w:rFonts w:hint="default" w:ascii="Times New Roman" w:hAnsi="Times New Roman" w:eastAsia="宋体" w:cs="Times New Roman"/>
                <w:bCs/>
                <w:color w:val="auto"/>
                <w:sz w:val="24"/>
              </w:rPr>
              <w:t>。</w:t>
            </w:r>
          </w:p>
          <w:p w14:paraId="15C213D5">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表3-</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 xml:space="preserve"> 环境保护目标一览表</w:t>
            </w:r>
          </w:p>
          <w:tbl>
            <w:tblPr>
              <w:tblStyle w:val="7"/>
              <w:tblW w:w="830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95"/>
              <w:gridCol w:w="1319"/>
              <w:gridCol w:w="1832"/>
              <w:gridCol w:w="568"/>
              <w:gridCol w:w="739"/>
              <w:gridCol w:w="560"/>
              <w:gridCol w:w="2493"/>
            </w:tblGrid>
            <w:tr w14:paraId="1428C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restart"/>
                  <w:tcBorders>
                    <w:top w:val="single" w:color="auto" w:sz="4" w:space="0"/>
                    <w:left w:val="single" w:color="auto" w:sz="0" w:space="0"/>
                  </w:tcBorders>
                  <w:vAlign w:val="center"/>
                </w:tcPr>
                <w:p w14:paraId="517F88C7">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环境要素</w:t>
                  </w:r>
                </w:p>
              </w:tc>
              <w:tc>
                <w:tcPr>
                  <w:tcW w:w="1319" w:type="dxa"/>
                  <w:vMerge w:val="restart"/>
                  <w:tcBorders>
                    <w:top w:val="single" w:color="auto" w:sz="4" w:space="0"/>
                  </w:tcBorders>
                  <w:vAlign w:val="center"/>
                </w:tcPr>
                <w:p w14:paraId="24AF0F30">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保护目标</w:t>
                  </w:r>
                </w:p>
              </w:tc>
              <w:tc>
                <w:tcPr>
                  <w:tcW w:w="1832" w:type="dxa"/>
                  <w:vMerge w:val="restart"/>
                  <w:tcBorders>
                    <w:top w:val="single" w:color="auto" w:sz="4" w:space="0"/>
                  </w:tcBorders>
                  <w:vAlign w:val="center"/>
                </w:tcPr>
                <w:p w14:paraId="42625421">
                  <w:pPr>
                    <w:jc w:val="center"/>
                    <w:rPr>
                      <w:rFonts w:hint="default" w:ascii="Times New Roman" w:hAnsi="Times New Roman" w:eastAsia="宋体" w:cs="Times New Roman"/>
                      <w:b/>
                      <w:color w:val="auto"/>
                      <w:szCs w:val="20"/>
                      <w:lang w:val="en-US" w:eastAsia="zh-CN"/>
                    </w:rPr>
                  </w:pPr>
                  <w:r>
                    <w:rPr>
                      <w:rFonts w:hint="default" w:ascii="Times New Roman" w:hAnsi="Times New Roman" w:eastAsia="宋体" w:cs="Times New Roman"/>
                      <w:b/>
                      <w:color w:val="auto"/>
                      <w:szCs w:val="20"/>
                      <w:lang w:val="en-US" w:eastAsia="zh-CN"/>
                    </w:rPr>
                    <w:t>坐标</w:t>
                  </w:r>
                </w:p>
              </w:tc>
              <w:tc>
                <w:tcPr>
                  <w:tcW w:w="1307" w:type="dxa"/>
                  <w:gridSpan w:val="2"/>
                  <w:tcBorders>
                    <w:top w:val="single" w:color="auto" w:sz="4" w:space="0"/>
                  </w:tcBorders>
                  <w:vAlign w:val="center"/>
                </w:tcPr>
                <w:p w14:paraId="6AE6768E">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相对厂址</w:t>
                  </w:r>
                </w:p>
              </w:tc>
              <w:tc>
                <w:tcPr>
                  <w:tcW w:w="560" w:type="dxa"/>
                  <w:vMerge w:val="restart"/>
                  <w:tcBorders>
                    <w:top w:val="single" w:color="auto" w:sz="4" w:space="0"/>
                  </w:tcBorders>
                  <w:vAlign w:val="center"/>
                </w:tcPr>
                <w:p w14:paraId="265F28CA">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人数</w:t>
                  </w:r>
                </w:p>
              </w:tc>
              <w:tc>
                <w:tcPr>
                  <w:tcW w:w="2493" w:type="dxa"/>
                  <w:vMerge w:val="restart"/>
                  <w:tcBorders>
                    <w:top w:val="single" w:color="auto" w:sz="4" w:space="0"/>
                    <w:right w:val="single" w:color="auto" w:sz="4" w:space="0"/>
                  </w:tcBorders>
                  <w:vAlign w:val="center"/>
                </w:tcPr>
                <w:p w14:paraId="2BAC82F5">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保护级别</w:t>
                  </w:r>
                </w:p>
              </w:tc>
            </w:tr>
            <w:tr w14:paraId="0CE69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tcBorders>
                    <w:left w:val="single" w:color="auto" w:sz="4" w:space="0"/>
                  </w:tcBorders>
                  <w:vAlign w:val="center"/>
                </w:tcPr>
                <w:p w14:paraId="7B3FBA8B">
                  <w:pPr>
                    <w:jc w:val="center"/>
                    <w:rPr>
                      <w:rFonts w:hint="default" w:ascii="Times New Roman" w:hAnsi="Times New Roman" w:eastAsia="宋体" w:cs="Times New Roman"/>
                      <w:color w:val="auto"/>
                      <w:szCs w:val="20"/>
                    </w:rPr>
                  </w:pPr>
                </w:p>
              </w:tc>
              <w:tc>
                <w:tcPr>
                  <w:tcW w:w="1319" w:type="dxa"/>
                  <w:vMerge w:val="continue"/>
                  <w:vAlign w:val="center"/>
                </w:tcPr>
                <w:p w14:paraId="56E46593">
                  <w:pPr>
                    <w:jc w:val="center"/>
                    <w:rPr>
                      <w:rFonts w:hint="default" w:ascii="Times New Roman" w:hAnsi="Times New Roman" w:eastAsia="宋体" w:cs="Times New Roman"/>
                      <w:color w:val="auto"/>
                      <w:szCs w:val="20"/>
                    </w:rPr>
                  </w:pPr>
                </w:p>
              </w:tc>
              <w:tc>
                <w:tcPr>
                  <w:tcW w:w="1832" w:type="dxa"/>
                  <w:vMerge w:val="continue"/>
                  <w:vAlign w:val="center"/>
                </w:tcPr>
                <w:p w14:paraId="54BB61F4">
                  <w:pPr>
                    <w:jc w:val="center"/>
                    <w:rPr>
                      <w:rFonts w:hint="default" w:ascii="Times New Roman" w:hAnsi="Times New Roman" w:eastAsia="宋体" w:cs="Times New Roman"/>
                      <w:b/>
                      <w:color w:val="auto"/>
                      <w:szCs w:val="20"/>
                    </w:rPr>
                  </w:pPr>
                </w:p>
              </w:tc>
              <w:tc>
                <w:tcPr>
                  <w:tcW w:w="568" w:type="dxa"/>
                  <w:vAlign w:val="center"/>
                </w:tcPr>
                <w:p w14:paraId="131994A4">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方位</w:t>
                  </w:r>
                </w:p>
              </w:tc>
              <w:tc>
                <w:tcPr>
                  <w:tcW w:w="739" w:type="dxa"/>
                  <w:vAlign w:val="center"/>
                </w:tcPr>
                <w:p w14:paraId="5768220E">
                  <w:pPr>
                    <w:jc w:val="center"/>
                    <w:rPr>
                      <w:rFonts w:hint="default" w:ascii="Times New Roman" w:hAnsi="Times New Roman" w:eastAsia="宋体" w:cs="Times New Roman"/>
                      <w:b/>
                      <w:color w:val="auto"/>
                      <w:szCs w:val="20"/>
                    </w:rPr>
                  </w:pPr>
                  <w:r>
                    <w:rPr>
                      <w:rFonts w:hint="default" w:ascii="Times New Roman" w:hAnsi="Times New Roman" w:eastAsia="宋体" w:cs="Times New Roman"/>
                      <w:b/>
                      <w:color w:val="auto"/>
                      <w:szCs w:val="20"/>
                    </w:rPr>
                    <w:t>距离（</w:t>
                  </w:r>
                  <w:r>
                    <w:rPr>
                      <w:rFonts w:hint="default" w:ascii="Times New Roman" w:hAnsi="Times New Roman" w:eastAsia="宋体" w:cs="Times New Roman"/>
                      <w:b/>
                      <w:color w:val="auto"/>
                      <w:szCs w:val="20"/>
                      <w:vertAlign w:val="baseline"/>
                      <w:lang w:eastAsia="zh-CN"/>
                    </w:rPr>
                    <w:t>m</w:t>
                  </w:r>
                  <w:r>
                    <w:rPr>
                      <w:rFonts w:hint="default" w:ascii="Times New Roman" w:hAnsi="Times New Roman" w:eastAsia="宋体" w:cs="Times New Roman"/>
                      <w:b/>
                      <w:color w:val="auto"/>
                      <w:szCs w:val="20"/>
                    </w:rPr>
                    <w:t>）</w:t>
                  </w:r>
                </w:p>
              </w:tc>
              <w:tc>
                <w:tcPr>
                  <w:tcW w:w="560" w:type="dxa"/>
                  <w:vMerge w:val="continue"/>
                  <w:vAlign w:val="center"/>
                </w:tcPr>
                <w:p w14:paraId="50EF620E">
                  <w:pPr>
                    <w:jc w:val="center"/>
                    <w:rPr>
                      <w:rFonts w:hint="default" w:ascii="Times New Roman" w:hAnsi="Times New Roman" w:eastAsia="宋体" w:cs="Times New Roman"/>
                      <w:color w:val="auto"/>
                      <w:szCs w:val="20"/>
                    </w:rPr>
                  </w:pPr>
                </w:p>
              </w:tc>
              <w:tc>
                <w:tcPr>
                  <w:tcW w:w="2493" w:type="dxa"/>
                  <w:vMerge w:val="continue"/>
                  <w:tcBorders>
                    <w:right w:val="single" w:color="auto" w:sz="4" w:space="0"/>
                  </w:tcBorders>
                  <w:vAlign w:val="center"/>
                </w:tcPr>
                <w:p w14:paraId="0A918D4E">
                  <w:pPr>
                    <w:jc w:val="center"/>
                    <w:rPr>
                      <w:rFonts w:hint="default" w:ascii="Times New Roman" w:hAnsi="Times New Roman" w:eastAsia="宋体" w:cs="Times New Roman"/>
                      <w:color w:val="auto"/>
                      <w:szCs w:val="20"/>
                    </w:rPr>
                  </w:pPr>
                </w:p>
              </w:tc>
            </w:tr>
            <w:tr w14:paraId="6C5F4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restart"/>
                  <w:tcBorders>
                    <w:left w:val="single" w:color="auto" w:sz="4" w:space="0"/>
                  </w:tcBorders>
                  <w:vAlign w:val="center"/>
                </w:tcPr>
                <w:p w14:paraId="16CBF544">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环境空气</w:t>
                  </w:r>
                </w:p>
              </w:tc>
              <w:tc>
                <w:tcPr>
                  <w:tcW w:w="1319" w:type="dxa"/>
                  <w:vAlign w:val="center"/>
                </w:tcPr>
                <w:p w14:paraId="298CE46E">
                  <w:pPr>
                    <w:jc w:val="center"/>
                    <w:rPr>
                      <w:rFonts w:hint="default" w:ascii="Times New Roman" w:hAnsi="Times New Roman" w:eastAsia="宋体" w:cs="Times New Roman"/>
                      <w:color w:val="auto"/>
                      <w:szCs w:val="20"/>
                      <w:lang w:eastAsia="zh-CN"/>
                    </w:rPr>
                  </w:pPr>
                  <w:r>
                    <w:rPr>
                      <w:rFonts w:hint="default" w:ascii="Times New Roman" w:hAnsi="Times New Roman" w:eastAsia="宋体" w:cs="Times New Roman"/>
                      <w:color w:val="auto"/>
                      <w:szCs w:val="20"/>
                      <w:lang w:val="en-US" w:eastAsia="zh-CN"/>
                    </w:rPr>
                    <w:t>神华馨苑</w:t>
                  </w:r>
                </w:p>
              </w:tc>
              <w:tc>
                <w:tcPr>
                  <w:tcW w:w="1832" w:type="dxa"/>
                  <w:vAlign w:val="center"/>
                </w:tcPr>
                <w:p w14:paraId="7FBE20E2">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E108°44′26.773"</w:t>
                  </w:r>
                </w:p>
                <w:p w14:paraId="6A6817EF">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N39°48′51.294"</w:t>
                  </w:r>
                </w:p>
              </w:tc>
              <w:tc>
                <w:tcPr>
                  <w:tcW w:w="568" w:type="dxa"/>
                  <w:vAlign w:val="center"/>
                </w:tcPr>
                <w:p w14:paraId="1D2428AE">
                  <w:pPr>
                    <w:jc w:val="center"/>
                    <w:rPr>
                      <w:rFonts w:hint="default" w:ascii="Times New Roman" w:hAnsi="Times New Roman" w:eastAsia="宋体" w:cs="Times New Roman"/>
                      <w:b/>
                      <w:color w:val="auto"/>
                      <w:szCs w:val="20"/>
                      <w:lang w:eastAsia="zh-CN"/>
                    </w:rPr>
                  </w:pPr>
                  <w:r>
                    <w:rPr>
                      <w:rFonts w:hint="default" w:ascii="Times New Roman" w:hAnsi="Times New Roman" w:eastAsia="宋体" w:cs="Times New Roman"/>
                      <w:color w:val="auto"/>
                      <w:szCs w:val="20"/>
                      <w:lang w:val="en-US" w:eastAsia="zh-CN"/>
                    </w:rPr>
                    <w:t>E</w:t>
                  </w:r>
                </w:p>
              </w:tc>
              <w:tc>
                <w:tcPr>
                  <w:tcW w:w="739" w:type="dxa"/>
                  <w:vAlign w:val="center"/>
                </w:tcPr>
                <w:p w14:paraId="0F395116">
                  <w:pPr>
                    <w:jc w:val="center"/>
                    <w:rPr>
                      <w:rFonts w:hint="default" w:ascii="Times New Roman" w:hAnsi="Times New Roman" w:eastAsia="宋体" w:cs="Times New Roman"/>
                      <w:b/>
                      <w:color w:val="auto"/>
                      <w:szCs w:val="20"/>
                      <w:lang w:val="en-US" w:eastAsia="zh-CN"/>
                    </w:rPr>
                  </w:pPr>
                  <w:r>
                    <w:rPr>
                      <w:rFonts w:hint="default" w:ascii="Times New Roman" w:hAnsi="Times New Roman" w:eastAsia="宋体" w:cs="Times New Roman"/>
                      <w:color w:val="auto"/>
                      <w:szCs w:val="20"/>
                      <w:lang w:val="en-US" w:eastAsia="zh-CN"/>
                    </w:rPr>
                    <w:t>450</w:t>
                  </w:r>
                </w:p>
              </w:tc>
              <w:tc>
                <w:tcPr>
                  <w:tcW w:w="560" w:type="dxa"/>
                  <w:vAlign w:val="center"/>
                </w:tcPr>
                <w:p w14:paraId="24E88379">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100</w:t>
                  </w:r>
                </w:p>
              </w:tc>
              <w:tc>
                <w:tcPr>
                  <w:tcW w:w="2493" w:type="dxa"/>
                  <w:vMerge w:val="restart"/>
                  <w:tcBorders>
                    <w:right w:val="single" w:color="auto" w:sz="4" w:space="0"/>
                  </w:tcBorders>
                  <w:vAlign w:val="center"/>
                </w:tcPr>
                <w:p w14:paraId="02E10FB8">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《环境空气质量标准》（GB3095-2012）</w:t>
                  </w:r>
                </w:p>
                <w:p w14:paraId="07088191">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二级标准</w:t>
                  </w:r>
                </w:p>
              </w:tc>
            </w:tr>
            <w:tr w14:paraId="2F0CE0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795" w:type="dxa"/>
                  <w:vMerge w:val="continue"/>
                  <w:tcBorders>
                    <w:left w:val="single" w:color="auto" w:sz="4" w:space="0"/>
                  </w:tcBorders>
                  <w:vAlign w:val="center"/>
                </w:tcPr>
                <w:p w14:paraId="7EC52302">
                  <w:pPr>
                    <w:jc w:val="center"/>
                    <w:rPr>
                      <w:rFonts w:hint="default" w:ascii="Times New Roman" w:hAnsi="Times New Roman" w:eastAsia="宋体" w:cs="Times New Roman"/>
                      <w:color w:val="auto"/>
                      <w:szCs w:val="20"/>
                    </w:rPr>
                  </w:pPr>
                </w:p>
              </w:tc>
              <w:tc>
                <w:tcPr>
                  <w:tcW w:w="1319" w:type="dxa"/>
                  <w:vAlign w:val="center"/>
                </w:tcPr>
                <w:p w14:paraId="0D86B0C3">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明珠小区</w:t>
                  </w:r>
                </w:p>
              </w:tc>
              <w:tc>
                <w:tcPr>
                  <w:tcW w:w="1832" w:type="dxa"/>
                  <w:vAlign w:val="center"/>
                </w:tcPr>
                <w:p w14:paraId="2104F2EE">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E108°43′48.458"</w:t>
                  </w:r>
                </w:p>
                <w:p w14:paraId="6E1F4EC2">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N39°49′2.959"</w:t>
                  </w:r>
                </w:p>
              </w:tc>
              <w:tc>
                <w:tcPr>
                  <w:tcW w:w="568" w:type="dxa"/>
                  <w:vAlign w:val="center"/>
                </w:tcPr>
                <w:p w14:paraId="62C9B962">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NE</w:t>
                  </w:r>
                </w:p>
              </w:tc>
              <w:tc>
                <w:tcPr>
                  <w:tcW w:w="739" w:type="dxa"/>
                  <w:vAlign w:val="center"/>
                </w:tcPr>
                <w:p w14:paraId="7BEED502">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400</w:t>
                  </w:r>
                </w:p>
              </w:tc>
              <w:tc>
                <w:tcPr>
                  <w:tcW w:w="560" w:type="dxa"/>
                  <w:vAlign w:val="center"/>
                </w:tcPr>
                <w:p w14:paraId="04FDA56B">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500</w:t>
                  </w:r>
                </w:p>
              </w:tc>
              <w:tc>
                <w:tcPr>
                  <w:tcW w:w="2493" w:type="dxa"/>
                  <w:vMerge w:val="continue"/>
                  <w:tcBorders>
                    <w:right w:val="single" w:color="auto" w:sz="4" w:space="0"/>
                  </w:tcBorders>
                  <w:vAlign w:val="center"/>
                </w:tcPr>
                <w:p w14:paraId="28FA55C1">
                  <w:pPr>
                    <w:jc w:val="center"/>
                    <w:rPr>
                      <w:rFonts w:hint="default" w:ascii="Times New Roman" w:hAnsi="Times New Roman" w:eastAsia="宋体" w:cs="Times New Roman"/>
                      <w:color w:val="auto"/>
                      <w:szCs w:val="20"/>
                    </w:rPr>
                  </w:pPr>
                </w:p>
              </w:tc>
            </w:tr>
            <w:tr w14:paraId="1B37C9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tcBorders>
                    <w:left w:val="single" w:color="auto" w:sz="4" w:space="0"/>
                  </w:tcBorders>
                  <w:vAlign w:val="center"/>
                </w:tcPr>
                <w:p w14:paraId="42025038">
                  <w:pPr>
                    <w:jc w:val="center"/>
                    <w:rPr>
                      <w:rFonts w:hint="default" w:ascii="Times New Roman" w:hAnsi="Times New Roman" w:eastAsia="宋体" w:cs="Times New Roman"/>
                      <w:color w:val="auto"/>
                      <w:szCs w:val="20"/>
                    </w:rPr>
                  </w:pPr>
                </w:p>
              </w:tc>
              <w:tc>
                <w:tcPr>
                  <w:tcW w:w="1319" w:type="dxa"/>
                  <w:vAlign w:val="center"/>
                </w:tcPr>
                <w:p w14:paraId="6206C976">
                  <w:pPr>
                    <w:jc w:val="center"/>
                    <w:rPr>
                      <w:rFonts w:hint="default" w:ascii="Times New Roman" w:hAnsi="Times New Roman" w:eastAsia="宋体" w:cs="Times New Roman"/>
                      <w:color w:val="auto"/>
                      <w:szCs w:val="20"/>
                      <w:lang w:val="en-US" w:eastAsia="zh-CN"/>
                    </w:rPr>
                  </w:pPr>
                  <w:r>
                    <w:rPr>
                      <w:rFonts w:hint="eastAsia" w:cs="Times New Roman"/>
                      <w:color w:val="auto"/>
                      <w:szCs w:val="20"/>
                      <w:lang w:val="en-US" w:eastAsia="zh-CN"/>
                    </w:rPr>
                    <w:t>日月轩</w:t>
                  </w:r>
                  <w:r>
                    <w:rPr>
                      <w:rFonts w:hint="default" w:ascii="Times New Roman" w:hAnsi="Times New Roman" w:eastAsia="宋体" w:cs="Times New Roman"/>
                      <w:color w:val="auto"/>
                      <w:szCs w:val="20"/>
                      <w:lang w:val="en-US" w:eastAsia="zh-CN"/>
                    </w:rPr>
                    <w:t>小区</w:t>
                  </w:r>
                </w:p>
              </w:tc>
              <w:tc>
                <w:tcPr>
                  <w:tcW w:w="1832" w:type="dxa"/>
                  <w:vAlign w:val="center"/>
                </w:tcPr>
                <w:p w14:paraId="2778AAD5">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E108°44′22.679"</w:t>
                  </w:r>
                </w:p>
                <w:p w14:paraId="59D81E7F">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N39°49′2.495"</w:t>
                  </w:r>
                </w:p>
              </w:tc>
              <w:tc>
                <w:tcPr>
                  <w:tcW w:w="568" w:type="dxa"/>
                  <w:vAlign w:val="center"/>
                </w:tcPr>
                <w:p w14:paraId="5DFC9843">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SW</w:t>
                  </w:r>
                </w:p>
              </w:tc>
              <w:tc>
                <w:tcPr>
                  <w:tcW w:w="739" w:type="dxa"/>
                  <w:vAlign w:val="center"/>
                </w:tcPr>
                <w:p w14:paraId="415163A0">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390</w:t>
                  </w:r>
                </w:p>
              </w:tc>
              <w:tc>
                <w:tcPr>
                  <w:tcW w:w="560" w:type="dxa"/>
                  <w:vAlign w:val="center"/>
                </w:tcPr>
                <w:p w14:paraId="1A70170A">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300</w:t>
                  </w:r>
                </w:p>
              </w:tc>
              <w:tc>
                <w:tcPr>
                  <w:tcW w:w="2493" w:type="dxa"/>
                  <w:vMerge w:val="continue"/>
                  <w:tcBorders>
                    <w:right w:val="single" w:color="auto" w:sz="4" w:space="0"/>
                  </w:tcBorders>
                  <w:vAlign w:val="center"/>
                </w:tcPr>
                <w:p w14:paraId="6F7BBAB7">
                  <w:pPr>
                    <w:jc w:val="center"/>
                    <w:rPr>
                      <w:rFonts w:hint="default" w:ascii="Times New Roman" w:hAnsi="Times New Roman" w:eastAsia="宋体" w:cs="Times New Roman"/>
                      <w:color w:val="auto"/>
                      <w:szCs w:val="20"/>
                    </w:rPr>
                  </w:pPr>
                </w:p>
              </w:tc>
            </w:tr>
            <w:tr w14:paraId="210EF4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tcBorders>
                    <w:left w:val="single" w:color="auto" w:sz="4" w:space="0"/>
                  </w:tcBorders>
                  <w:shd w:val="clear" w:color="auto" w:fill="auto"/>
                  <w:vAlign w:val="center"/>
                </w:tcPr>
                <w:p w14:paraId="0A887E8E">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color w:val="auto"/>
                      <w:szCs w:val="20"/>
                    </w:rPr>
                    <w:t>声环境</w:t>
                  </w:r>
                </w:p>
              </w:tc>
              <w:tc>
                <w:tcPr>
                  <w:tcW w:w="5018" w:type="dxa"/>
                  <w:gridSpan w:val="5"/>
                  <w:shd w:val="clear" w:color="auto" w:fill="auto"/>
                  <w:vAlign w:val="center"/>
                </w:tcPr>
                <w:p w14:paraId="646139F2">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color w:val="auto"/>
                      <w:kern w:val="2"/>
                      <w:sz w:val="21"/>
                      <w:szCs w:val="20"/>
                      <w:lang w:val="en-US" w:eastAsia="zh-CN" w:bidi="ar-SA"/>
                    </w:rPr>
                    <w:t>项目厂界外50m范围内无声环境敏感目标</w:t>
                  </w:r>
                </w:p>
              </w:tc>
              <w:tc>
                <w:tcPr>
                  <w:tcW w:w="2493" w:type="dxa"/>
                  <w:tcBorders>
                    <w:right w:val="single" w:color="auto" w:sz="4" w:space="0"/>
                  </w:tcBorders>
                  <w:shd w:val="clear" w:color="auto" w:fill="auto"/>
                  <w:vAlign w:val="center"/>
                </w:tcPr>
                <w:p w14:paraId="2E5AC733">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color w:val="auto"/>
                      <w:szCs w:val="20"/>
                    </w:rPr>
                    <w:t>《声环境质量标准》（GB3096-2008）</w:t>
                  </w:r>
                  <w:r>
                    <w:rPr>
                      <w:rFonts w:hint="default" w:ascii="Times New Roman" w:hAnsi="Times New Roman" w:eastAsia="宋体" w:cs="Times New Roman"/>
                      <w:color w:val="auto"/>
                      <w:szCs w:val="20"/>
                      <w:lang w:eastAsia="zh-CN"/>
                    </w:rPr>
                    <w:t>2类标准</w:t>
                  </w:r>
                </w:p>
              </w:tc>
            </w:tr>
            <w:tr w14:paraId="6DB660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restart"/>
                  <w:tcBorders>
                    <w:left w:val="single" w:color="auto" w:sz="4" w:space="0"/>
                  </w:tcBorders>
                  <w:vAlign w:val="center"/>
                </w:tcPr>
                <w:p w14:paraId="62CD3FB1">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地下水</w:t>
                  </w:r>
                </w:p>
              </w:tc>
              <w:tc>
                <w:tcPr>
                  <w:tcW w:w="1319" w:type="dxa"/>
                  <w:vAlign w:val="center"/>
                </w:tcPr>
                <w:p w14:paraId="02ACFEC0">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水源保护地5号井</w:t>
                  </w:r>
                </w:p>
              </w:tc>
              <w:tc>
                <w:tcPr>
                  <w:tcW w:w="1832" w:type="dxa"/>
                  <w:shd w:val="clear" w:color="auto" w:fill="auto"/>
                  <w:vAlign w:val="center"/>
                </w:tcPr>
                <w:p w14:paraId="1099637C">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E108°43′59.079"</w:t>
                  </w:r>
                </w:p>
                <w:p w14:paraId="6F429F75">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color w:val="auto"/>
                      <w:szCs w:val="20"/>
                      <w:lang w:val="en-US" w:eastAsia="zh-CN"/>
                    </w:rPr>
                    <w:t>N39°49′6.029"</w:t>
                  </w:r>
                </w:p>
              </w:tc>
              <w:tc>
                <w:tcPr>
                  <w:tcW w:w="568" w:type="dxa"/>
                  <w:vAlign w:val="center"/>
                </w:tcPr>
                <w:p w14:paraId="66B4DC45">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N</w:t>
                  </w:r>
                </w:p>
              </w:tc>
              <w:tc>
                <w:tcPr>
                  <w:tcW w:w="739" w:type="dxa"/>
                  <w:vAlign w:val="center"/>
                </w:tcPr>
                <w:p w14:paraId="5303EB3C">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310</w:t>
                  </w:r>
                </w:p>
              </w:tc>
              <w:tc>
                <w:tcPr>
                  <w:tcW w:w="560" w:type="dxa"/>
                  <w:vAlign w:val="center"/>
                </w:tcPr>
                <w:p w14:paraId="76CC22E3">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w:t>
                  </w:r>
                </w:p>
              </w:tc>
              <w:tc>
                <w:tcPr>
                  <w:tcW w:w="2493" w:type="dxa"/>
                  <w:vMerge w:val="restart"/>
                  <w:tcBorders>
                    <w:right w:val="single" w:color="auto" w:sz="4" w:space="0"/>
                  </w:tcBorders>
                  <w:vAlign w:val="center"/>
                </w:tcPr>
                <w:p w14:paraId="67C9E248">
                  <w:pPr>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《地下水质量标准》（GB/T14848-2017）Ⅲ类标准</w:t>
                  </w:r>
                </w:p>
              </w:tc>
            </w:tr>
            <w:tr w14:paraId="787BAE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tcBorders>
                    <w:left w:val="single" w:color="auto" w:sz="4" w:space="0"/>
                  </w:tcBorders>
                  <w:vAlign w:val="center"/>
                </w:tcPr>
                <w:p w14:paraId="30896B4C">
                  <w:pPr>
                    <w:jc w:val="center"/>
                    <w:rPr>
                      <w:rFonts w:hint="default" w:ascii="Times New Roman" w:hAnsi="Times New Roman" w:eastAsia="宋体" w:cs="Times New Roman"/>
                      <w:color w:val="auto"/>
                      <w:szCs w:val="20"/>
                    </w:rPr>
                  </w:pPr>
                </w:p>
              </w:tc>
              <w:tc>
                <w:tcPr>
                  <w:tcW w:w="1319" w:type="dxa"/>
                  <w:vAlign w:val="center"/>
                </w:tcPr>
                <w:p w14:paraId="28B2C36F">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水源保护地6、7号井</w:t>
                  </w:r>
                </w:p>
              </w:tc>
              <w:tc>
                <w:tcPr>
                  <w:tcW w:w="1832" w:type="dxa"/>
                  <w:shd w:val="clear" w:color="auto" w:fill="auto"/>
                  <w:vAlign w:val="center"/>
                </w:tcPr>
                <w:p w14:paraId="0D131EC6">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E108°44′17.551"</w:t>
                  </w:r>
                </w:p>
                <w:p w14:paraId="081D6F73">
                  <w:pPr>
                    <w:jc w:val="center"/>
                    <w:rPr>
                      <w:rFonts w:hint="default" w:ascii="Times New Roman" w:hAnsi="Times New Roman" w:eastAsia="宋体" w:cs="Times New Roman"/>
                      <w:color w:val="auto"/>
                      <w:kern w:val="2"/>
                      <w:sz w:val="21"/>
                      <w:szCs w:val="20"/>
                      <w:lang w:val="en-US" w:eastAsia="zh-CN" w:bidi="ar-SA"/>
                    </w:rPr>
                  </w:pPr>
                  <w:r>
                    <w:rPr>
                      <w:rFonts w:hint="default" w:ascii="Times New Roman" w:hAnsi="Times New Roman" w:eastAsia="宋体" w:cs="Times New Roman"/>
                      <w:color w:val="auto"/>
                      <w:szCs w:val="20"/>
                      <w:lang w:val="en-US" w:eastAsia="zh-CN"/>
                    </w:rPr>
                    <w:t>N39°49′5.218"</w:t>
                  </w:r>
                </w:p>
              </w:tc>
              <w:tc>
                <w:tcPr>
                  <w:tcW w:w="568" w:type="dxa"/>
                  <w:vAlign w:val="center"/>
                </w:tcPr>
                <w:p w14:paraId="768F3619">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NE</w:t>
                  </w:r>
                </w:p>
              </w:tc>
              <w:tc>
                <w:tcPr>
                  <w:tcW w:w="739" w:type="dxa"/>
                  <w:vAlign w:val="center"/>
                </w:tcPr>
                <w:p w14:paraId="57B0546F">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340</w:t>
                  </w:r>
                </w:p>
              </w:tc>
              <w:tc>
                <w:tcPr>
                  <w:tcW w:w="560" w:type="dxa"/>
                  <w:vAlign w:val="center"/>
                </w:tcPr>
                <w:p w14:paraId="040A9190">
                  <w:pPr>
                    <w:jc w:val="center"/>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w:t>
                  </w:r>
                </w:p>
              </w:tc>
              <w:tc>
                <w:tcPr>
                  <w:tcW w:w="2493" w:type="dxa"/>
                  <w:vMerge w:val="continue"/>
                  <w:tcBorders>
                    <w:right w:val="single" w:color="auto" w:sz="4" w:space="0"/>
                  </w:tcBorders>
                  <w:vAlign w:val="center"/>
                </w:tcPr>
                <w:p w14:paraId="38443507">
                  <w:pPr>
                    <w:jc w:val="center"/>
                    <w:rPr>
                      <w:rFonts w:hint="default" w:ascii="Times New Roman" w:hAnsi="Times New Roman" w:eastAsia="宋体" w:cs="Times New Roman"/>
                      <w:color w:val="auto"/>
                      <w:szCs w:val="20"/>
                    </w:rPr>
                  </w:pPr>
                </w:p>
              </w:tc>
            </w:tr>
            <w:tr w14:paraId="29A77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795" w:type="dxa"/>
                  <w:vMerge w:val="continue"/>
                  <w:tcBorders>
                    <w:left w:val="single" w:color="auto" w:sz="4" w:space="0"/>
                    <w:bottom w:val="single" w:color="auto" w:sz="4" w:space="0"/>
                  </w:tcBorders>
                  <w:vAlign w:val="center"/>
                </w:tcPr>
                <w:p w14:paraId="75245736">
                  <w:pPr>
                    <w:jc w:val="center"/>
                    <w:rPr>
                      <w:rFonts w:hint="default" w:ascii="Times New Roman" w:hAnsi="Times New Roman" w:eastAsia="宋体" w:cs="Times New Roman"/>
                      <w:color w:val="auto"/>
                      <w:szCs w:val="20"/>
                    </w:rPr>
                  </w:pPr>
                </w:p>
              </w:tc>
              <w:tc>
                <w:tcPr>
                  <w:tcW w:w="5018" w:type="dxa"/>
                  <w:gridSpan w:val="5"/>
                  <w:tcBorders>
                    <w:bottom w:val="single" w:color="auto" w:sz="4" w:space="0"/>
                  </w:tcBorders>
                  <w:vAlign w:val="center"/>
                </w:tcPr>
                <w:p w14:paraId="0AD9E37D">
                  <w:pPr>
                    <w:jc w:val="left"/>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取水层：白垩系保安群罗汉洞组和环河组</w:t>
                  </w:r>
                  <w:r>
                    <w:rPr>
                      <w:rFonts w:hint="eastAsia" w:cs="Times New Roman"/>
                      <w:color w:val="auto"/>
                      <w:szCs w:val="20"/>
                      <w:lang w:val="en-US" w:eastAsia="zh-CN"/>
                    </w:rPr>
                    <w:t>。</w:t>
                  </w:r>
                </w:p>
                <w:p w14:paraId="6F279DE1">
                  <w:pPr>
                    <w:jc w:val="left"/>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供水范围：锡尼镇镇区</w:t>
                  </w:r>
                  <w:r>
                    <w:rPr>
                      <w:rFonts w:hint="eastAsia" w:cs="Times New Roman"/>
                      <w:color w:val="auto"/>
                      <w:szCs w:val="20"/>
                      <w:lang w:val="en-US" w:eastAsia="zh-CN"/>
                    </w:rPr>
                    <w:t>。</w:t>
                  </w:r>
                </w:p>
                <w:p w14:paraId="42984426">
                  <w:pPr>
                    <w:jc w:val="left"/>
                    <w:rPr>
                      <w:rFonts w:hint="default" w:ascii="Times New Roman" w:hAnsi="Times New Roman" w:eastAsia="宋体" w:cs="Times New Roman"/>
                      <w:color w:val="auto"/>
                      <w:szCs w:val="20"/>
                      <w:lang w:val="en-US" w:eastAsia="zh-CN"/>
                    </w:rPr>
                  </w:pPr>
                  <w:r>
                    <w:rPr>
                      <w:rFonts w:hint="default" w:ascii="Times New Roman" w:hAnsi="Times New Roman" w:eastAsia="宋体" w:cs="Times New Roman"/>
                      <w:color w:val="auto"/>
                      <w:szCs w:val="20"/>
                      <w:lang w:val="en-US" w:eastAsia="zh-CN"/>
                    </w:rPr>
                    <w:t>供水人口：45000人</w:t>
                  </w:r>
                  <w:r>
                    <w:rPr>
                      <w:rFonts w:hint="eastAsia" w:cs="Times New Roman"/>
                      <w:color w:val="auto"/>
                      <w:szCs w:val="20"/>
                      <w:lang w:val="en-US" w:eastAsia="zh-CN"/>
                    </w:rPr>
                    <w:t>。</w:t>
                  </w:r>
                </w:p>
              </w:tc>
              <w:tc>
                <w:tcPr>
                  <w:tcW w:w="2493" w:type="dxa"/>
                  <w:vMerge w:val="continue"/>
                  <w:tcBorders>
                    <w:right w:val="single" w:color="auto" w:sz="4" w:space="0"/>
                  </w:tcBorders>
                  <w:vAlign w:val="center"/>
                </w:tcPr>
                <w:p w14:paraId="63D88673">
                  <w:pPr>
                    <w:jc w:val="center"/>
                    <w:rPr>
                      <w:rFonts w:hint="default" w:ascii="Times New Roman" w:hAnsi="Times New Roman" w:eastAsia="宋体" w:cs="Times New Roman"/>
                      <w:color w:val="auto"/>
                      <w:szCs w:val="20"/>
                    </w:rPr>
                  </w:pPr>
                </w:p>
              </w:tc>
            </w:tr>
          </w:tbl>
          <w:p w14:paraId="04E6043F">
            <w:pPr>
              <w:spacing w:line="360" w:lineRule="auto"/>
              <w:rPr>
                <w:rFonts w:hint="default" w:ascii="Times New Roman" w:hAnsi="Times New Roman" w:eastAsia="宋体" w:cs="Times New Roman"/>
                <w:color w:val="auto"/>
                <w:kern w:val="0"/>
                <w:szCs w:val="21"/>
              </w:rPr>
            </w:pPr>
          </w:p>
        </w:tc>
      </w:tr>
      <w:tr w14:paraId="5314A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534" w:type="dxa"/>
            <w:tcMar>
              <w:left w:w="28" w:type="dxa"/>
              <w:right w:w="28" w:type="dxa"/>
            </w:tcMar>
            <w:vAlign w:val="center"/>
          </w:tcPr>
          <w:p w14:paraId="1FE47421">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污染</w:t>
            </w:r>
          </w:p>
          <w:p w14:paraId="1A47E185">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物排</w:t>
            </w:r>
          </w:p>
          <w:p w14:paraId="52A36263">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放控</w:t>
            </w:r>
          </w:p>
          <w:p w14:paraId="61025D35">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制标</w:t>
            </w:r>
          </w:p>
          <w:p w14:paraId="32BEB403">
            <w:pPr>
              <w:adjustRightInd w:val="0"/>
              <w:snapToGrid w:val="0"/>
              <w:jc w:val="center"/>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准</w:t>
            </w:r>
          </w:p>
        </w:tc>
        <w:tc>
          <w:tcPr>
            <w:tcW w:w="8527" w:type="dxa"/>
            <w:vAlign w:val="center"/>
          </w:tcPr>
          <w:p w14:paraId="590CB74C">
            <w:pPr>
              <w:spacing w:line="360" w:lineRule="auto"/>
              <w:ind w:firstLine="482" w:firstLineChars="200"/>
              <w:rPr>
                <w:rFonts w:hint="default" w:ascii="Times New Roman" w:hAnsi="Times New Roman" w:eastAsia="宋体" w:cs="Times New Roman"/>
                <w:b/>
                <w:color w:val="auto"/>
                <w:kern w:val="0"/>
                <w:sz w:val="24"/>
              </w:rPr>
            </w:pPr>
            <w:r>
              <w:rPr>
                <w:rFonts w:hint="default" w:ascii="Times New Roman" w:hAnsi="Times New Roman" w:eastAsia="宋体" w:cs="Times New Roman"/>
                <w:b/>
                <w:color w:val="auto"/>
                <w:kern w:val="0"/>
                <w:sz w:val="24"/>
              </w:rPr>
              <w:t>1.大气污染物排放标准</w:t>
            </w:r>
          </w:p>
          <w:p w14:paraId="57E0C124">
            <w:pPr>
              <w:spacing w:line="360" w:lineRule="auto"/>
              <w:ind w:firstLine="480" w:firstLineChars="200"/>
              <w:rPr>
                <w:rFonts w:hint="default" w:ascii="Times New Roman" w:hAnsi="Times New Roman" w:eastAsia="宋体" w:cs="Times New Roman"/>
                <w:color w:val="auto"/>
                <w:sz w:val="24"/>
                <w:szCs w:val="22"/>
              </w:rPr>
            </w:pPr>
            <w:r>
              <w:rPr>
                <w:rFonts w:hint="default" w:ascii="Times New Roman" w:hAnsi="Times New Roman" w:eastAsia="宋体" w:cs="Times New Roman"/>
                <w:color w:val="auto"/>
                <w:sz w:val="24"/>
                <w:szCs w:val="22"/>
              </w:rPr>
              <w:t>本项目施工期产</w:t>
            </w:r>
            <w:r>
              <w:rPr>
                <w:rFonts w:hint="default" w:ascii="Times New Roman" w:hAnsi="Times New Roman" w:eastAsia="宋体" w:cs="Times New Roman"/>
                <w:color w:val="auto"/>
                <w:sz w:val="24"/>
                <w:szCs w:val="22"/>
                <w:lang w:eastAsia="zh-CN"/>
              </w:rPr>
              <w:t>生的</w:t>
            </w:r>
            <w:r>
              <w:rPr>
                <w:rFonts w:hint="default" w:ascii="Times New Roman" w:hAnsi="Times New Roman" w:eastAsia="宋体" w:cs="Times New Roman"/>
                <w:color w:val="auto"/>
                <w:sz w:val="24"/>
                <w:szCs w:val="22"/>
              </w:rPr>
              <w:t>粉尘执行《大气污染物综合排放标准》（GB16297-1996）中的表2新污染源大气排放限值中无组织排放监控浓度限值。</w:t>
            </w:r>
          </w:p>
          <w:p w14:paraId="645E5672">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表3-</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 xml:space="preserve"> 施工期大气污染物排放标准一览表</w:t>
            </w:r>
          </w:p>
          <w:tbl>
            <w:tblPr>
              <w:tblStyle w:val="7"/>
              <w:tblW w:w="822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258"/>
              <w:gridCol w:w="816"/>
              <w:gridCol w:w="1850"/>
              <w:gridCol w:w="4296"/>
            </w:tblGrid>
            <w:tr w14:paraId="0FE52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765" w:type="pct"/>
                  <w:vMerge w:val="restart"/>
                  <w:tcBorders>
                    <w:top w:val="single" w:color="auto" w:sz="4" w:space="0"/>
                    <w:left w:val="single" w:color="auto" w:sz="0" w:space="0"/>
                  </w:tcBorders>
                  <w:tcMar>
                    <w:left w:w="0" w:type="dxa"/>
                    <w:right w:w="0" w:type="dxa"/>
                  </w:tcMar>
                  <w:vAlign w:val="center"/>
                </w:tcPr>
                <w:p w14:paraId="1227417D">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时期</w:t>
                  </w:r>
                </w:p>
              </w:tc>
              <w:tc>
                <w:tcPr>
                  <w:tcW w:w="496" w:type="pct"/>
                  <w:vMerge w:val="restart"/>
                  <w:tcBorders>
                    <w:top w:val="single" w:color="auto" w:sz="4" w:space="0"/>
                  </w:tcBorders>
                  <w:vAlign w:val="center"/>
                </w:tcPr>
                <w:p w14:paraId="0708055F">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污染物</w:t>
                  </w:r>
                </w:p>
              </w:tc>
              <w:tc>
                <w:tcPr>
                  <w:tcW w:w="1125" w:type="pct"/>
                  <w:vMerge w:val="restart"/>
                  <w:tcBorders>
                    <w:top w:val="single" w:color="auto" w:sz="4" w:space="0"/>
                  </w:tcBorders>
                  <w:tcMar>
                    <w:left w:w="0" w:type="dxa"/>
                    <w:right w:w="0" w:type="dxa"/>
                  </w:tcMar>
                  <w:vAlign w:val="center"/>
                </w:tcPr>
                <w:p w14:paraId="1F5B7C9E">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bCs/>
                      <w:color w:val="auto"/>
                      <w:kern w:val="0"/>
                      <w:szCs w:val="21"/>
                    </w:rPr>
                    <w:t>无组织排放监控浓度限值</w:t>
                  </w:r>
                </w:p>
              </w:tc>
              <w:tc>
                <w:tcPr>
                  <w:tcW w:w="2612" w:type="pct"/>
                  <w:vMerge w:val="restart"/>
                  <w:tcBorders>
                    <w:top w:val="single" w:color="auto" w:sz="4" w:space="0"/>
                    <w:right w:val="single" w:color="auto" w:sz="4" w:space="0"/>
                  </w:tcBorders>
                  <w:tcMar>
                    <w:left w:w="0" w:type="dxa"/>
                    <w:right w:w="0" w:type="dxa"/>
                  </w:tcMar>
                  <w:vAlign w:val="center"/>
                </w:tcPr>
                <w:p w14:paraId="13C88D65">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标准来源</w:t>
                  </w:r>
                </w:p>
              </w:tc>
            </w:tr>
            <w:tr w14:paraId="4254B1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12" w:hRule="atLeast"/>
                <w:jc w:val="center"/>
              </w:trPr>
              <w:tc>
                <w:tcPr>
                  <w:tcW w:w="765" w:type="pct"/>
                  <w:vMerge w:val="continue"/>
                  <w:tcBorders>
                    <w:left w:val="single" w:color="auto" w:sz="4" w:space="0"/>
                  </w:tcBorders>
                  <w:tcMar>
                    <w:left w:w="0" w:type="dxa"/>
                    <w:right w:w="0" w:type="dxa"/>
                  </w:tcMar>
                  <w:vAlign w:val="center"/>
                </w:tcPr>
                <w:p w14:paraId="6512ED4B">
                  <w:pPr>
                    <w:adjustRightInd w:val="0"/>
                    <w:snapToGrid w:val="0"/>
                    <w:jc w:val="center"/>
                    <w:rPr>
                      <w:rFonts w:hint="default" w:ascii="Times New Roman" w:hAnsi="Times New Roman" w:eastAsia="宋体" w:cs="Times New Roman"/>
                      <w:b/>
                      <w:color w:val="auto"/>
                      <w:szCs w:val="21"/>
                    </w:rPr>
                  </w:pPr>
                </w:p>
              </w:tc>
              <w:tc>
                <w:tcPr>
                  <w:tcW w:w="496" w:type="pct"/>
                  <w:vMerge w:val="continue"/>
                  <w:vAlign w:val="center"/>
                </w:tcPr>
                <w:p w14:paraId="222653FA">
                  <w:pPr>
                    <w:adjustRightInd w:val="0"/>
                    <w:snapToGrid w:val="0"/>
                    <w:jc w:val="center"/>
                    <w:rPr>
                      <w:rFonts w:hint="default" w:ascii="Times New Roman" w:hAnsi="Times New Roman" w:eastAsia="宋体" w:cs="Times New Roman"/>
                      <w:b/>
                      <w:color w:val="auto"/>
                      <w:szCs w:val="21"/>
                    </w:rPr>
                  </w:pPr>
                </w:p>
              </w:tc>
              <w:tc>
                <w:tcPr>
                  <w:tcW w:w="1125" w:type="pct"/>
                  <w:vMerge w:val="continue"/>
                  <w:tcMar>
                    <w:left w:w="0" w:type="dxa"/>
                    <w:right w:w="0" w:type="dxa"/>
                  </w:tcMar>
                  <w:vAlign w:val="center"/>
                </w:tcPr>
                <w:p w14:paraId="2C696D28">
                  <w:pPr>
                    <w:adjustRightInd w:val="0"/>
                    <w:snapToGrid w:val="0"/>
                    <w:jc w:val="center"/>
                    <w:rPr>
                      <w:rFonts w:hint="default" w:ascii="Times New Roman" w:hAnsi="Times New Roman" w:eastAsia="宋体" w:cs="Times New Roman"/>
                      <w:b/>
                      <w:bCs/>
                      <w:color w:val="auto"/>
                      <w:kern w:val="0"/>
                      <w:szCs w:val="21"/>
                    </w:rPr>
                  </w:pPr>
                </w:p>
              </w:tc>
              <w:tc>
                <w:tcPr>
                  <w:tcW w:w="2612" w:type="pct"/>
                  <w:vMerge w:val="continue"/>
                  <w:tcBorders>
                    <w:right w:val="single" w:color="auto" w:sz="4" w:space="0"/>
                  </w:tcBorders>
                  <w:tcMar>
                    <w:left w:w="0" w:type="dxa"/>
                    <w:right w:w="0" w:type="dxa"/>
                  </w:tcMar>
                  <w:vAlign w:val="center"/>
                </w:tcPr>
                <w:p w14:paraId="638D647B">
                  <w:pPr>
                    <w:adjustRightInd w:val="0"/>
                    <w:snapToGrid w:val="0"/>
                    <w:jc w:val="center"/>
                    <w:rPr>
                      <w:rFonts w:hint="default" w:ascii="Times New Roman" w:hAnsi="Times New Roman" w:eastAsia="宋体" w:cs="Times New Roman"/>
                      <w:b/>
                      <w:color w:val="auto"/>
                      <w:szCs w:val="21"/>
                    </w:rPr>
                  </w:pPr>
                </w:p>
              </w:tc>
            </w:tr>
            <w:tr w14:paraId="7195E3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65" w:type="pct"/>
                  <w:tcBorders>
                    <w:left w:val="single" w:color="auto" w:sz="4" w:space="0"/>
                    <w:bottom w:val="single" w:color="auto" w:sz="4" w:space="0"/>
                  </w:tcBorders>
                  <w:tcMar>
                    <w:left w:w="0" w:type="dxa"/>
                    <w:right w:w="0" w:type="dxa"/>
                  </w:tcMar>
                  <w:vAlign w:val="center"/>
                </w:tcPr>
                <w:p w14:paraId="46278E45">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Cs/>
                      <w:color w:val="auto"/>
                      <w:szCs w:val="21"/>
                    </w:rPr>
                    <w:t>施工期</w:t>
                  </w:r>
                </w:p>
              </w:tc>
              <w:tc>
                <w:tcPr>
                  <w:tcW w:w="496" w:type="pct"/>
                  <w:tcBorders>
                    <w:bottom w:val="single" w:color="auto" w:sz="4" w:space="0"/>
                  </w:tcBorders>
                  <w:vAlign w:val="center"/>
                </w:tcPr>
                <w:p w14:paraId="7689C794">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Cs/>
                      <w:color w:val="auto"/>
                      <w:szCs w:val="21"/>
                    </w:rPr>
                    <w:t>颗粒物</w:t>
                  </w:r>
                </w:p>
              </w:tc>
              <w:tc>
                <w:tcPr>
                  <w:tcW w:w="1125" w:type="pct"/>
                  <w:tcBorders>
                    <w:bottom w:val="single" w:color="auto" w:sz="4" w:space="0"/>
                  </w:tcBorders>
                  <w:tcMar>
                    <w:left w:w="0" w:type="dxa"/>
                    <w:right w:w="0" w:type="dxa"/>
                  </w:tcMar>
                  <w:vAlign w:val="center"/>
                </w:tcPr>
                <w:p w14:paraId="392D0FD4">
                  <w:pPr>
                    <w:adjustRightInd w:val="0"/>
                    <w:snapToGrid w:val="0"/>
                    <w:jc w:val="center"/>
                    <w:rPr>
                      <w:rFonts w:hint="default" w:ascii="Times New Roman" w:hAnsi="Times New Roman" w:eastAsia="宋体" w:cs="Times New Roman"/>
                      <w:b/>
                      <w:color w:val="auto"/>
                      <w:kern w:val="0"/>
                      <w:szCs w:val="21"/>
                      <w:lang w:eastAsia="zh-CN"/>
                    </w:rPr>
                  </w:pPr>
                  <w:r>
                    <w:rPr>
                      <w:rFonts w:hint="default" w:ascii="Times New Roman" w:hAnsi="Times New Roman" w:eastAsia="宋体" w:cs="Times New Roman"/>
                      <w:color w:val="auto"/>
                      <w:szCs w:val="21"/>
                    </w:rPr>
                    <w:t>1.0</w:t>
                  </w:r>
                  <w:r>
                    <w:rPr>
                      <w:rFonts w:hint="default" w:ascii="Times New Roman" w:hAnsi="Times New Roman" w:eastAsia="宋体" w:cs="Times New Roman"/>
                      <w:bCs/>
                      <w:color w:val="auto"/>
                      <w:szCs w:val="21"/>
                      <w:vertAlign w:val="baseline"/>
                      <w:lang w:eastAsia="zh-CN"/>
                    </w:rPr>
                    <w:t>m</w:t>
                  </w:r>
                  <w:r>
                    <w:rPr>
                      <w:rFonts w:hint="default" w:ascii="Times New Roman" w:hAnsi="Times New Roman" w:eastAsia="宋体" w:cs="Times New Roman"/>
                      <w:bCs/>
                      <w:color w:val="auto"/>
                      <w:szCs w:val="21"/>
                    </w:rPr>
                    <w:t>g/</w:t>
                  </w:r>
                  <w:r>
                    <w:rPr>
                      <w:rFonts w:hint="default" w:ascii="Times New Roman" w:hAnsi="Times New Roman" w:eastAsia="宋体" w:cs="Times New Roman"/>
                      <w:bCs/>
                      <w:color w:val="auto"/>
                      <w:szCs w:val="21"/>
                      <w:vertAlign w:val="baseline"/>
                      <w:lang w:eastAsia="zh-CN"/>
                    </w:rPr>
                    <w:t>m</w:t>
                  </w:r>
                  <w:r>
                    <w:rPr>
                      <w:rFonts w:hint="default" w:ascii="Times New Roman" w:hAnsi="Times New Roman" w:eastAsia="宋体" w:cs="Times New Roman"/>
                      <w:bCs/>
                      <w:color w:val="auto"/>
                      <w:szCs w:val="21"/>
                      <w:vertAlign w:val="superscript"/>
                      <w:lang w:eastAsia="zh-CN"/>
                    </w:rPr>
                    <w:t>3</w:t>
                  </w:r>
                </w:p>
              </w:tc>
              <w:tc>
                <w:tcPr>
                  <w:tcW w:w="2612" w:type="pct"/>
                  <w:tcBorders>
                    <w:bottom w:val="single" w:color="auto" w:sz="4" w:space="0"/>
                    <w:right w:val="single" w:color="auto" w:sz="4" w:space="0"/>
                  </w:tcBorders>
                  <w:tcMar>
                    <w:left w:w="0" w:type="dxa"/>
                    <w:right w:w="0" w:type="dxa"/>
                  </w:tcMar>
                  <w:vAlign w:val="center"/>
                </w:tcPr>
                <w:p w14:paraId="10C50678">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Cs/>
                      <w:color w:val="auto"/>
                      <w:szCs w:val="21"/>
                    </w:rPr>
                    <w:t>《大气污染物综合排放标准》（GB 16297-1996）中无组织排放标准限值</w:t>
                  </w:r>
                </w:p>
              </w:tc>
            </w:tr>
          </w:tbl>
          <w:p w14:paraId="0A95A59B">
            <w:pPr>
              <w:adjustRightInd w:val="0"/>
              <w:snapToGrid w:val="0"/>
              <w:spacing w:before="240" w:line="360" w:lineRule="auto"/>
              <w:ind w:firstLine="482"/>
              <w:textAlignment w:val="center"/>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运营期燃气</w:t>
            </w:r>
            <w:r>
              <w:rPr>
                <w:rFonts w:hint="default" w:ascii="Times New Roman" w:hAnsi="Times New Roman" w:eastAsia="宋体" w:cs="Times New Roman"/>
                <w:bCs/>
                <w:color w:val="auto"/>
                <w:sz w:val="24"/>
                <w:lang w:val="en-US" w:eastAsia="zh-CN"/>
              </w:rPr>
              <w:t>锅炉</w:t>
            </w:r>
            <w:r>
              <w:rPr>
                <w:rFonts w:hint="default" w:ascii="Times New Roman" w:hAnsi="Times New Roman" w:eastAsia="宋体" w:cs="Times New Roman"/>
                <w:bCs/>
                <w:color w:val="auto"/>
                <w:sz w:val="24"/>
              </w:rPr>
              <w:t>废气执行《锅炉大气污染物排放标准》（GB13271-2014）新建燃气锅炉标准。</w:t>
            </w:r>
          </w:p>
          <w:p w14:paraId="45FA3038">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表3-</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rPr>
              <w:t xml:space="preserve"> 大气污染物排放标准一览表</w:t>
            </w:r>
          </w:p>
          <w:tbl>
            <w:tblPr>
              <w:tblStyle w:val="7"/>
              <w:tblW w:w="8391"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00"/>
              <w:gridCol w:w="1415"/>
              <w:gridCol w:w="2114"/>
              <w:gridCol w:w="3962"/>
            </w:tblGrid>
            <w:tr w14:paraId="383C1E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36" w:type="pct"/>
                  <w:tcBorders>
                    <w:top w:val="single" w:color="auto" w:sz="4" w:space="0"/>
                    <w:left w:val="single" w:color="auto" w:sz="0" w:space="0"/>
                  </w:tcBorders>
                  <w:noWrap w:val="0"/>
                  <w:tcMar>
                    <w:left w:w="0" w:type="dxa"/>
                    <w:right w:w="0" w:type="dxa"/>
                  </w:tcMar>
                  <w:vAlign w:val="center"/>
                </w:tcPr>
                <w:p w14:paraId="5E9F4726">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时期</w:t>
                  </w:r>
                </w:p>
              </w:tc>
              <w:tc>
                <w:tcPr>
                  <w:tcW w:w="843" w:type="pct"/>
                  <w:tcBorders>
                    <w:top w:val="single" w:color="auto" w:sz="4" w:space="0"/>
                  </w:tcBorders>
                  <w:noWrap w:val="0"/>
                  <w:vAlign w:val="center"/>
                </w:tcPr>
                <w:p w14:paraId="55C36818">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污染物</w:t>
                  </w:r>
                </w:p>
              </w:tc>
              <w:tc>
                <w:tcPr>
                  <w:tcW w:w="1259" w:type="pct"/>
                  <w:tcBorders>
                    <w:top w:val="single" w:color="auto" w:sz="4" w:space="0"/>
                  </w:tcBorders>
                  <w:noWrap w:val="0"/>
                  <w:tcMar>
                    <w:left w:w="0" w:type="dxa"/>
                    <w:right w:w="0" w:type="dxa"/>
                  </w:tcMar>
                  <w:vAlign w:val="center"/>
                </w:tcPr>
                <w:p w14:paraId="25CFE359">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kern w:val="0"/>
                      <w:szCs w:val="21"/>
                    </w:rPr>
                    <w:t>排放标准值</w:t>
                  </w:r>
                </w:p>
              </w:tc>
              <w:tc>
                <w:tcPr>
                  <w:tcW w:w="2360" w:type="pct"/>
                  <w:tcBorders>
                    <w:top w:val="single" w:color="auto" w:sz="4" w:space="0"/>
                    <w:right w:val="single" w:color="auto" w:sz="4" w:space="0"/>
                  </w:tcBorders>
                  <w:noWrap w:val="0"/>
                  <w:tcMar>
                    <w:left w:w="0" w:type="dxa"/>
                    <w:right w:w="0" w:type="dxa"/>
                  </w:tcMar>
                  <w:vAlign w:val="center"/>
                </w:tcPr>
                <w:p w14:paraId="6209BBC5">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标准来源</w:t>
                  </w:r>
                </w:p>
              </w:tc>
            </w:tr>
            <w:tr w14:paraId="0B9F0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36" w:type="pct"/>
                  <w:vMerge w:val="restart"/>
                  <w:tcBorders>
                    <w:left w:val="single" w:color="auto" w:sz="4" w:space="0"/>
                  </w:tcBorders>
                  <w:noWrap w:val="0"/>
                  <w:tcMar>
                    <w:left w:w="0" w:type="dxa"/>
                    <w:right w:w="0" w:type="dxa"/>
                  </w:tcMar>
                  <w:vAlign w:val="center"/>
                </w:tcPr>
                <w:p w14:paraId="3048F895">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运营期</w:t>
                  </w:r>
                </w:p>
              </w:tc>
              <w:tc>
                <w:tcPr>
                  <w:tcW w:w="843" w:type="pct"/>
                  <w:shd w:val="clear" w:color="auto" w:fill="auto"/>
                  <w:noWrap w:val="0"/>
                  <w:vAlign w:val="center"/>
                </w:tcPr>
                <w:p w14:paraId="4FDE1150">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颗粒物</w:t>
                  </w:r>
                </w:p>
              </w:tc>
              <w:tc>
                <w:tcPr>
                  <w:tcW w:w="1259" w:type="pct"/>
                  <w:shd w:val="clear" w:color="auto" w:fill="auto"/>
                  <w:noWrap w:val="0"/>
                  <w:tcMar>
                    <w:left w:w="0" w:type="dxa"/>
                    <w:right w:w="0" w:type="dxa"/>
                  </w:tcMar>
                  <w:vAlign w:val="center"/>
                </w:tcPr>
                <w:p w14:paraId="271D4930">
                  <w:pPr>
                    <w:widowControl/>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20</w:t>
                  </w:r>
                  <w:r>
                    <w:rPr>
                      <w:rFonts w:hint="default" w:ascii="Times New Roman" w:hAnsi="Times New Roman" w:eastAsia="宋体" w:cs="Times New Roman"/>
                      <w:bCs/>
                      <w:color w:val="auto"/>
                      <w:szCs w:val="21"/>
                    </w:rPr>
                    <w:t xml:space="preserve"> </w:t>
                  </w:r>
                  <w:r>
                    <w:rPr>
                      <w:rFonts w:hint="default" w:ascii="Times New Roman" w:hAnsi="Times New Roman" w:eastAsia="宋体" w:cs="Times New Roman"/>
                      <w:bCs/>
                      <w:color w:val="auto"/>
                      <w:szCs w:val="21"/>
                      <w:lang w:eastAsia="zh-CN"/>
                    </w:rPr>
                    <w:t>m</w:t>
                  </w:r>
                  <w:r>
                    <w:rPr>
                      <w:rFonts w:hint="default" w:ascii="Times New Roman" w:hAnsi="Times New Roman" w:eastAsia="宋体" w:cs="Times New Roman"/>
                      <w:bCs/>
                      <w:color w:val="auto"/>
                      <w:szCs w:val="21"/>
                    </w:rPr>
                    <w:t>g/</w:t>
                  </w:r>
                  <w:r>
                    <w:rPr>
                      <w:rFonts w:hint="default" w:ascii="Times New Roman" w:hAnsi="Times New Roman" w:eastAsia="宋体" w:cs="Times New Roman"/>
                      <w:bCs/>
                      <w:color w:val="auto"/>
                      <w:szCs w:val="21"/>
                      <w:vertAlign w:val="baseline"/>
                      <w:lang w:eastAsia="zh-CN"/>
                    </w:rPr>
                    <w:t>m</w:t>
                  </w:r>
                  <w:r>
                    <w:rPr>
                      <w:rFonts w:hint="default" w:ascii="Times New Roman" w:hAnsi="Times New Roman" w:eastAsia="宋体" w:cs="Times New Roman"/>
                      <w:bCs/>
                      <w:color w:val="auto"/>
                      <w:szCs w:val="21"/>
                      <w:vertAlign w:val="superscript"/>
                      <w:lang w:eastAsia="zh-CN"/>
                    </w:rPr>
                    <w:t>3</w:t>
                  </w:r>
                </w:p>
              </w:tc>
              <w:tc>
                <w:tcPr>
                  <w:tcW w:w="2360" w:type="pct"/>
                  <w:vMerge w:val="restart"/>
                  <w:tcBorders>
                    <w:right w:val="single" w:color="auto" w:sz="4" w:space="0"/>
                  </w:tcBorders>
                  <w:noWrap w:val="0"/>
                  <w:tcMar>
                    <w:left w:w="0" w:type="dxa"/>
                    <w:right w:w="0" w:type="dxa"/>
                  </w:tcMar>
                  <w:vAlign w:val="center"/>
                </w:tcPr>
                <w:p w14:paraId="64788B4F">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rPr>
                    <w:t>《锅炉大气污染物排放标准》（GB13271-2014）新建燃气锅炉标准</w:t>
                  </w:r>
                </w:p>
              </w:tc>
            </w:tr>
            <w:tr w14:paraId="3D4F06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36" w:type="pct"/>
                  <w:vMerge w:val="continue"/>
                  <w:tcBorders>
                    <w:left w:val="single" w:color="auto" w:sz="4" w:space="0"/>
                  </w:tcBorders>
                  <w:noWrap w:val="0"/>
                  <w:tcMar>
                    <w:left w:w="0" w:type="dxa"/>
                    <w:right w:w="0" w:type="dxa"/>
                  </w:tcMar>
                  <w:vAlign w:val="center"/>
                </w:tcPr>
                <w:p w14:paraId="7DBAD15D">
                  <w:pPr>
                    <w:adjustRightInd w:val="0"/>
                    <w:snapToGrid w:val="0"/>
                    <w:jc w:val="center"/>
                    <w:rPr>
                      <w:rFonts w:hint="default" w:ascii="Times New Roman" w:hAnsi="Times New Roman" w:eastAsia="宋体" w:cs="Times New Roman"/>
                      <w:bCs/>
                      <w:color w:val="auto"/>
                      <w:szCs w:val="21"/>
                    </w:rPr>
                  </w:pPr>
                </w:p>
              </w:tc>
              <w:tc>
                <w:tcPr>
                  <w:tcW w:w="843" w:type="pct"/>
                  <w:shd w:val="clear" w:color="auto" w:fill="auto"/>
                  <w:noWrap w:val="0"/>
                  <w:vAlign w:val="center"/>
                </w:tcPr>
                <w:p w14:paraId="049A9D9B">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SO</w:t>
                  </w:r>
                  <w:r>
                    <w:rPr>
                      <w:rFonts w:hint="default" w:ascii="Times New Roman" w:hAnsi="Times New Roman" w:eastAsia="宋体" w:cs="Times New Roman"/>
                      <w:color w:val="auto"/>
                      <w:szCs w:val="21"/>
                      <w:vertAlign w:val="subscript"/>
                    </w:rPr>
                    <w:t>2</w:t>
                  </w:r>
                </w:p>
              </w:tc>
              <w:tc>
                <w:tcPr>
                  <w:tcW w:w="1259" w:type="pct"/>
                  <w:shd w:val="clear" w:color="auto" w:fill="auto"/>
                  <w:noWrap w:val="0"/>
                  <w:tcMar>
                    <w:left w:w="0" w:type="dxa"/>
                    <w:right w:w="0" w:type="dxa"/>
                  </w:tcMar>
                  <w:vAlign w:val="center"/>
                </w:tcPr>
                <w:p w14:paraId="415043DC">
                  <w:pPr>
                    <w:widowControl/>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rPr>
                    <w:t>50</w:t>
                  </w:r>
                  <w:r>
                    <w:rPr>
                      <w:rFonts w:hint="default" w:ascii="Times New Roman" w:hAnsi="Times New Roman" w:eastAsia="宋体" w:cs="Times New Roman"/>
                      <w:bCs/>
                      <w:color w:val="auto"/>
                      <w:szCs w:val="21"/>
                    </w:rPr>
                    <w:t xml:space="preserve"> </w:t>
                  </w:r>
                  <w:r>
                    <w:rPr>
                      <w:rFonts w:hint="default" w:ascii="Times New Roman" w:hAnsi="Times New Roman" w:eastAsia="宋体" w:cs="Times New Roman"/>
                      <w:bCs/>
                      <w:color w:val="auto"/>
                      <w:szCs w:val="21"/>
                      <w:lang w:eastAsia="zh-CN"/>
                    </w:rPr>
                    <w:t>m</w:t>
                  </w:r>
                  <w:r>
                    <w:rPr>
                      <w:rFonts w:hint="default" w:ascii="Times New Roman" w:hAnsi="Times New Roman" w:eastAsia="宋体" w:cs="Times New Roman"/>
                      <w:bCs/>
                      <w:color w:val="auto"/>
                      <w:szCs w:val="21"/>
                    </w:rPr>
                    <w:t>g/</w:t>
                  </w:r>
                  <w:r>
                    <w:rPr>
                      <w:rFonts w:hint="default" w:ascii="Times New Roman" w:hAnsi="Times New Roman" w:eastAsia="宋体" w:cs="Times New Roman"/>
                      <w:bCs/>
                      <w:color w:val="auto"/>
                      <w:szCs w:val="21"/>
                      <w:vertAlign w:val="baseline"/>
                      <w:lang w:eastAsia="zh-CN"/>
                    </w:rPr>
                    <w:t>m</w:t>
                  </w:r>
                  <w:r>
                    <w:rPr>
                      <w:rFonts w:hint="default" w:ascii="Times New Roman" w:hAnsi="Times New Roman" w:eastAsia="宋体" w:cs="Times New Roman"/>
                      <w:bCs/>
                      <w:color w:val="auto"/>
                      <w:szCs w:val="21"/>
                      <w:vertAlign w:val="superscript"/>
                      <w:lang w:eastAsia="zh-CN"/>
                    </w:rPr>
                    <w:t>3</w:t>
                  </w:r>
                </w:p>
              </w:tc>
              <w:tc>
                <w:tcPr>
                  <w:tcW w:w="2360" w:type="pct"/>
                  <w:vMerge w:val="continue"/>
                  <w:tcBorders>
                    <w:right w:val="single" w:color="auto" w:sz="4" w:space="0"/>
                  </w:tcBorders>
                  <w:noWrap w:val="0"/>
                  <w:tcMar>
                    <w:left w:w="0" w:type="dxa"/>
                    <w:right w:w="0" w:type="dxa"/>
                  </w:tcMar>
                  <w:vAlign w:val="center"/>
                </w:tcPr>
                <w:p w14:paraId="20771C89">
                  <w:pPr>
                    <w:adjustRightInd w:val="0"/>
                    <w:snapToGrid w:val="0"/>
                    <w:jc w:val="center"/>
                    <w:rPr>
                      <w:rFonts w:hint="default" w:ascii="Times New Roman" w:hAnsi="Times New Roman" w:eastAsia="宋体" w:cs="Times New Roman"/>
                      <w:bCs/>
                      <w:color w:val="auto"/>
                      <w:szCs w:val="21"/>
                    </w:rPr>
                  </w:pPr>
                </w:p>
              </w:tc>
            </w:tr>
            <w:tr w14:paraId="3D180C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36" w:type="pct"/>
                  <w:vMerge w:val="continue"/>
                  <w:tcBorders>
                    <w:left w:val="single" w:color="auto" w:sz="4" w:space="0"/>
                  </w:tcBorders>
                  <w:noWrap w:val="0"/>
                  <w:tcMar>
                    <w:left w:w="0" w:type="dxa"/>
                    <w:right w:w="0" w:type="dxa"/>
                  </w:tcMar>
                  <w:vAlign w:val="center"/>
                </w:tcPr>
                <w:p w14:paraId="641B2DBB">
                  <w:pPr>
                    <w:adjustRightInd w:val="0"/>
                    <w:snapToGrid w:val="0"/>
                    <w:jc w:val="center"/>
                    <w:rPr>
                      <w:rFonts w:hint="default" w:ascii="Times New Roman" w:hAnsi="Times New Roman" w:eastAsia="宋体" w:cs="Times New Roman"/>
                      <w:bCs/>
                      <w:color w:val="auto"/>
                      <w:szCs w:val="21"/>
                    </w:rPr>
                  </w:pPr>
                </w:p>
              </w:tc>
              <w:tc>
                <w:tcPr>
                  <w:tcW w:w="843" w:type="pct"/>
                  <w:noWrap w:val="0"/>
                  <w:vAlign w:val="center"/>
                </w:tcPr>
                <w:p w14:paraId="2AE791B2">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NO</w:t>
                  </w:r>
                  <w:r>
                    <w:rPr>
                      <w:rFonts w:hint="default" w:ascii="Times New Roman" w:hAnsi="Times New Roman" w:eastAsia="宋体" w:cs="Times New Roman"/>
                      <w:color w:val="auto"/>
                      <w:szCs w:val="21"/>
                      <w:vertAlign w:val="subscript"/>
                    </w:rPr>
                    <w:t>x</w:t>
                  </w:r>
                </w:p>
              </w:tc>
              <w:tc>
                <w:tcPr>
                  <w:tcW w:w="1259" w:type="pct"/>
                  <w:noWrap w:val="0"/>
                  <w:tcMar>
                    <w:left w:w="0" w:type="dxa"/>
                    <w:right w:w="0" w:type="dxa"/>
                  </w:tcMar>
                  <w:vAlign w:val="center"/>
                </w:tcPr>
                <w:p w14:paraId="130195D8">
                  <w:pPr>
                    <w:widowControl/>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200</w:t>
                  </w:r>
                  <w:r>
                    <w:rPr>
                      <w:rFonts w:hint="default" w:ascii="Times New Roman" w:hAnsi="Times New Roman" w:eastAsia="宋体" w:cs="Times New Roman"/>
                      <w:bCs/>
                      <w:color w:val="auto"/>
                      <w:szCs w:val="21"/>
                    </w:rPr>
                    <w:t xml:space="preserve"> </w:t>
                  </w:r>
                  <w:r>
                    <w:rPr>
                      <w:rFonts w:hint="default" w:ascii="Times New Roman" w:hAnsi="Times New Roman" w:eastAsia="宋体" w:cs="Times New Roman"/>
                      <w:bCs/>
                      <w:color w:val="auto"/>
                      <w:szCs w:val="21"/>
                      <w:lang w:eastAsia="zh-CN"/>
                    </w:rPr>
                    <w:t>m</w:t>
                  </w:r>
                  <w:r>
                    <w:rPr>
                      <w:rFonts w:hint="default" w:ascii="Times New Roman" w:hAnsi="Times New Roman" w:eastAsia="宋体" w:cs="Times New Roman"/>
                      <w:bCs/>
                      <w:color w:val="auto"/>
                      <w:szCs w:val="21"/>
                    </w:rPr>
                    <w:t>g/</w:t>
                  </w:r>
                  <w:r>
                    <w:rPr>
                      <w:rFonts w:hint="default" w:ascii="Times New Roman" w:hAnsi="Times New Roman" w:eastAsia="宋体" w:cs="Times New Roman"/>
                      <w:bCs/>
                      <w:color w:val="auto"/>
                      <w:szCs w:val="21"/>
                      <w:vertAlign w:val="baseline"/>
                      <w:lang w:eastAsia="zh-CN"/>
                    </w:rPr>
                    <w:t>m</w:t>
                  </w:r>
                  <w:r>
                    <w:rPr>
                      <w:rFonts w:hint="default" w:ascii="Times New Roman" w:hAnsi="Times New Roman" w:eastAsia="宋体" w:cs="Times New Roman"/>
                      <w:bCs/>
                      <w:color w:val="auto"/>
                      <w:szCs w:val="21"/>
                      <w:vertAlign w:val="superscript"/>
                      <w:lang w:eastAsia="zh-CN"/>
                    </w:rPr>
                    <w:t>3</w:t>
                  </w:r>
                </w:p>
              </w:tc>
              <w:tc>
                <w:tcPr>
                  <w:tcW w:w="2360" w:type="pct"/>
                  <w:vMerge w:val="continue"/>
                  <w:tcBorders>
                    <w:right w:val="single" w:color="auto" w:sz="4" w:space="0"/>
                  </w:tcBorders>
                  <w:noWrap w:val="0"/>
                  <w:tcMar>
                    <w:left w:w="0" w:type="dxa"/>
                    <w:right w:w="0" w:type="dxa"/>
                  </w:tcMar>
                  <w:vAlign w:val="center"/>
                </w:tcPr>
                <w:p w14:paraId="6CFE32F4">
                  <w:pPr>
                    <w:adjustRightInd w:val="0"/>
                    <w:snapToGrid w:val="0"/>
                    <w:jc w:val="center"/>
                    <w:rPr>
                      <w:rFonts w:hint="default" w:ascii="Times New Roman" w:hAnsi="Times New Roman" w:eastAsia="宋体" w:cs="Times New Roman"/>
                      <w:bCs/>
                      <w:color w:val="auto"/>
                      <w:szCs w:val="21"/>
                    </w:rPr>
                  </w:pPr>
                </w:p>
              </w:tc>
            </w:tr>
            <w:tr w14:paraId="37FAF7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36" w:type="pct"/>
                  <w:vMerge w:val="continue"/>
                  <w:tcBorders>
                    <w:left w:val="single" w:color="auto" w:sz="4" w:space="0"/>
                  </w:tcBorders>
                  <w:noWrap w:val="0"/>
                  <w:tcMar>
                    <w:left w:w="0" w:type="dxa"/>
                    <w:right w:w="0" w:type="dxa"/>
                  </w:tcMar>
                  <w:vAlign w:val="center"/>
                </w:tcPr>
                <w:p w14:paraId="0196A60C">
                  <w:pPr>
                    <w:adjustRightInd w:val="0"/>
                    <w:snapToGrid w:val="0"/>
                    <w:jc w:val="center"/>
                    <w:rPr>
                      <w:rFonts w:hint="default" w:ascii="Times New Roman" w:hAnsi="Times New Roman" w:eastAsia="宋体" w:cs="Times New Roman"/>
                      <w:bCs/>
                      <w:color w:val="auto"/>
                      <w:szCs w:val="21"/>
                    </w:rPr>
                  </w:pPr>
                </w:p>
              </w:tc>
              <w:tc>
                <w:tcPr>
                  <w:tcW w:w="843" w:type="pct"/>
                  <w:noWrap w:val="0"/>
                  <w:vAlign w:val="center"/>
                </w:tcPr>
                <w:p w14:paraId="0C03726B">
                  <w:pPr>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烟气黑度</w:t>
                  </w:r>
                </w:p>
              </w:tc>
              <w:tc>
                <w:tcPr>
                  <w:tcW w:w="1259" w:type="pct"/>
                  <w:noWrap w:val="0"/>
                  <w:tcMar>
                    <w:left w:w="0" w:type="dxa"/>
                    <w:right w:w="0" w:type="dxa"/>
                  </w:tcMar>
                  <w:vAlign w:val="center"/>
                </w:tcPr>
                <w:p w14:paraId="09FA24F2">
                  <w:pPr>
                    <w:widowControl/>
                    <w:adjustRightInd w:val="0"/>
                    <w:snapToGrid w:val="0"/>
                    <w:jc w:val="center"/>
                    <w:rPr>
                      <w:rFonts w:hint="default" w:ascii="Times New Roman" w:hAnsi="Times New Roman" w:eastAsia="宋体" w:cs="Times New Roman"/>
                      <w:b/>
                      <w:bCs/>
                      <w:color w:val="auto"/>
                      <w:szCs w:val="21"/>
                    </w:rPr>
                  </w:pPr>
                  <w:r>
                    <w:rPr>
                      <w:rFonts w:hint="default" w:ascii="Times New Roman" w:hAnsi="Times New Roman" w:eastAsia="宋体" w:cs="Times New Roman"/>
                      <w:color w:val="auto"/>
                      <w:szCs w:val="21"/>
                    </w:rPr>
                    <w:t>≤1（林格曼黑度，级）</w:t>
                  </w:r>
                </w:p>
              </w:tc>
              <w:tc>
                <w:tcPr>
                  <w:tcW w:w="2360" w:type="pct"/>
                  <w:vMerge w:val="continue"/>
                  <w:tcBorders>
                    <w:right w:val="single" w:color="auto" w:sz="4" w:space="0"/>
                  </w:tcBorders>
                  <w:noWrap w:val="0"/>
                  <w:tcMar>
                    <w:left w:w="0" w:type="dxa"/>
                    <w:right w:w="0" w:type="dxa"/>
                  </w:tcMar>
                  <w:vAlign w:val="center"/>
                </w:tcPr>
                <w:p w14:paraId="04C18096">
                  <w:pPr>
                    <w:adjustRightInd w:val="0"/>
                    <w:snapToGrid w:val="0"/>
                    <w:jc w:val="center"/>
                    <w:rPr>
                      <w:rFonts w:hint="default" w:ascii="Times New Roman" w:hAnsi="Times New Roman" w:eastAsia="宋体" w:cs="Times New Roman"/>
                      <w:bCs/>
                      <w:color w:val="auto"/>
                      <w:szCs w:val="21"/>
                    </w:rPr>
                  </w:pPr>
                </w:p>
              </w:tc>
            </w:tr>
          </w:tbl>
          <w:p w14:paraId="0703005B">
            <w:pPr>
              <w:adjustRightInd w:val="0"/>
              <w:snapToGrid w:val="0"/>
              <w:spacing w:before="240" w:line="360" w:lineRule="auto"/>
              <w:ind w:firstLine="482" w:firstLineChars="200"/>
              <w:textAlignment w:val="center"/>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val="en-US" w:eastAsia="zh-CN"/>
              </w:rPr>
              <w:t>2</w:t>
            </w:r>
            <w:r>
              <w:rPr>
                <w:rFonts w:hint="default" w:ascii="Times New Roman" w:hAnsi="Times New Roman" w:eastAsia="宋体" w:cs="Times New Roman"/>
                <w:b/>
                <w:color w:val="auto"/>
                <w:sz w:val="24"/>
              </w:rPr>
              <w:t>.废水排放标准</w:t>
            </w:r>
          </w:p>
          <w:p w14:paraId="17760012">
            <w:pPr>
              <w:spacing w:line="312"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本项目</w:t>
            </w:r>
            <w:r>
              <w:rPr>
                <w:rFonts w:hint="default" w:ascii="Times New Roman" w:hAnsi="Times New Roman" w:eastAsia="宋体" w:cs="Times New Roman"/>
                <w:color w:val="auto"/>
                <w:kern w:val="0"/>
                <w:sz w:val="24"/>
                <w:lang w:val="en-US" w:eastAsia="zh-CN"/>
              </w:rPr>
              <w:t>生活污水和设备清洗废水经市政污水管网</w:t>
            </w:r>
            <w:r>
              <w:rPr>
                <w:rFonts w:hint="default" w:ascii="Times New Roman" w:hAnsi="Times New Roman" w:eastAsia="宋体" w:cs="Times New Roman"/>
                <w:bCs/>
                <w:color w:val="auto"/>
                <w:kern w:val="0"/>
                <w:sz w:val="24"/>
              </w:rPr>
              <w:t>排入锡尼镇污水处理厂处理</w:t>
            </w:r>
            <w:r>
              <w:rPr>
                <w:rFonts w:hint="default" w:ascii="Times New Roman" w:hAnsi="Times New Roman" w:eastAsia="宋体" w:cs="Times New Roman"/>
                <w:bCs/>
                <w:color w:val="auto"/>
                <w:kern w:val="0"/>
                <w:sz w:val="24"/>
                <w:lang w:eastAsia="zh-CN"/>
              </w:rPr>
              <w:t>，</w:t>
            </w:r>
            <w:r>
              <w:rPr>
                <w:rFonts w:hint="default" w:ascii="Times New Roman" w:hAnsi="Times New Roman" w:eastAsia="宋体" w:cs="Times New Roman"/>
                <w:bCs/>
                <w:color w:val="auto"/>
                <w:kern w:val="0"/>
                <w:sz w:val="24"/>
                <w:lang w:val="en-US" w:eastAsia="zh-CN"/>
              </w:rPr>
              <w:t>废水执行</w:t>
            </w:r>
            <w:r>
              <w:rPr>
                <w:rFonts w:hint="default" w:ascii="Times New Roman" w:hAnsi="Times New Roman" w:eastAsia="宋体" w:cs="Times New Roman"/>
                <w:color w:val="auto"/>
                <w:kern w:val="0"/>
                <w:sz w:val="24"/>
              </w:rPr>
              <w:t>《污水排入城镇下水道水质标准》（GB/T 31962-2015）B级标准</w:t>
            </w:r>
            <w:r>
              <w:rPr>
                <w:rFonts w:hint="default" w:ascii="Times New Roman" w:hAnsi="Times New Roman" w:eastAsia="宋体" w:cs="Times New Roman"/>
                <w:bCs/>
                <w:color w:val="auto"/>
                <w:kern w:val="0"/>
                <w:sz w:val="24"/>
              </w:rPr>
              <w:t>。</w:t>
            </w:r>
          </w:p>
          <w:p w14:paraId="72C9616D">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表3-</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 xml:space="preserve"> 污水排入城镇下水道水质控制项目限值</w:t>
            </w:r>
          </w:p>
          <w:tbl>
            <w:tblPr>
              <w:tblStyle w:val="7"/>
              <w:tblW w:w="8222" w:type="dxa"/>
              <w:jc w:val="center"/>
              <w:tblLayout w:type="autofit"/>
              <w:tblCellMar>
                <w:top w:w="0" w:type="dxa"/>
                <w:left w:w="108" w:type="dxa"/>
                <w:bottom w:w="0" w:type="dxa"/>
                <w:right w:w="108" w:type="dxa"/>
              </w:tblCellMar>
            </w:tblPr>
            <w:tblGrid>
              <w:gridCol w:w="2055"/>
              <w:gridCol w:w="2055"/>
              <w:gridCol w:w="2056"/>
              <w:gridCol w:w="2056"/>
            </w:tblGrid>
            <w:tr w14:paraId="06114BC4">
              <w:tblPrEx>
                <w:tblCellMar>
                  <w:top w:w="0" w:type="dxa"/>
                  <w:left w:w="108" w:type="dxa"/>
                  <w:bottom w:w="0" w:type="dxa"/>
                  <w:right w:w="108" w:type="dxa"/>
                </w:tblCellMar>
              </w:tblPrEx>
              <w:trPr>
                <w:trHeight w:val="397" w:hRule="atLeast"/>
                <w:jc w:val="center"/>
              </w:trPr>
              <w:tc>
                <w:tcPr>
                  <w:tcW w:w="1250" w:type="pct"/>
                  <w:tcBorders>
                    <w:top w:val="single" w:color="auto" w:sz="4" w:space="0"/>
                    <w:bottom w:val="single" w:color="auto" w:sz="4" w:space="0"/>
                    <w:right w:val="single" w:color="auto" w:sz="4" w:space="0"/>
                  </w:tcBorders>
                  <w:noWrap w:val="0"/>
                  <w:vAlign w:val="center"/>
                </w:tcPr>
                <w:p w14:paraId="6B24BCCB">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控制项目</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286698A4">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B级</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EEB5231">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控制项目</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61F81421">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B级</w:t>
                  </w:r>
                </w:p>
              </w:tc>
            </w:tr>
            <w:tr w14:paraId="348E5DA9">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3E07605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水温</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ED0ABC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40℃</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4C4BC57">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六价铬</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0F4DEAD">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0.5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r>
            <w:tr w14:paraId="5745C222">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71A318CD">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色度</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D17E035">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64倍</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FF7324D">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总砷</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F012D2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0.3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r>
            <w:tr w14:paraId="106118E5">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7993AA59">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易沉固体</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217BF4B2">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L（L·15</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in）</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A0DA727">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总铅</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664A7BA">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0.5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r>
            <w:tr w14:paraId="6DC20349">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04AAF9CD">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悬浮物</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2F3780E">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 xml:space="preserve">400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108D0A9A">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总镍</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10897051">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630B6B26">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1210830D">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溶解性总固体</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011C74B">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2000</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6CD10017">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总铍</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7E28530">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0.005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r>
            <w:tr w14:paraId="32EAC2AC">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4932A306">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动植物油</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20CD870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100</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D15F556">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总银</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6CE8F4C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0.5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r>
            <w:tr w14:paraId="2D66536C">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23D14D0A">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石油类</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54364F4">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15</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6DF1F0A">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总硒</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946ED31">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0.5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r>
            <w:tr w14:paraId="2ABD6BCF">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79568084">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pH</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7EDA4A1">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6.5~9.5</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19E78FE6">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总铜</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BD902F5">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2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r>
            <w:tr w14:paraId="750DE50B">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5FAAEEDC">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五日生化需氧量（BOD</w:t>
                  </w:r>
                  <w:r>
                    <w:rPr>
                      <w:rFonts w:hint="default" w:ascii="Times New Roman" w:hAnsi="Times New Roman" w:eastAsia="宋体" w:cs="Times New Roman"/>
                      <w:color w:val="auto"/>
                      <w:vertAlign w:val="subscript"/>
                    </w:rPr>
                    <w:t>5</w:t>
                  </w:r>
                  <w:r>
                    <w:rPr>
                      <w:rFonts w:hint="default" w:ascii="Times New Roman" w:hAnsi="Times New Roman" w:eastAsia="宋体" w:cs="Times New Roman"/>
                      <w:color w:val="auto"/>
                    </w:rPr>
                    <w:t>）</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7785177">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350</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0B087F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总锌</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C074AA0">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5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r>
            <w:tr w14:paraId="727B4A0E">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3A69331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化学</w:t>
                  </w:r>
                  <w:r>
                    <w:rPr>
                      <w:rFonts w:hint="eastAsia" w:ascii="Times New Roman" w:hAnsi="Times New Roman" w:eastAsia="宋体" w:cs="Times New Roman"/>
                      <w:color w:val="auto"/>
                      <w:lang w:val="en-US" w:eastAsia="zh-CN"/>
                    </w:rPr>
                    <w:t>需</w:t>
                  </w:r>
                  <w:r>
                    <w:rPr>
                      <w:rFonts w:hint="default" w:ascii="Times New Roman" w:hAnsi="Times New Roman" w:eastAsia="宋体" w:cs="Times New Roman"/>
                      <w:color w:val="auto"/>
                    </w:rPr>
                    <w:t>氧量（COD）</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C1D2A2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500</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9BFAEA0">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总锰</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1482160">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5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r>
            <w:tr w14:paraId="075C7012">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64DD573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氨氮（以N计）</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C9BDC6B">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45</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117065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总铁</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37DF4EC4">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10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r>
            <w:tr w14:paraId="5A3C872A">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3E4D7BBF">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总氮（以N计）</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C659D2B">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70</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28800EE">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挥发酚</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EF990D6">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278CF015">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26F6D1B9">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总磷（以P计）</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1117691E">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8</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2701498C">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苯系物</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6B732DA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2.5</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308767D4">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44AC9777">
                  <w:pPr>
                    <w:widowControl/>
                    <w:adjustRightInd w:val="0"/>
                    <w:snapToGrid w:val="0"/>
                    <w:jc w:val="center"/>
                    <w:rPr>
                      <w:rFonts w:hint="default" w:ascii="Times New Roman" w:hAnsi="Times New Roman" w:eastAsia="宋体" w:cs="Times New Roman"/>
                      <w:color w:val="auto"/>
                      <w:kern w:val="0"/>
                      <w:szCs w:val="21"/>
                    </w:rPr>
                  </w:pPr>
                  <w:r>
                    <w:rPr>
                      <w:rFonts w:hint="eastAsia" w:ascii="Times New Roman" w:hAnsi="Times New Roman" w:eastAsia="宋体" w:cs="Times New Roman"/>
                      <w:color w:val="auto"/>
                      <w:lang w:eastAsia="zh-CN"/>
                    </w:rPr>
                    <w:t>阴离子</w:t>
                  </w:r>
                  <w:r>
                    <w:rPr>
                      <w:rFonts w:hint="default" w:ascii="Times New Roman" w:hAnsi="Times New Roman" w:eastAsia="宋体" w:cs="Times New Roman"/>
                      <w:color w:val="auto"/>
                    </w:rPr>
                    <w:t>表面活性剂（LAS）</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C7D086C">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20</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9066119">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苯胺类</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2EF7990E">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5</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31AF7A2E">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05AFD49A">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总氰化物</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CE12617">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0.5</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2496146">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硝基苯类</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2D371CF6">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5</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64A3D6D9">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7A01625E">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总余氯（以Cl</w:t>
                  </w:r>
                  <w:r>
                    <w:rPr>
                      <w:rFonts w:hint="default" w:ascii="Times New Roman" w:hAnsi="Times New Roman" w:eastAsia="宋体" w:cs="Times New Roman"/>
                      <w:color w:val="auto"/>
                      <w:vertAlign w:val="subscript"/>
                    </w:rPr>
                    <w:t>2</w:t>
                  </w:r>
                  <w:r>
                    <w:rPr>
                      <w:rFonts w:hint="default" w:ascii="Times New Roman" w:hAnsi="Times New Roman" w:eastAsia="宋体" w:cs="Times New Roman"/>
                      <w:color w:val="auto"/>
                    </w:rPr>
                    <w:t>计）</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D2A01DF">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8</w:t>
                  </w:r>
                  <w:r>
                    <w:rPr>
                      <w:rFonts w:hint="default" w:ascii="Times New Roman" w:hAnsi="Times New Roman" w:eastAsia="宋体" w:cs="Times New Roman"/>
                      <w:color w:val="auto"/>
                      <w:kern w:val="0"/>
                      <w:szCs w:val="21"/>
                    </w:rPr>
                    <w:t xml:space="preserve">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68B07D96">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甲醛</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56ECF1E">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5</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3D418B8E">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36D953CA">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硫化物</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F4F3DA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6FEF953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三氯甲烷</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36DD8DAC">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5279D6AC">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618827F2">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氟化物</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6353BB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20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FAA725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四氯化碳</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38A3EEA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0.5</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399624B9">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29F17566">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氯化物</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3D9D0F0B">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800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3A21127">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三氯乙烯</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8B13845">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1721E57B">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05188510">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硫酸盐</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CBE852A">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600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1C120A71">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四氯乙烯</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61F5094">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0.5</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47F2E002">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05A02BE1">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总汞</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6E206B5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0.005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3F61F96E">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可吸附有机卤化物（AOX，以Cl计）</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6B4D2014">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8</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1B58E5B9">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0B8BB610">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总镉</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7E9B16A">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0.05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447383CF">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有机磷农药（以P计）</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01F6580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0.5</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r w14:paraId="5580D536">
              <w:tblPrEx>
                <w:tblCellMar>
                  <w:top w:w="0" w:type="dxa"/>
                  <w:left w:w="108" w:type="dxa"/>
                  <w:bottom w:w="0" w:type="dxa"/>
                  <w:right w:w="108" w:type="dxa"/>
                </w:tblCellMar>
              </w:tblPrEx>
              <w:trPr>
                <w:trHeight w:val="397" w:hRule="atLeast"/>
                <w:jc w:val="center"/>
              </w:trPr>
              <w:tc>
                <w:tcPr>
                  <w:tcW w:w="1250" w:type="pct"/>
                  <w:tcBorders>
                    <w:top w:val="single" w:color="auto" w:sz="4" w:space="0"/>
                    <w:left w:val="single" w:color="auto" w:sz="4" w:space="0"/>
                    <w:bottom w:val="single" w:color="auto" w:sz="4" w:space="0"/>
                    <w:right w:val="single" w:color="auto" w:sz="4" w:space="0"/>
                  </w:tcBorders>
                  <w:noWrap w:val="0"/>
                  <w:vAlign w:val="center"/>
                </w:tcPr>
                <w:p w14:paraId="165EC76E">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总铬</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74F42CE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 xml:space="preserve">1.5 </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g/L</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51A0837C">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五氯酚</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65D2CDC8">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5</w:t>
                  </w:r>
                  <w:r>
                    <w:rPr>
                      <w:rFonts w:hint="default" w:ascii="Times New Roman" w:hAnsi="Times New Roman" w:eastAsia="宋体" w:cs="Times New Roman"/>
                      <w:color w:val="auto"/>
                    </w:rPr>
                    <w:t xml:space="preserve"> </w:t>
                  </w:r>
                  <w:r>
                    <w:rPr>
                      <w:rFonts w:hint="default" w:ascii="Times New Roman" w:hAnsi="Times New Roman" w:eastAsia="宋体" w:cs="Times New Roman"/>
                      <w:color w:val="auto"/>
                      <w:kern w:val="0"/>
                      <w:szCs w:val="21"/>
                      <w:lang w:eastAsia="zh-CN"/>
                    </w:rPr>
                    <w:t>m</w:t>
                  </w:r>
                  <w:r>
                    <w:rPr>
                      <w:rFonts w:hint="default" w:ascii="Times New Roman" w:hAnsi="Times New Roman" w:eastAsia="宋体" w:cs="Times New Roman"/>
                      <w:color w:val="auto"/>
                      <w:kern w:val="0"/>
                      <w:szCs w:val="21"/>
                    </w:rPr>
                    <w:t>g/L</w:t>
                  </w:r>
                </w:p>
              </w:tc>
            </w:tr>
          </w:tbl>
          <w:p w14:paraId="75690818">
            <w:pPr>
              <w:keepNext w:val="0"/>
              <w:keepLines w:val="0"/>
              <w:pageBreakBefore w:val="0"/>
              <w:widowControl w:val="0"/>
              <w:kinsoku/>
              <w:wordWrap/>
              <w:overflowPunct/>
              <w:topLinePunct w:val="0"/>
              <w:autoSpaceDE/>
              <w:autoSpaceDN/>
              <w:bidi w:val="0"/>
              <w:adjustRightInd/>
              <w:snapToGrid/>
              <w:spacing w:before="157" w:beforeLines="50" w:line="312" w:lineRule="auto"/>
              <w:ind w:firstLine="480" w:firstLineChars="200"/>
              <w:textAlignment w:val="auto"/>
              <w:rPr>
                <w:rFonts w:hint="default" w:ascii="Times New Roman" w:hAnsi="Times New Roman" w:eastAsia="宋体" w:cs="Times New Roman"/>
                <w:color w:val="auto"/>
                <w:kern w:val="0"/>
                <w:sz w:val="24"/>
                <w:highlight w:val="none"/>
              </w:rPr>
            </w:pPr>
            <w:r>
              <w:rPr>
                <w:rFonts w:hint="eastAsia" w:eastAsia="宋体" w:cs="Times New Roman"/>
                <w:color w:val="auto"/>
                <w:kern w:val="0"/>
                <w:sz w:val="24"/>
                <w:highlight w:val="none"/>
                <w:lang w:val="en-US" w:eastAsia="zh-CN"/>
              </w:rPr>
              <w:t>回用水</w:t>
            </w:r>
            <w:r>
              <w:rPr>
                <w:rFonts w:hint="default" w:ascii="Times New Roman" w:hAnsi="Times New Roman" w:eastAsia="宋体" w:cs="Times New Roman"/>
                <w:color w:val="auto"/>
                <w:kern w:val="0"/>
                <w:sz w:val="24"/>
                <w:highlight w:val="none"/>
              </w:rPr>
              <w:t>执行《城市污水再生利用</w:t>
            </w:r>
            <w:r>
              <w:rPr>
                <w:rFonts w:hint="eastAsia" w:eastAsia="宋体" w:cs="Times New Roman"/>
                <w:color w:val="auto"/>
                <w:kern w:val="0"/>
                <w:sz w:val="24"/>
                <w:highlight w:val="none"/>
                <w:lang w:val="en-US" w:eastAsia="zh-CN"/>
              </w:rPr>
              <w:t xml:space="preserve"> </w:t>
            </w:r>
            <w:r>
              <w:rPr>
                <w:rFonts w:hint="default" w:ascii="Times New Roman" w:hAnsi="Times New Roman" w:eastAsia="宋体" w:cs="Times New Roman"/>
                <w:color w:val="auto"/>
                <w:kern w:val="0"/>
                <w:sz w:val="24"/>
                <w:highlight w:val="none"/>
              </w:rPr>
              <w:t>工业用水水质》（GB/T19923-20</w:t>
            </w:r>
            <w:r>
              <w:rPr>
                <w:rFonts w:hint="eastAsia" w:cs="Times New Roman"/>
                <w:color w:val="auto"/>
                <w:kern w:val="0"/>
                <w:sz w:val="24"/>
                <w:highlight w:val="none"/>
                <w:lang w:val="en-US" w:eastAsia="zh-CN"/>
              </w:rPr>
              <w:t>24</w:t>
            </w:r>
            <w:r>
              <w:rPr>
                <w:rFonts w:hint="default" w:ascii="Times New Roman" w:hAnsi="Times New Roman" w:eastAsia="宋体" w:cs="Times New Roman"/>
                <w:color w:val="auto"/>
                <w:kern w:val="0"/>
                <w:sz w:val="24"/>
                <w:highlight w:val="none"/>
              </w:rPr>
              <w:t>）</w:t>
            </w:r>
            <w:r>
              <w:rPr>
                <w:rFonts w:hint="default" w:ascii="Times New Roman" w:hAnsi="Times New Roman" w:eastAsia="宋体" w:cs="Times New Roman"/>
                <w:color w:val="auto"/>
                <w:kern w:val="0"/>
                <w:sz w:val="24"/>
                <w:highlight w:val="none"/>
                <w:lang w:val="en-US" w:eastAsia="zh-CN"/>
              </w:rPr>
              <w:t>标准</w:t>
            </w:r>
            <w:r>
              <w:rPr>
                <w:rFonts w:hint="default" w:ascii="Times New Roman" w:hAnsi="Times New Roman" w:eastAsia="宋体" w:cs="Times New Roman"/>
                <w:color w:val="auto"/>
                <w:kern w:val="0"/>
                <w:sz w:val="24"/>
                <w:highlight w:val="none"/>
              </w:rPr>
              <w:t>。</w:t>
            </w:r>
          </w:p>
          <w:p w14:paraId="40E2C229">
            <w:pPr>
              <w:spacing w:line="360" w:lineRule="auto"/>
              <w:ind w:firstLine="0" w:firstLineChars="0"/>
              <w:jc w:val="center"/>
              <w:rPr>
                <w:rFonts w:hint="default" w:ascii="Times New Roman" w:hAnsi="Times New Roman" w:eastAsia="宋体" w:cs="Times New Roman"/>
                <w:b/>
                <w:bCs/>
                <w:color w:val="auto"/>
                <w:sz w:val="24"/>
                <w:szCs w:val="20"/>
              </w:rPr>
            </w:pPr>
            <w:r>
              <w:rPr>
                <w:rFonts w:hint="default" w:ascii="Times New Roman" w:hAnsi="Times New Roman" w:eastAsia="宋体" w:cs="Times New Roman"/>
                <w:b/>
                <w:bCs/>
                <w:color w:val="auto"/>
                <w:sz w:val="24"/>
                <w:szCs w:val="20"/>
              </w:rPr>
              <w:t>表</w:t>
            </w:r>
            <w:r>
              <w:rPr>
                <w:rFonts w:hint="default" w:ascii="Times New Roman" w:hAnsi="Times New Roman" w:eastAsia="宋体" w:cs="Times New Roman"/>
                <w:b/>
                <w:bCs/>
                <w:color w:val="auto"/>
                <w:sz w:val="24"/>
                <w:szCs w:val="20"/>
                <w:lang w:val="en-US" w:eastAsia="zh-CN"/>
              </w:rPr>
              <w:t>3-</w:t>
            </w:r>
            <w:r>
              <w:rPr>
                <w:rFonts w:hint="eastAsia" w:eastAsia="宋体" w:cs="Times New Roman"/>
                <w:b/>
                <w:bCs/>
                <w:color w:val="auto"/>
                <w:sz w:val="24"/>
                <w:szCs w:val="20"/>
                <w:lang w:val="en-US" w:eastAsia="zh-CN"/>
              </w:rPr>
              <w:t>5</w:t>
            </w:r>
            <w:r>
              <w:rPr>
                <w:rFonts w:hint="default" w:ascii="Times New Roman" w:hAnsi="Times New Roman" w:eastAsia="宋体" w:cs="Times New Roman"/>
                <w:b/>
                <w:bCs/>
                <w:color w:val="auto"/>
                <w:sz w:val="24"/>
                <w:szCs w:val="20"/>
              </w:rPr>
              <w:t xml:space="preserve">  《城市污水再生利用</w:t>
            </w:r>
            <w:r>
              <w:rPr>
                <w:rFonts w:hint="default" w:ascii="Times New Roman" w:hAnsi="Times New Roman" w:eastAsia="宋体" w:cs="Times New Roman"/>
                <w:b/>
                <w:bCs/>
                <w:color w:val="auto"/>
                <w:sz w:val="24"/>
                <w:szCs w:val="20"/>
                <w:lang w:val="en-US" w:eastAsia="zh-CN"/>
              </w:rPr>
              <w:t xml:space="preserve"> </w:t>
            </w:r>
            <w:r>
              <w:rPr>
                <w:rFonts w:hint="default" w:ascii="Times New Roman" w:hAnsi="Times New Roman" w:eastAsia="宋体" w:cs="Times New Roman"/>
                <w:b/>
                <w:bCs/>
                <w:color w:val="auto"/>
                <w:sz w:val="24"/>
                <w:szCs w:val="20"/>
              </w:rPr>
              <w:t>工业用水水质》（GB/T19923-20</w:t>
            </w:r>
            <w:r>
              <w:rPr>
                <w:rFonts w:hint="eastAsia" w:cs="Times New Roman"/>
                <w:b/>
                <w:bCs/>
                <w:color w:val="auto"/>
                <w:sz w:val="24"/>
                <w:szCs w:val="20"/>
                <w:lang w:val="en-US" w:eastAsia="zh-CN"/>
              </w:rPr>
              <w:t>24</w:t>
            </w:r>
            <w:r>
              <w:rPr>
                <w:rFonts w:hint="default" w:ascii="Times New Roman" w:hAnsi="Times New Roman" w:eastAsia="宋体" w:cs="Times New Roman"/>
                <w:b/>
                <w:bCs/>
                <w:color w:val="auto"/>
                <w:sz w:val="24"/>
                <w:szCs w:val="20"/>
              </w:rPr>
              <w:t>）</w:t>
            </w:r>
            <w:r>
              <w:rPr>
                <w:rFonts w:hint="default" w:ascii="Times New Roman" w:hAnsi="Times New Roman" w:eastAsia="宋体" w:cs="Times New Roman"/>
                <w:b/>
                <w:bCs/>
                <w:color w:val="auto"/>
                <w:sz w:val="24"/>
                <w:szCs w:val="20"/>
                <w:lang w:val="en-US" w:eastAsia="zh-CN"/>
              </w:rPr>
              <w:t>标准</w:t>
            </w:r>
          </w:p>
          <w:tbl>
            <w:tblPr>
              <w:tblStyle w:val="7"/>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2686"/>
              <w:gridCol w:w="2955"/>
              <w:gridCol w:w="2747"/>
            </w:tblGrid>
            <w:tr w14:paraId="5717757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vMerge w:val="restart"/>
                  <w:tcBorders>
                    <w:top w:val="single" w:color="auto" w:sz="4" w:space="0"/>
                    <w:left w:val="single" w:color="auto" w:sz="0" w:space="0"/>
                    <w:bottom w:val="single" w:color="auto" w:sz="4" w:space="0"/>
                    <w:right w:val="single" w:color="auto" w:sz="4" w:space="0"/>
                  </w:tcBorders>
                  <w:noWrap w:val="0"/>
                  <w:vAlign w:val="center"/>
                </w:tcPr>
                <w:p w14:paraId="6CA3B6FD">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kern w:val="0"/>
                      <w:sz w:val="21"/>
                      <w:szCs w:val="21"/>
                      <w:lang w:val="en-US" w:eastAsia="en-US" w:bidi="ar-SA"/>
                    </w:rPr>
                  </w:pPr>
                  <w:r>
                    <w:rPr>
                      <w:rFonts w:hint="default" w:ascii="Times New Roman" w:hAnsi="Times New Roman" w:eastAsia="宋体" w:cs="Times New Roman"/>
                      <w:b/>
                      <w:bCs w:val="0"/>
                      <w:color w:val="auto"/>
                      <w:spacing w:val="1"/>
                      <w:kern w:val="0"/>
                      <w:sz w:val="21"/>
                      <w:szCs w:val="21"/>
                      <w:lang w:val="en-US" w:eastAsia="en-US" w:bidi="ar-SA"/>
                    </w:rPr>
                    <w:t>污染物名称</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6F541562">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《城市污水再生利用 工业用水水质》</w:t>
                  </w:r>
                </w:p>
                <w:p w14:paraId="54097124">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（GB/T19923-2024）标准</w:t>
                  </w:r>
                </w:p>
              </w:tc>
            </w:tr>
            <w:tr w14:paraId="5D73FFF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vMerge w:val="continue"/>
                  <w:tcBorders>
                    <w:top w:val="single" w:color="auto" w:sz="4" w:space="0"/>
                    <w:left w:val="single" w:color="auto" w:sz="4" w:space="0"/>
                    <w:bottom w:val="single" w:color="auto" w:sz="4" w:space="0"/>
                    <w:right w:val="single" w:color="auto" w:sz="4" w:space="0"/>
                  </w:tcBorders>
                  <w:noWrap w:val="0"/>
                  <w:vAlign w:val="center"/>
                </w:tcPr>
                <w:p w14:paraId="24DC4BDF">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en-US" w:bidi="ar-SA"/>
                    </w:rPr>
                  </w:pPr>
                </w:p>
              </w:tc>
              <w:tc>
                <w:tcPr>
                  <w:tcW w:w="1761" w:type="pct"/>
                  <w:tcBorders>
                    <w:top w:val="single" w:color="auto" w:sz="4" w:space="0"/>
                    <w:left w:val="single" w:color="auto" w:sz="4" w:space="0"/>
                    <w:bottom w:val="single" w:color="auto" w:sz="4" w:space="0"/>
                    <w:right w:val="single" w:color="auto" w:sz="4" w:space="0"/>
                  </w:tcBorders>
                  <w:noWrap w:val="0"/>
                  <w:vAlign w:val="center"/>
                </w:tcPr>
                <w:p w14:paraId="40E0B564">
                  <w:pPr>
                    <w:widowControl w:val="0"/>
                    <w:kinsoku w:val="0"/>
                    <w:overflowPunct w:val="0"/>
                    <w:spacing w:line="240" w:lineRule="auto"/>
                    <w:ind w:firstLine="0" w:firstLineChars="0"/>
                    <w:contextualSpacing/>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间冷开式循环冷却水补充水、锅炉补给水、工艺用水、产品用水</w:t>
                  </w:r>
                </w:p>
              </w:tc>
              <w:tc>
                <w:tcPr>
                  <w:tcW w:w="1637" w:type="pct"/>
                  <w:tcBorders>
                    <w:top w:val="single" w:color="auto" w:sz="4" w:space="0"/>
                    <w:left w:val="single" w:color="auto" w:sz="4" w:space="0"/>
                    <w:bottom w:val="single" w:color="auto" w:sz="4" w:space="0"/>
                    <w:right w:val="single" w:color="auto" w:sz="4" w:space="0"/>
                  </w:tcBorders>
                  <w:noWrap w:val="0"/>
                  <w:vAlign w:val="center"/>
                </w:tcPr>
                <w:p w14:paraId="2E6039CF">
                  <w:pPr>
                    <w:jc w:val="center"/>
                    <w:rPr>
                      <w:rFonts w:hint="default" w:ascii="Times New Roman" w:hAnsi="Times New Roman" w:eastAsia="宋体" w:cs="Times New Roman"/>
                      <w:b/>
                      <w:bCs w:val="0"/>
                      <w:color w:val="auto"/>
                      <w:spacing w:val="1"/>
                      <w:kern w:val="0"/>
                      <w:sz w:val="21"/>
                      <w:szCs w:val="21"/>
                      <w:lang w:val="en-US" w:eastAsia="zh-CN" w:bidi="ar-SA"/>
                    </w:rPr>
                  </w:pPr>
                  <w:r>
                    <w:rPr>
                      <w:rFonts w:hint="default" w:ascii="Times New Roman" w:hAnsi="Times New Roman" w:eastAsia="宋体" w:cs="Times New Roman"/>
                      <w:b/>
                      <w:bCs w:val="0"/>
                      <w:color w:val="auto"/>
                      <w:spacing w:val="1"/>
                      <w:kern w:val="0"/>
                      <w:sz w:val="21"/>
                      <w:szCs w:val="21"/>
                      <w:lang w:val="en-US" w:eastAsia="zh-CN" w:bidi="ar-SA"/>
                    </w:rPr>
                    <w:t>直流冷却水、洗涤用水</w:t>
                  </w:r>
                </w:p>
              </w:tc>
            </w:tr>
            <w:tr w14:paraId="077BEBA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68D55DB7">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en-US" w:bidi="ar-SA"/>
                    </w:rPr>
                    <w:t>p</w:t>
                  </w:r>
                  <w:r>
                    <w:rPr>
                      <w:rFonts w:hint="eastAsia" w:ascii="Times New Roman" w:hAnsi="Times New Roman" w:eastAsia="宋体" w:cs="Times New Roman"/>
                      <w:color w:val="auto"/>
                      <w:kern w:val="0"/>
                      <w:sz w:val="21"/>
                      <w:szCs w:val="21"/>
                      <w:lang w:val="en-US" w:eastAsia="zh-CN" w:bidi="ar-SA"/>
                    </w:rPr>
                    <w:t>H</w:t>
                  </w:r>
                  <w:r>
                    <w:rPr>
                      <w:rFonts w:hint="default" w:ascii="Times New Roman" w:hAnsi="Times New Roman" w:eastAsia="宋体" w:cs="Times New Roman"/>
                      <w:color w:val="auto"/>
                      <w:kern w:val="0"/>
                      <w:sz w:val="21"/>
                      <w:szCs w:val="21"/>
                      <w:lang w:val="en-US" w:eastAsia="en-US" w:bidi="ar-SA"/>
                    </w:rPr>
                    <w:t>值</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无量纲</w:t>
                  </w:r>
                  <w:r>
                    <w:rPr>
                      <w:rFonts w:hint="eastAsia" w:cs="Times New Roman"/>
                      <w:color w:val="auto"/>
                      <w:kern w:val="0"/>
                      <w:sz w:val="21"/>
                      <w:szCs w:val="21"/>
                      <w:lang w:val="en-US" w:eastAsia="zh-CN" w:bidi="ar-SA"/>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2A87256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6</w:t>
                  </w:r>
                  <w:r>
                    <w:rPr>
                      <w:rFonts w:hint="default" w:ascii="Times New Roman" w:hAnsi="Times New Roman" w:eastAsia="宋体" w:cs="Times New Roman"/>
                      <w:color w:val="auto"/>
                      <w:kern w:val="0"/>
                      <w:sz w:val="21"/>
                      <w:szCs w:val="21"/>
                      <w:lang w:val="en-US" w:eastAsia="zh-CN" w:bidi="ar-SA"/>
                    </w:rPr>
                    <w:t>-9</w:t>
                  </w:r>
                </w:p>
              </w:tc>
            </w:tr>
            <w:tr w14:paraId="5950880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1E19F5E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色度/度</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0692CA9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20</w:t>
                  </w:r>
                </w:p>
              </w:tc>
            </w:tr>
            <w:tr w14:paraId="39F54E1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2C2BC81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en-US" w:bidi="ar-SA"/>
                    </w:rPr>
                    <w:t>浊度/NTU</w:t>
                  </w:r>
                </w:p>
              </w:tc>
              <w:tc>
                <w:tcPr>
                  <w:tcW w:w="1761" w:type="pct"/>
                  <w:tcBorders>
                    <w:top w:val="single" w:color="auto" w:sz="4" w:space="0"/>
                    <w:left w:val="single" w:color="auto" w:sz="4" w:space="0"/>
                    <w:bottom w:val="single" w:color="auto" w:sz="4" w:space="0"/>
                    <w:right w:val="single" w:color="auto" w:sz="4" w:space="0"/>
                  </w:tcBorders>
                  <w:noWrap w:val="0"/>
                  <w:vAlign w:val="center"/>
                </w:tcPr>
                <w:p w14:paraId="5233DE44">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5</w:t>
                  </w:r>
                </w:p>
              </w:tc>
              <w:tc>
                <w:tcPr>
                  <w:tcW w:w="1637" w:type="pct"/>
                  <w:tcBorders>
                    <w:top w:val="single" w:color="auto" w:sz="4" w:space="0"/>
                    <w:left w:val="single" w:color="auto" w:sz="4" w:space="0"/>
                    <w:bottom w:val="single" w:color="auto" w:sz="4" w:space="0"/>
                    <w:right w:val="single" w:color="auto" w:sz="4" w:space="0"/>
                  </w:tcBorders>
                  <w:noWrap w:val="0"/>
                  <w:vAlign w:val="center"/>
                </w:tcPr>
                <w:p w14:paraId="662A20B4">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w:t>
                  </w:r>
                </w:p>
              </w:tc>
            </w:tr>
            <w:tr w14:paraId="581A249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327AA993">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position w:val="2"/>
                      <w:sz w:val="21"/>
                      <w:szCs w:val="21"/>
                      <w:vertAlign w:val="baseline"/>
                      <w:lang w:val="en-US" w:eastAsia="zh-CN" w:bidi="ar-SA"/>
                    </w:rPr>
                    <w:t>BOD</w:t>
                  </w:r>
                  <w:r>
                    <w:rPr>
                      <w:rFonts w:hint="eastAsia" w:ascii="Times New Roman" w:hAnsi="Times New Roman" w:eastAsia="宋体" w:cs="Times New Roman"/>
                      <w:color w:val="auto"/>
                      <w:kern w:val="0"/>
                      <w:position w:val="2"/>
                      <w:sz w:val="21"/>
                      <w:szCs w:val="21"/>
                      <w:vertAlign w:val="subscript"/>
                      <w:lang w:val="en-US" w:eastAsia="zh-CN" w:bidi="ar-SA"/>
                    </w:rPr>
                    <w:t>5</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mg/L</w:t>
                  </w:r>
                  <w:r>
                    <w:rPr>
                      <w:rFonts w:hint="eastAsia" w:cs="Times New Roman"/>
                      <w:color w:val="auto"/>
                      <w:kern w:val="0"/>
                      <w:sz w:val="21"/>
                      <w:szCs w:val="21"/>
                      <w:lang w:val="en-US" w:eastAsia="zh-CN" w:bidi="ar-SA"/>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6CB8B416">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10</w:t>
                  </w:r>
                </w:p>
              </w:tc>
            </w:tr>
            <w:tr w14:paraId="22F090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5099A06F">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en-US" w:bidi="ar-SA"/>
                    </w:rPr>
                    <w:t>COD</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mg/L</w:t>
                  </w:r>
                  <w:r>
                    <w:rPr>
                      <w:rFonts w:hint="eastAsia" w:cs="Times New Roman"/>
                      <w:color w:val="auto"/>
                      <w:kern w:val="0"/>
                      <w:sz w:val="21"/>
                      <w:szCs w:val="21"/>
                      <w:lang w:val="en-US" w:eastAsia="zh-CN" w:bidi="ar-SA"/>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62488435">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50</w:t>
                  </w:r>
                </w:p>
              </w:tc>
            </w:tr>
            <w:tr w14:paraId="68B1F73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262F4E10">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N</w:t>
                  </w:r>
                  <w:r>
                    <w:rPr>
                      <w:rFonts w:hint="eastAsia" w:ascii="Times New Roman" w:hAnsi="Times New Roman" w:eastAsia="宋体" w:cs="Times New Roman"/>
                      <w:color w:val="auto"/>
                      <w:kern w:val="0"/>
                      <w:sz w:val="21"/>
                      <w:szCs w:val="21"/>
                      <w:vertAlign w:val="baseline"/>
                      <w:lang w:val="en-US" w:eastAsia="zh-CN" w:bidi="ar-SA"/>
                    </w:rPr>
                    <w:t>H</w:t>
                  </w:r>
                  <w:r>
                    <w:rPr>
                      <w:rFonts w:hint="eastAsia" w:ascii="Times New Roman" w:hAnsi="Times New Roman" w:eastAsia="宋体" w:cs="Times New Roman"/>
                      <w:color w:val="auto"/>
                      <w:kern w:val="0"/>
                      <w:sz w:val="21"/>
                      <w:szCs w:val="21"/>
                      <w:vertAlign w:val="subscript"/>
                      <w:lang w:val="en-US" w:eastAsia="zh-CN" w:bidi="ar-SA"/>
                    </w:rPr>
                    <w:t>3</w:t>
                  </w:r>
                  <w:r>
                    <w:rPr>
                      <w:rFonts w:hint="default" w:ascii="Times New Roman" w:hAnsi="Times New Roman" w:eastAsia="宋体" w:cs="Times New Roman"/>
                      <w:color w:val="auto"/>
                      <w:kern w:val="0"/>
                      <w:sz w:val="21"/>
                      <w:szCs w:val="21"/>
                      <w:lang w:val="en-US" w:eastAsia="zh-CN" w:bidi="ar-SA"/>
                    </w:rPr>
                    <w:t>-N</w:t>
                  </w:r>
                  <w:r>
                    <w:rPr>
                      <w:rFonts w:hint="default" w:ascii="Times New Roman" w:hAnsi="Times New Roman" w:eastAsia="宋体" w:cs="Times New Roman"/>
                      <w:color w:val="auto"/>
                      <w:kern w:val="0"/>
                      <w:sz w:val="21"/>
                      <w:szCs w:val="21"/>
                      <w:lang w:val="en-US" w:eastAsia="en-US" w:bidi="ar-SA"/>
                    </w:rPr>
                    <w:t>（以N计）</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mg/L</w:t>
                  </w:r>
                  <w:r>
                    <w:rPr>
                      <w:rFonts w:hint="eastAsia" w:cs="Times New Roman"/>
                      <w:color w:val="auto"/>
                      <w:kern w:val="0"/>
                      <w:sz w:val="21"/>
                      <w:szCs w:val="21"/>
                      <w:lang w:val="en-US" w:eastAsia="zh-CN" w:bidi="ar-SA"/>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48C3AFCB">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5</w:t>
                  </w:r>
                </w:p>
              </w:tc>
            </w:tr>
            <w:tr w14:paraId="4CA1761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08AC66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default" w:ascii="Times New Roman" w:hAnsi="Times New Roman" w:eastAsia="宋体" w:cs="Times New Roman"/>
                      <w:color w:val="auto"/>
                      <w:kern w:val="0"/>
                      <w:sz w:val="21"/>
                      <w:szCs w:val="21"/>
                      <w:lang w:val="en-US" w:eastAsia="zh-CN" w:bidi="ar-SA"/>
                    </w:rPr>
                    <w:t>TN</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zh-CN" w:bidi="ar-SA"/>
                    </w:rPr>
                    <w:t>mg/L</w:t>
                  </w:r>
                  <w:r>
                    <w:rPr>
                      <w:rFonts w:hint="eastAsia" w:cs="Times New Roman"/>
                      <w:color w:val="auto"/>
                      <w:kern w:val="0"/>
                      <w:sz w:val="21"/>
                      <w:szCs w:val="21"/>
                      <w:lang w:val="en-US" w:eastAsia="zh-CN" w:bidi="ar-SA"/>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570CA3A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15</w:t>
                  </w:r>
                </w:p>
              </w:tc>
            </w:tr>
            <w:tr w14:paraId="0DBD1AD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EEA920">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en-US" w:bidi="ar-SA"/>
                    </w:rPr>
                    <w:t>TP</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mg/L</w:t>
                  </w:r>
                  <w:r>
                    <w:rPr>
                      <w:rFonts w:hint="eastAsia" w:cs="Times New Roman"/>
                      <w:color w:val="auto"/>
                      <w:kern w:val="0"/>
                      <w:sz w:val="21"/>
                      <w:szCs w:val="21"/>
                      <w:lang w:val="en-US" w:eastAsia="zh-CN" w:bidi="ar-SA"/>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2A6900C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0.5</w:t>
                  </w:r>
                </w:p>
              </w:tc>
            </w:tr>
            <w:tr w14:paraId="1290842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2F753518">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en-US" w:bidi="ar-SA"/>
                    </w:rPr>
                    <w:t>阴离子表面活性剂/</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mg/L</w:t>
                  </w:r>
                  <w:r>
                    <w:rPr>
                      <w:rFonts w:hint="eastAsia" w:cs="Times New Roman"/>
                      <w:color w:val="auto"/>
                      <w:kern w:val="0"/>
                      <w:sz w:val="21"/>
                      <w:szCs w:val="21"/>
                      <w:lang w:val="en-US" w:eastAsia="zh-CN" w:bidi="ar-SA"/>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327F1E9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0.5</w:t>
                  </w:r>
                </w:p>
              </w:tc>
            </w:tr>
            <w:tr w14:paraId="6561122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67E5AD20">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en-US" w:bidi="ar-SA"/>
                    </w:rPr>
                    <w:t>石油类/</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mg/L</w:t>
                  </w:r>
                  <w:r>
                    <w:rPr>
                      <w:rFonts w:hint="eastAsia" w:cs="Times New Roman"/>
                      <w:color w:val="auto"/>
                      <w:kern w:val="0"/>
                      <w:sz w:val="21"/>
                      <w:szCs w:val="21"/>
                      <w:lang w:val="en-US" w:eastAsia="zh-CN" w:bidi="ar-SA"/>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0F62B4D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1.0</w:t>
                  </w:r>
                </w:p>
              </w:tc>
            </w:tr>
            <w:tr w14:paraId="19A497D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356636D6">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总碱度</w:t>
                  </w:r>
                  <w:r>
                    <w:rPr>
                      <w:rFonts w:hint="eastAsia" w:cs="Times New Roman"/>
                      <w:color w:val="auto"/>
                      <w:kern w:val="0"/>
                      <w:sz w:val="21"/>
                      <w:szCs w:val="21"/>
                      <w:lang w:val="en-US" w:eastAsia="zh-CN" w:bidi="ar-SA"/>
                    </w:rPr>
                    <w:t>（</w:t>
                  </w:r>
                  <w:r>
                    <w:rPr>
                      <w:rFonts w:hint="eastAsia" w:ascii="Times New Roman" w:hAnsi="Times New Roman" w:eastAsia="宋体" w:cs="Times New Roman"/>
                      <w:color w:val="auto"/>
                      <w:kern w:val="0"/>
                      <w:sz w:val="21"/>
                      <w:szCs w:val="21"/>
                      <w:lang w:val="en-US" w:eastAsia="zh-CN" w:bidi="ar-SA"/>
                    </w:rPr>
                    <w:t>以CaCO</w:t>
                  </w:r>
                  <w:r>
                    <w:rPr>
                      <w:rFonts w:hint="eastAsia" w:eastAsia="宋体" w:cs="Times New Roman"/>
                      <w:color w:val="auto"/>
                      <w:kern w:val="0"/>
                      <w:sz w:val="21"/>
                      <w:szCs w:val="21"/>
                      <w:vertAlign w:val="subscript"/>
                      <w:lang w:val="en-US" w:eastAsia="zh-CN" w:bidi="ar-SA"/>
                    </w:rPr>
                    <w:t>3</w:t>
                  </w:r>
                  <w:r>
                    <w:rPr>
                      <w:rFonts w:hint="eastAsia" w:ascii="Times New Roman" w:hAnsi="Times New Roman" w:eastAsia="宋体" w:cs="Times New Roman"/>
                      <w:color w:val="auto"/>
                      <w:kern w:val="0"/>
                      <w:sz w:val="21"/>
                      <w:szCs w:val="21"/>
                      <w:lang w:val="en-US" w:eastAsia="zh-CN" w:bidi="ar-SA"/>
                    </w:rPr>
                    <w:t>计</w:t>
                  </w:r>
                  <w:r>
                    <w:rPr>
                      <w:rFonts w:hint="eastAsia" w:cs="Times New Roman"/>
                      <w:color w:val="auto"/>
                      <w:kern w:val="0"/>
                      <w:sz w:val="21"/>
                      <w:szCs w:val="21"/>
                      <w:lang w:val="en-US" w:eastAsia="zh-CN" w:bidi="ar-SA"/>
                    </w:rPr>
                    <w:t>）</w:t>
                  </w:r>
                  <w:r>
                    <w:rPr>
                      <w:rFonts w:hint="eastAsia" w:ascii="Times New Roman" w:hAnsi="Times New Roman" w:eastAsia="宋体" w:cs="Times New Roman"/>
                      <w:color w:val="auto"/>
                      <w:kern w:val="0"/>
                      <w:sz w:val="21"/>
                      <w:szCs w:val="21"/>
                      <w:lang w:val="en-US" w:eastAsia="zh-CN" w:bidi="ar-SA"/>
                    </w:rPr>
                    <w:t>/</w:t>
                  </w:r>
                  <w:r>
                    <w:rPr>
                      <w:rFonts w:hint="eastAsia" w:cs="Times New Roman"/>
                      <w:color w:val="auto"/>
                      <w:kern w:val="0"/>
                      <w:sz w:val="21"/>
                      <w:szCs w:val="21"/>
                      <w:lang w:val="en-US" w:eastAsia="zh-CN" w:bidi="ar-SA"/>
                    </w:rPr>
                    <w:t>（</w:t>
                  </w:r>
                  <w:r>
                    <w:rPr>
                      <w:rFonts w:hint="eastAsia" w:ascii="Times New Roman" w:hAnsi="Times New Roman" w:eastAsia="宋体" w:cs="Times New Roman"/>
                      <w:color w:val="auto"/>
                      <w:kern w:val="0"/>
                      <w:sz w:val="21"/>
                      <w:szCs w:val="21"/>
                      <w:lang w:val="en-US" w:eastAsia="zh-CN" w:bidi="ar-SA"/>
                    </w:rPr>
                    <w:t>mg/L</w:t>
                  </w:r>
                  <w:r>
                    <w:rPr>
                      <w:rFonts w:hint="eastAsia" w:cs="Times New Roman"/>
                      <w:color w:val="auto"/>
                      <w:kern w:val="0"/>
                      <w:sz w:val="21"/>
                      <w:szCs w:val="21"/>
                      <w:lang w:val="en-US" w:eastAsia="zh-CN" w:bidi="ar-SA"/>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08E40061">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350</w:t>
                  </w:r>
                </w:p>
              </w:tc>
            </w:tr>
            <w:tr w14:paraId="48DEFEB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20A4F5B9">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en-US" w:bidi="ar-SA"/>
                    </w:rPr>
                    <w:t>总硬度</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以 CaCO</w:t>
                  </w:r>
                  <w:r>
                    <w:rPr>
                      <w:rFonts w:hint="eastAsia" w:eastAsia="宋体" w:cs="Times New Roman"/>
                      <w:color w:val="auto"/>
                      <w:kern w:val="0"/>
                      <w:sz w:val="21"/>
                      <w:szCs w:val="21"/>
                      <w:vertAlign w:val="subscript"/>
                      <w:lang w:val="en-US" w:eastAsia="zh-CN" w:bidi="ar-SA"/>
                    </w:rPr>
                    <w:t>3</w:t>
                  </w:r>
                  <w:r>
                    <w:rPr>
                      <w:rFonts w:hint="default" w:ascii="Times New Roman" w:hAnsi="Times New Roman" w:eastAsia="宋体" w:cs="Times New Roman"/>
                      <w:color w:val="auto"/>
                      <w:kern w:val="0"/>
                      <w:sz w:val="21"/>
                      <w:szCs w:val="21"/>
                      <w:lang w:val="en-US" w:eastAsia="en-US" w:bidi="ar-SA"/>
                    </w:rPr>
                    <w:t>计</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mg/L</w:t>
                  </w:r>
                  <w:r>
                    <w:rPr>
                      <w:rFonts w:hint="eastAsia" w:cs="Times New Roman"/>
                      <w:color w:val="auto"/>
                      <w:kern w:val="0"/>
                      <w:sz w:val="21"/>
                      <w:szCs w:val="21"/>
                      <w:lang w:val="en-US" w:eastAsia="zh-CN" w:bidi="ar-SA"/>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4D4A2472">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450</w:t>
                  </w:r>
                </w:p>
              </w:tc>
            </w:tr>
            <w:tr w14:paraId="52DC28A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7B0AF75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溶解性总固体/</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zh-CN" w:bidi="ar-SA"/>
                    </w:rPr>
                    <w:t>mg/L</w:t>
                  </w:r>
                  <w:r>
                    <w:rPr>
                      <w:rFonts w:hint="eastAsia" w:cs="Times New Roman"/>
                      <w:color w:val="auto"/>
                      <w:kern w:val="0"/>
                      <w:sz w:val="21"/>
                      <w:szCs w:val="21"/>
                      <w:lang w:val="en-US" w:eastAsia="zh-CN" w:bidi="ar-SA"/>
                    </w:rPr>
                    <w:t>）</w:t>
                  </w:r>
                </w:p>
              </w:tc>
              <w:tc>
                <w:tcPr>
                  <w:tcW w:w="1761" w:type="pct"/>
                  <w:tcBorders>
                    <w:top w:val="single" w:color="auto" w:sz="4" w:space="0"/>
                    <w:left w:val="single" w:color="auto" w:sz="4" w:space="0"/>
                    <w:bottom w:val="single" w:color="auto" w:sz="4" w:space="0"/>
                    <w:right w:val="single" w:color="auto" w:sz="4" w:space="0"/>
                  </w:tcBorders>
                  <w:noWrap w:val="0"/>
                  <w:vAlign w:val="center"/>
                </w:tcPr>
                <w:p w14:paraId="6A21F91A">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1000</w:t>
                  </w:r>
                </w:p>
              </w:tc>
              <w:tc>
                <w:tcPr>
                  <w:tcW w:w="1637" w:type="pct"/>
                  <w:tcBorders>
                    <w:top w:val="single" w:color="auto" w:sz="4" w:space="0"/>
                    <w:left w:val="single" w:color="auto" w:sz="4" w:space="0"/>
                    <w:bottom w:val="single" w:color="auto" w:sz="4" w:space="0"/>
                    <w:right w:val="single" w:color="auto" w:sz="4" w:space="0"/>
                  </w:tcBorders>
                  <w:noWrap w:val="0"/>
                  <w:vAlign w:val="center"/>
                </w:tcPr>
                <w:p w14:paraId="3D186F6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1500</w:t>
                  </w:r>
                </w:p>
              </w:tc>
            </w:tr>
            <w:tr w14:paraId="094E583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6DECA469">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氯化物/</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zh-CN" w:bidi="ar-SA"/>
                    </w:rPr>
                    <w:t>mg/L</w:t>
                  </w:r>
                  <w:r>
                    <w:rPr>
                      <w:rFonts w:hint="eastAsia" w:cs="Times New Roman"/>
                      <w:color w:val="auto"/>
                      <w:kern w:val="0"/>
                      <w:sz w:val="21"/>
                      <w:szCs w:val="21"/>
                      <w:lang w:val="en-US" w:eastAsia="zh-CN" w:bidi="ar-SA"/>
                    </w:rPr>
                    <w:t>）</w:t>
                  </w:r>
                </w:p>
              </w:tc>
              <w:tc>
                <w:tcPr>
                  <w:tcW w:w="1761" w:type="pct"/>
                  <w:tcBorders>
                    <w:top w:val="single" w:color="auto" w:sz="4" w:space="0"/>
                    <w:left w:val="single" w:color="auto" w:sz="4" w:space="0"/>
                    <w:bottom w:val="single" w:color="auto" w:sz="4" w:space="0"/>
                    <w:right w:val="single" w:color="auto" w:sz="4" w:space="0"/>
                  </w:tcBorders>
                  <w:noWrap w:val="0"/>
                  <w:vAlign w:val="center"/>
                </w:tcPr>
                <w:p w14:paraId="2C87D68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250</w:t>
                  </w:r>
                </w:p>
              </w:tc>
              <w:tc>
                <w:tcPr>
                  <w:tcW w:w="1637" w:type="pct"/>
                  <w:tcBorders>
                    <w:top w:val="single" w:color="auto" w:sz="4" w:space="0"/>
                    <w:left w:val="single" w:color="auto" w:sz="4" w:space="0"/>
                    <w:bottom w:val="single" w:color="auto" w:sz="4" w:space="0"/>
                    <w:right w:val="single" w:color="auto" w:sz="4" w:space="0"/>
                  </w:tcBorders>
                  <w:noWrap w:val="0"/>
                  <w:vAlign w:val="center"/>
                </w:tcPr>
                <w:p w14:paraId="47476A5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400</w:t>
                  </w:r>
                </w:p>
              </w:tc>
            </w:tr>
            <w:tr w14:paraId="4B55BEB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03514DC1">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en-US" w:bidi="ar-SA"/>
                    </w:rPr>
                    <w:t>硫酸盐</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以SO</w:t>
                  </w:r>
                  <w:r>
                    <w:rPr>
                      <w:rFonts w:hint="eastAsia" w:eastAsia="宋体" w:cs="Times New Roman"/>
                      <w:color w:val="auto"/>
                      <w:kern w:val="0"/>
                      <w:sz w:val="21"/>
                      <w:szCs w:val="21"/>
                      <w:vertAlign w:val="subscript"/>
                      <w:lang w:val="en-US" w:eastAsia="zh-CN" w:bidi="ar-SA"/>
                    </w:rPr>
                    <w:t>4</w:t>
                  </w:r>
                  <w:r>
                    <w:rPr>
                      <w:rFonts w:hint="eastAsia" w:eastAsia="宋体" w:cs="Times New Roman"/>
                      <w:color w:val="auto"/>
                      <w:kern w:val="0"/>
                      <w:sz w:val="21"/>
                      <w:szCs w:val="21"/>
                      <w:vertAlign w:val="superscript"/>
                      <w:lang w:val="en-US" w:eastAsia="zh-CN" w:bidi="ar-SA"/>
                    </w:rPr>
                    <w:t>2-</w:t>
                  </w:r>
                  <w:r>
                    <w:rPr>
                      <w:rFonts w:hint="default" w:ascii="Times New Roman" w:hAnsi="Times New Roman" w:eastAsia="宋体" w:cs="Times New Roman"/>
                      <w:color w:val="auto"/>
                      <w:kern w:val="0"/>
                      <w:sz w:val="21"/>
                      <w:szCs w:val="21"/>
                      <w:lang w:val="en-US" w:eastAsia="en-US" w:bidi="ar-SA"/>
                    </w:rPr>
                    <w:t>计</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w:t>
                  </w:r>
                  <w:r>
                    <w:rPr>
                      <w:rFonts w:hint="eastAsia" w:cs="Times New Roman"/>
                      <w:color w:val="auto"/>
                      <w:kern w:val="0"/>
                      <w:sz w:val="21"/>
                      <w:szCs w:val="21"/>
                      <w:lang w:val="en-US" w:eastAsia="zh-CN" w:bidi="ar-SA"/>
                    </w:rPr>
                    <w:t>（</w:t>
                  </w:r>
                  <w:r>
                    <w:rPr>
                      <w:rFonts w:hint="default" w:ascii="Times New Roman" w:hAnsi="Times New Roman" w:eastAsia="宋体" w:cs="Times New Roman"/>
                      <w:color w:val="auto"/>
                      <w:kern w:val="0"/>
                      <w:sz w:val="21"/>
                      <w:szCs w:val="21"/>
                      <w:lang w:val="en-US" w:eastAsia="en-US" w:bidi="ar-SA"/>
                    </w:rPr>
                    <w:t>mg/L</w:t>
                  </w:r>
                  <w:r>
                    <w:rPr>
                      <w:rFonts w:hint="eastAsia" w:cs="Times New Roman"/>
                      <w:color w:val="auto"/>
                      <w:kern w:val="0"/>
                      <w:sz w:val="21"/>
                      <w:szCs w:val="21"/>
                      <w:lang w:val="en-US" w:eastAsia="zh-CN" w:bidi="ar-SA"/>
                    </w:rPr>
                    <w:t>）</w:t>
                  </w:r>
                </w:p>
              </w:tc>
              <w:tc>
                <w:tcPr>
                  <w:tcW w:w="1761" w:type="pct"/>
                  <w:tcBorders>
                    <w:top w:val="single" w:color="auto" w:sz="4" w:space="0"/>
                    <w:left w:val="single" w:color="auto" w:sz="4" w:space="0"/>
                    <w:bottom w:val="single" w:color="auto" w:sz="4" w:space="0"/>
                    <w:right w:val="single" w:color="auto" w:sz="4" w:space="0"/>
                  </w:tcBorders>
                  <w:noWrap w:val="0"/>
                  <w:vAlign w:val="center"/>
                </w:tcPr>
                <w:p w14:paraId="056247ED">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250</w:t>
                  </w:r>
                </w:p>
              </w:tc>
              <w:tc>
                <w:tcPr>
                  <w:tcW w:w="1637" w:type="pct"/>
                  <w:tcBorders>
                    <w:top w:val="single" w:color="auto" w:sz="4" w:space="0"/>
                    <w:left w:val="single" w:color="auto" w:sz="4" w:space="0"/>
                    <w:bottom w:val="single" w:color="auto" w:sz="4" w:space="0"/>
                    <w:right w:val="single" w:color="auto" w:sz="4" w:space="0"/>
                  </w:tcBorders>
                  <w:noWrap w:val="0"/>
                  <w:vAlign w:val="center"/>
                </w:tcPr>
                <w:p w14:paraId="34573303">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600</w:t>
                  </w:r>
                </w:p>
              </w:tc>
            </w:tr>
            <w:tr w14:paraId="51F19CE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662B4CD7">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eastAsia"/>
                      <w:color w:val="auto"/>
                    </w:rPr>
                    <w:t>铁/</w:t>
                  </w:r>
                  <w:r>
                    <w:rPr>
                      <w:rFonts w:hint="eastAsia"/>
                      <w:color w:val="auto"/>
                      <w:lang w:eastAsia="zh-CN"/>
                    </w:rPr>
                    <w:t>（</w:t>
                  </w:r>
                  <w:r>
                    <w:rPr>
                      <w:rFonts w:hint="eastAsia"/>
                      <w:color w:val="auto"/>
                    </w:rPr>
                    <w:t>mg/L</w:t>
                  </w:r>
                  <w:r>
                    <w:rPr>
                      <w:rFonts w:hint="eastAsia"/>
                      <w:color w:val="auto"/>
                      <w:lang w:eastAsia="zh-CN"/>
                    </w:rPr>
                    <w:t>）</w:t>
                  </w:r>
                </w:p>
              </w:tc>
              <w:tc>
                <w:tcPr>
                  <w:tcW w:w="1761" w:type="pct"/>
                  <w:tcBorders>
                    <w:top w:val="single" w:color="auto" w:sz="4" w:space="0"/>
                    <w:left w:val="single" w:color="auto" w:sz="4" w:space="0"/>
                    <w:bottom w:val="single" w:color="auto" w:sz="4" w:space="0"/>
                    <w:right w:val="single" w:color="auto" w:sz="4" w:space="0"/>
                  </w:tcBorders>
                  <w:noWrap w:val="0"/>
                  <w:vAlign w:val="center"/>
                </w:tcPr>
                <w:p w14:paraId="2ACA39FE">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0.3</w:t>
                  </w:r>
                </w:p>
              </w:tc>
              <w:tc>
                <w:tcPr>
                  <w:tcW w:w="1637" w:type="pct"/>
                  <w:tcBorders>
                    <w:top w:val="single" w:color="auto" w:sz="4" w:space="0"/>
                    <w:left w:val="single" w:color="auto" w:sz="4" w:space="0"/>
                    <w:bottom w:val="single" w:color="auto" w:sz="4" w:space="0"/>
                    <w:right w:val="single" w:color="auto" w:sz="4" w:space="0"/>
                  </w:tcBorders>
                  <w:noWrap w:val="0"/>
                  <w:vAlign w:val="center"/>
                </w:tcPr>
                <w:p w14:paraId="4E540ECC">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0.5</w:t>
                  </w:r>
                </w:p>
              </w:tc>
            </w:tr>
            <w:tr w14:paraId="2BA27DC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15D08B97">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eastAsia"/>
                      <w:color w:val="auto"/>
                    </w:rPr>
                    <w:t>锰/</w:t>
                  </w:r>
                  <w:r>
                    <w:rPr>
                      <w:rFonts w:hint="eastAsia"/>
                      <w:color w:val="auto"/>
                      <w:lang w:eastAsia="zh-CN"/>
                    </w:rPr>
                    <w:t>（</w:t>
                  </w:r>
                  <w:r>
                    <w:rPr>
                      <w:rFonts w:hint="eastAsia"/>
                      <w:color w:val="auto"/>
                    </w:rPr>
                    <w:t>mg/L</w:t>
                  </w:r>
                  <w:r>
                    <w:rPr>
                      <w:rFonts w:hint="eastAsia"/>
                      <w:color w:val="auto"/>
                      <w:lang w:eastAsia="zh-CN"/>
                    </w:rPr>
                    <w:t>）</w:t>
                  </w:r>
                </w:p>
              </w:tc>
              <w:tc>
                <w:tcPr>
                  <w:tcW w:w="1761" w:type="pct"/>
                  <w:tcBorders>
                    <w:top w:val="single" w:color="auto" w:sz="4" w:space="0"/>
                    <w:left w:val="single" w:color="auto" w:sz="4" w:space="0"/>
                    <w:bottom w:val="single" w:color="auto" w:sz="4" w:space="0"/>
                    <w:right w:val="single" w:color="auto" w:sz="4" w:space="0"/>
                  </w:tcBorders>
                  <w:noWrap w:val="0"/>
                  <w:vAlign w:val="center"/>
                </w:tcPr>
                <w:p w14:paraId="7444A96F">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0.1</w:t>
                  </w:r>
                </w:p>
              </w:tc>
              <w:tc>
                <w:tcPr>
                  <w:tcW w:w="1637" w:type="pct"/>
                  <w:tcBorders>
                    <w:top w:val="single" w:color="auto" w:sz="4" w:space="0"/>
                    <w:left w:val="single" w:color="auto" w:sz="4" w:space="0"/>
                    <w:bottom w:val="single" w:color="auto" w:sz="4" w:space="0"/>
                    <w:right w:val="single" w:color="auto" w:sz="4" w:space="0"/>
                  </w:tcBorders>
                  <w:noWrap w:val="0"/>
                  <w:vAlign w:val="center"/>
                </w:tcPr>
                <w:p w14:paraId="69B9B46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0.2</w:t>
                  </w:r>
                </w:p>
              </w:tc>
            </w:tr>
            <w:tr w14:paraId="04C347D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631D4B86">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eastAsia"/>
                      <w:color w:val="auto"/>
                    </w:rPr>
                    <w:t>二氧化硅/</w:t>
                  </w:r>
                  <w:r>
                    <w:rPr>
                      <w:rFonts w:hint="eastAsia"/>
                      <w:color w:val="auto"/>
                      <w:lang w:eastAsia="zh-CN"/>
                    </w:rPr>
                    <w:t>（</w:t>
                  </w:r>
                  <w:r>
                    <w:rPr>
                      <w:rFonts w:hint="eastAsia"/>
                      <w:color w:val="auto"/>
                    </w:rPr>
                    <w:t>mg/L</w:t>
                  </w:r>
                  <w:r>
                    <w:rPr>
                      <w:rFonts w:hint="eastAsia"/>
                      <w:color w:val="auto"/>
                      <w:lang w:eastAsia="zh-CN"/>
                    </w:rPr>
                    <w:t>）</w:t>
                  </w:r>
                </w:p>
              </w:tc>
              <w:tc>
                <w:tcPr>
                  <w:tcW w:w="1761" w:type="pct"/>
                  <w:tcBorders>
                    <w:top w:val="single" w:color="auto" w:sz="4" w:space="0"/>
                    <w:left w:val="single" w:color="auto" w:sz="4" w:space="0"/>
                    <w:bottom w:val="single" w:color="auto" w:sz="4" w:space="0"/>
                    <w:right w:val="single" w:color="auto" w:sz="4" w:space="0"/>
                  </w:tcBorders>
                  <w:noWrap w:val="0"/>
                  <w:vAlign w:val="center"/>
                </w:tcPr>
                <w:p w14:paraId="64F46C70">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30</w:t>
                  </w:r>
                </w:p>
              </w:tc>
              <w:tc>
                <w:tcPr>
                  <w:tcW w:w="1637" w:type="pct"/>
                  <w:tcBorders>
                    <w:top w:val="single" w:color="auto" w:sz="4" w:space="0"/>
                    <w:left w:val="single" w:color="auto" w:sz="4" w:space="0"/>
                    <w:bottom w:val="single" w:color="auto" w:sz="4" w:space="0"/>
                    <w:right w:val="single" w:color="auto" w:sz="4" w:space="0"/>
                  </w:tcBorders>
                  <w:noWrap w:val="0"/>
                  <w:vAlign w:val="center"/>
                </w:tcPr>
                <w:p w14:paraId="02C806E4">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zh-CN" w:bidi="ar-SA"/>
                    </w:rPr>
                  </w:pPr>
                  <w:r>
                    <w:rPr>
                      <w:rFonts w:hint="eastAsia" w:eastAsia="宋体" w:cs="Times New Roman"/>
                      <w:color w:val="auto"/>
                      <w:kern w:val="0"/>
                      <w:sz w:val="21"/>
                      <w:szCs w:val="21"/>
                      <w:lang w:val="en-US" w:eastAsia="zh-CN" w:bidi="ar-SA"/>
                    </w:rPr>
                    <w:t>50</w:t>
                  </w:r>
                </w:p>
              </w:tc>
            </w:tr>
            <w:tr w14:paraId="7010D06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5DA09288">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eastAsia"/>
                      <w:color w:val="auto"/>
                    </w:rPr>
                    <w:t>粪大肠菌群/</w:t>
                  </w:r>
                  <w:r>
                    <w:rPr>
                      <w:rFonts w:hint="eastAsia"/>
                      <w:color w:val="auto"/>
                      <w:lang w:eastAsia="zh-CN"/>
                    </w:rPr>
                    <w:t>（</w:t>
                  </w:r>
                  <w:r>
                    <w:rPr>
                      <w:rFonts w:hint="eastAsia"/>
                      <w:color w:val="auto"/>
                    </w:rPr>
                    <w:t>MPN/L</w:t>
                  </w:r>
                  <w:r>
                    <w:rPr>
                      <w:rFonts w:hint="eastAsia"/>
                      <w:color w:val="auto"/>
                      <w:lang w:eastAsia="zh-CN"/>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1F3F4E5E">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1000</w:t>
                  </w:r>
                </w:p>
              </w:tc>
            </w:tr>
            <w:tr w14:paraId="63CBC3C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trPr>
              <w:tc>
                <w:tcPr>
                  <w:tcW w:w="1601" w:type="pct"/>
                  <w:tcBorders>
                    <w:top w:val="single" w:color="auto" w:sz="4" w:space="0"/>
                    <w:left w:val="single" w:color="auto" w:sz="4" w:space="0"/>
                    <w:bottom w:val="single" w:color="auto" w:sz="4" w:space="0"/>
                    <w:right w:val="single" w:color="auto" w:sz="4" w:space="0"/>
                  </w:tcBorders>
                  <w:noWrap w:val="0"/>
                  <w:vAlign w:val="center"/>
                </w:tcPr>
                <w:p w14:paraId="5B30F5EC">
                  <w:pPr>
                    <w:widowControl w:val="0"/>
                    <w:kinsoku w:val="0"/>
                    <w:overflowPunct w:val="0"/>
                    <w:spacing w:line="240" w:lineRule="auto"/>
                    <w:ind w:firstLine="0" w:firstLineChars="0"/>
                    <w:contextualSpacing/>
                    <w:jc w:val="center"/>
                    <w:rPr>
                      <w:rFonts w:hint="eastAsia" w:ascii="Times New Roman" w:hAnsi="Times New Roman" w:eastAsia="宋体" w:cs="Times New Roman"/>
                      <w:color w:val="auto"/>
                      <w:kern w:val="0"/>
                      <w:sz w:val="21"/>
                      <w:szCs w:val="21"/>
                      <w:lang w:val="en-US" w:eastAsia="zh-CN" w:bidi="ar-SA"/>
                    </w:rPr>
                  </w:pPr>
                  <w:r>
                    <w:rPr>
                      <w:rFonts w:hint="eastAsia"/>
                      <w:color w:val="auto"/>
                    </w:rPr>
                    <w:t>总余氯</w:t>
                  </w:r>
                  <w:r>
                    <w:rPr>
                      <w:rFonts w:hint="eastAsia"/>
                      <w:color w:val="auto"/>
                      <w:lang w:eastAsia="zh-CN"/>
                    </w:rPr>
                    <w:t>（</w:t>
                  </w:r>
                  <w:r>
                    <w:rPr>
                      <w:rFonts w:hint="eastAsia"/>
                      <w:color w:val="auto"/>
                    </w:rPr>
                    <w:t>mg/L</w:t>
                  </w:r>
                  <w:r>
                    <w:rPr>
                      <w:rFonts w:hint="eastAsia"/>
                      <w:color w:val="auto"/>
                      <w:lang w:eastAsia="zh-CN"/>
                    </w:rPr>
                    <w:t>）</w:t>
                  </w:r>
                </w:p>
              </w:tc>
              <w:tc>
                <w:tcPr>
                  <w:tcW w:w="3398" w:type="pct"/>
                  <w:gridSpan w:val="2"/>
                  <w:tcBorders>
                    <w:top w:val="single" w:color="auto" w:sz="4" w:space="0"/>
                    <w:left w:val="single" w:color="auto" w:sz="4" w:space="0"/>
                    <w:bottom w:val="single" w:color="auto" w:sz="4" w:space="0"/>
                    <w:right w:val="single" w:color="auto" w:sz="4" w:space="0"/>
                  </w:tcBorders>
                  <w:noWrap w:val="0"/>
                  <w:vAlign w:val="center"/>
                </w:tcPr>
                <w:p w14:paraId="346C35B7">
                  <w:pPr>
                    <w:widowControl w:val="0"/>
                    <w:kinsoku w:val="0"/>
                    <w:overflowPunct w:val="0"/>
                    <w:spacing w:line="240" w:lineRule="auto"/>
                    <w:ind w:firstLine="0" w:firstLineChars="0"/>
                    <w:contextualSpacing/>
                    <w:jc w:val="center"/>
                    <w:rPr>
                      <w:rFonts w:hint="default" w:ascii="Times New Roman" w:hAnsi="Times New Roman" w:eastAsia="宋体" w:cs="Times New Roman"/>
                      <w:color w:val="auto"/>
                      <w:kern w:val="0"/>
                      <w:sz w:val="21"/>
                      <w:szCs w:val="21"/>
                      <w:lang w:val="en-US" w:eastAsia="en-US" w:bidi="ar-SA"/>
                    </w:rPr>
                  </w:pPr>
                  <w:r>
                    <w:rPr>
                      <w:rFonts w:hint="eastAsia" w:eastAsia="宋体" w:cs="Times New Roman"/>
                      <w:color w:val="auto"/>
                      <w:kern w:val="0"/>
                      <w:sz w:val="21"/>
                      <w:szCs w:val="21"/>
                      <w:lang w:val="en-US" w:eastAsia="zh-CN" w:bidi="ar-SA"/>
                    </w:rPr>
                    <w:t>0.1-0.2</w:t>
                  </w:r>
                </w:p>
              </w:tc>
            </w:tr>
          </w:tbl>
          <w:p w14:paraId="2EB28D90">
            <w:pPr>
              <w:spacing w:before="240" w:line="360" w:lineRule="auto"/>
              <w:ind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val="en-US" w:eastAsia="zh-CN"/>
              </w:rPr>
              <w:t>3.</w:t>
            </w:r>
            <w:r>
              <w:rPr>
                <w:rFonts w:hint="default" w:ascii="Times New Roman" w:hAnsi="Times New Roman" w:eastAsia="宋体" w:cs="Times New Roman"/>
                <w:b/>
                <w:color w:val="auto"/>
                <w:sz w:val="24"/>
              </w:rPr>
              <w:t>噪声排放标准</w:t>
            </w:r>
          </w:p>
          <w:p w14:paraId="44D56F81">
            <w:pPr>
              <w:spacing w:line="312"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施工噪声执行《建筑施工场界环境噪声排放标准》（GB12523-2011）的标准限值；运营期厂界噪声执行《工业企业厂界环境噪声排放标准》（GB12348-2008）中</w:t>
            </w:r>
            <w:r>
              <w:rPr>
                <w:rFonts w:hint="default" w:ascii="Times New Roman" w:hAnsi="Times New Roman" w:eastAsia="宋体" w:cs="Times New Roman"/>
                <w:color w:val="auto"/>
                <w:kern w:val="0"/>
                <w:sz w:val="24"/>
                <w:lang w:eastAsia="zh-CN"/>
              </w:rPr>
              <w:t>2类标准</w:t>
            </w:r>
            <w:r>
              <w:rPr>
                <w:rFonts w:hint="default" w:ascii="Times New Roman" w:hAnsi="Times New Roman" w:eastAsia="宋体" w:cs="Times New Roman"/>
                <w:color w:val="auto"/>
                <w:kern w:val="0"/>
                <w:sz w:val="24"/>
              </w:rPr>
              <w:t>限值，具体指标见表3-</w:t>
            </w:r>
            <w:r>
              <w:rPr>
                <w:rFonts w:hint="eastAsia" w:cs="Times New Roman"/>
                <w:color w:val="auto"/>
                <w:kern w:val="0"/>
                <w:sz w:val="24"/>
                <w:lang w:val="en-US" w:eastAsia="zh-CN"/>
              </w:rPr>
              <w:t>6</w:t>
            </w:r>
            <w:r>
              <w:rPr>
                <w:rFonts w:hint="default" w:ascii="Times New Roman" w:hAnsi="Times New Roman" w:eastAsia="宋体" w:cs="Times New Roman"/>
                <w:color w:val="auto"/>
                <w:kern w:val="0"/>
                <w:sz w:val="24"/>
              </w:rPr>
              <w:t>。</w:t>
            </w:r>
          </w:p>
          <w:p w14:paraId="17F03A3B">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表3-</w:t>
            </w:r>
            <w:r>
              <w:rPr>
                <w:rFonts w:hint="eastAsia" w:cs="Times New Roman"/>
                <w:color w:val="auto"/>
                <w:lang w:val="en-US" w:eastAsia="zh-CN"/>
              </w:rPr>
              <w:t>6</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噪声排放标准一览表</w:t>
            </w:r>
          </w:p>
          <w:tbl>
            <w:tblPr>
              <w:tblStyle w:val="7"/>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89"/>
              <w:gridCol w:w="1526"/>
              <w:gridCol w:w="1506"/>
              <w:gridCol w:w="4001"/>
            </w:tblGrid>
            <w:tr w14:paraId="277B41B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tcBorders>
                    <w:top w:val="single" w:color="auto" w:sz="4" w:space="0"/>
                    <w:left w:val="single" w:color="auto" w:sz="0" w:space="0"/>
                    <w:bottom w:val="single" w:color="auto" w:sz="4" w:space="0"/>
                    <w:right w:val="single" w:color="auto" w:sz="4" w:space="0"/>
                  </w:tcBorders>
                  <w:vAlign w:val="center"/>
                </w:tcPr>
                <w:p w14:paraId="1CA873EE">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时期</w:t>
                  </w:r>
                </w:p>
              </w:tc>
              <w:tc>
                <w:tcPr>
                  <w:tcW w:w="1844" w:type="pct"/>
                  <w:gridSpan w:val="2"/>
                  <w:tcBorders>
                    <w:top w:val="single" w:color="auto" w:sz="4" w:space="0"/>
                    <w:left w:val="single" w:color="auto" w:sz="4" w:space="0"/>
                    <w:bottom w:val="single" w:color="auto" w:sz="4" w:space="0"/>
                    <w:right w:val="single" w:color="auto" w:sz="4" w:space="0"/>
                  </w:tcBorders>
                  <w:vAlign w:val="center"/>
                </w:tcPr>
                <w:p w14:paraId="32A81044">
                  <w:pPr>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噪声限值Leq〔dB（A）〕</w:t>
                  </w:r>
                </w:p>
              </w:tc>
              <w:tc>
                <w:tcPr>
                  <w:tcW w:w="2433" w:type="pct"/>
                  <w:vMerge w:val="restart"/>
                  <w:tcBorders>
                    <w:top w:val="single" w:color="auto" w:sz="4" w:space="0"/>
                    <w:left w:val="single" w:color="auto" w:sz="4" w:space="0"/>
                    <w:bottom w:val="single" w:color="auto" w:sz="4" w:space="0"/>
                    <w:right w:val="single" w:color="auto" w:sz="4" w:space="0"/>
                  </w:tcBorders>
                  <w:vAlign w:val="center"/>
                </w:tcPr>
                <w:p w14:paraId="0DB56602">
                  <w:pPr>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排放标准</w:t>
                  </w:r>
                </w:p>
              </w:tc>
            </w:tr>
            <w:tr w14:paraId="4BF9AA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tcBorders>
                    <w:top w:val="single" w:color="auto" w:sz="4" w:space="0"/>
                    <w:left w:val="single" w:color="auto" w:sz="4" w:space="0"/>
                    <w:bottom w:val="single" w:color="auto" w:sz="4" w:space="0"/>
                    <w:right w:val="single" w:color="auto" w:sz="4" w:space="0"/>
                  </w:tcBorders>
                  <w:vAlign w:val="center"/>
                </w:tcPr>
                <w:p w14:paraId="1EDE3F3D">
                  <w:pPr>
                    <w:widowControl/>
                    <w:adjustRightInd w:val="0"/>
                    <w:snapToGrid w:val="0"/>
                    <w:jc w:val="center"/>
                    <w:rPr>
                      <w:rFonts w:hint="default" w:ascii="Times New Roman" w:hAnsi="Times New Roman" w:eastAsia="宋体" w:cs="Times New Roman"/>
                      <w:b/>
                      <w:bCs/>
                      <w:color w:val="auto"/>
                      <w:kern w:val="0"/>
                      <w:szCs w:val="21"/>
                    </w:rPr>
                  </w:pPr>
                </w:p>
              </w:tc>
              <w:tc>
                <w:tcPr>
                  <w:tcW w:w="928" w:type="pct"/>
                  <w:tcBorders>
                    <w:top w:val="single" w:color="auto" w:sz="4" w:space="0"/>
                    <w:left w:val="single" w:color="auto" w:sz="4" w:space="0"/>
                    <w:bottom w:val="single" w:color="auto" w:sz="4" w:space="0"/>
                    <w:right w:val="single" w:color="auto" w:sz="4" w:space="0"/>
                  </w:tcBorders>
                  <w:vAlign w:val="center"/>
                </w:tcPr>
                <w:p w14:paraId="4B52B71D">
                  <w:pPr>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昼间</w:t>
                  </w:r>
                </w:p>
              </w:tc>
              <w:tc>
                <w:tcPr>
                  <w:tcW w:w="916" w:type="pct"/>
                  <w:tcBorders>
                    <w:top w:val="single" w:color="auto" w:sz="4" w:space="0"/>
                    <w:left w:val="single" w:color="auto" w:sz="4" w:space="0"/>
                    <w:bottom w:val="single" w:color="auto" w:sz="4" w:space="0"/>
                    <w:right w:val="single" w:color="auto" w:sz="4" w:space="0"/>
                  </w:tcBorders>
                  <w:vAlign w:val="center"/>
                </w:tcPr>
                <w:p w14:paraId="4DD59C0D">
                  <w:pPr>
                    <w:widowControl/>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夜间</w:t>
                  </w:r>
                </w:p>
              </w:tc>
              <w:tc>
                <w:tcPr>
                  <w:tcW w:w="2433" w:type="pct"/>
                  <w:vMerge w:val="continue"/>
                  <w:tcBorders>
                    <w:top w:val="single" w:color="auto" w:sz="4" w:space="0"/>
                    <w:left w:val="single" w:color="auto" w:sz="4" w:space="0"/>
                    <w:bottom w:val="single" w:color="auto" w:sz="4" w:space="0"/>
                    <w:right w:val="single" w:color="auto" w:sz="4" w:space="0"/>
                  </w:tcBorders>
                  <w:vAlign w:val="center"/>
                </w:tcPr>
                <w:p w14:paraId="55435553">
                  <w:pPr>
                    <w:adjustRightInd w:val="0"/>
                    <w:snapToGrid w:val="0"/>
                    <w:jc w:val="center"/>
                    <w:rPr>
                      <w:rFonts w:hint="default" w:ascii="Times New Roman" w:hAnsi="Times New Roman" w:eastAsia="宋体" w:cs="Times New Roman"/>
                      <w:b/>
                      <w:bCs/>
                      <w:color w:val="auto"/>
                      <w:kern w:val="0"/>
                      <w:szCs w:val="21"/>
                    </w:rPr>
                  </w:pPr>
                </w:p>
              </w:tc>
            </w:tr>
            <w:tr w14:paraId="7D1FB1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tcBorders>
                    <w:top w:val="single" w:color="auto" w:sz="4" w:space="0"/>
                    <w:left w:val="single" w:color="auto" w:sz="4" w:space="0"/>
                    <w:bottom w:val="single" w:color="auto" w:sz="4" w:space="0"/>
                    <w:right w:val="single" w:color="auto" w:sz="4" w:space="0"/>
                  </w:tcBorders>
                  <w:vAlign w:val="center"/>
                </w:tcPr>
                <w:p w14:paraId="4032C252">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施工期</w:t>
                  </w:r>
                </w:p>
              </w:tc>
              <w:tc>
                <w:tcPr>
                  <w:tcW w:w="928" w:type="pct"/>
                  <w:tcBorders>
                    <w:top w:val="single" w:color="auto" w:sz="4" w:space="0"/>
                    <w:left w:val="single" w:color="auto" w:sz="4" w:space="0"/>
                    <w:bottom w:val="single" w:color="auto" w:sz="4" w:space="0"/>
                    <w:right w:val="single" w:color="auto" w:sz="4" w:space="0"/>
                  </w:tcBorders>
                  <w:vAlign w:val="center"/>
                </w:tcPr>
                <w:p w14:paraId="4491C46E">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70</w:t>
                  </w:r>
                </w:p>
              </w:tc>
              <w:tc>
                <w:tcPr>
                  <w:tcW w:w="916" w:type="pct"/>
                  <w:tcBorders>
                    <w:top w:val="single" w:color="auto" w:sz="4" w:space="0"/>
                    <w:left w:val="single" w:color="auto" w:sz="4" w:space="0"/>
                    <w:bottom w:val="single" w:color="auto" w:sz="4" w:space="0"/>
                    <w:right w:val="single" w:color="auto" w:sz="4" w:space="0"/>
                  </w:tcBorders>
                  <w:vAlign w:val="center"/>
                </w:tcPr>
                <w:p w14:paraId="20627963">
                  <w:pPr>
                    <w:widowControl/>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55</w:t>
                  </w:r>
                </w:p>
              </w:tc>
              <w:tc>
                <w:tcPr>
                  <w:tcW w:w="2433" w:type="pct"/>
                  <w:tcBorders>
                    <w:top w:val="single" w:color="auto" w:sz="4" w:space="0"/>
                    <w:left w:val="single" w:color="auto" w:sz="4" w:space="0"/>
                    <w:bottom w:val="single" w:color="auto" w:sz="4" w:space="0"/>
                    <w:right w:val="single" w:color="auto" w:sz="4" w:space="0"/>
                  </w:tcBorders>
                  <w:vAlign w:val="center"/>
                </w:tcPr>
                <w:p w14:paraId="6833FE02">
                  <w:pPr>
                    <w:adjustRightInd w:val="0"/>
                    <w:snapToGrid w:val="0"/>
                    <w:jc w:val="center"/>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《建筑施工场界环境噪声排放标准》（GB12523-2011）</w:t>
                  </w:r>
                  <w:r>
                    <w:rPr>
                      <w:rFonts w:hint="eastAsia" w:cs="Times New Roman"/>
                      <w:color w:val="auto"/>
                      <w:kern w:val="0"/>
                      <w:szCs w:val="21"/>
                      <w:lang w:eastAsia="zh-CN"/>
                    </w:rPr>
                    <w:t>。</w:t>
                  </w:r>
                </w:p>
              </w:tc>
            </w:tr>
            <w:tr w14:paraId="5BABF1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tcBorders>
                    <w:top w:val="single" w:color="auto" w:sz="4" w:space="0"/>
                    <w:left w:val="single" w:color="auto" w:sz="4" w:space="0"/>
                    <w:bottom w:val="single" w:color="auto" w:sz="4" w:space="0"/>
                    <w:right w:val="single" w:color="auto" w:sz="4" w:space="0"/>
                  </w:tcBorders>
                  <w:vAlign w:val="center"/>
                </w:tcPr>
                <w:p w14:paraId="019E38E0">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运营期</w:t>
                  </w:r>
                </w:p>
              </w:tc>
              <w:tc>
                <w:tcPr>
                  <w:tcW w:w="928" w:type="pct"/>
                  <w:tcBorders>
                    <w:top w:val="single" w:color="auto" w:sz="4" w:space="0"/>
                    <w:left w:val="single" w:color="auto" w:sz="4" w:space="0"/>
                    <w:bottom w:val="single" w:color="auto" w:sz="4" w:space="0"/>
                    <w:right w:val="single" w:color="auto" w:sz="4" w:space="0"/>
                  </w:tcBorders>
                  <w:vAlign w:val="center"/>
                </w:tcPr>
                <w:p w14:paraId="1E0336C9">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60</w:t>
                  </w:r>
                </w:p>
              </w:tc>
              <w:tc>
                <w:tcPr>
                  <w:tcW w:w="916" w:type="pct"/>
                  <w:tcBorders>
                    <w:top w:val="single" w:color="auto" w:sz="4" w:space="0"/>
                    <w:left w:val="single" w:color="auto" w:sz="4" w:space="0"/>
                    <w:bottom w:val="single" w:color="auto" w:sz="4" w:space="0"/>
                    <w:right w:val="single" w:color="auto" w:sz="4" w:space="0"/>
                  </w:tcBorders>
                  <w:vAlign w:val="center"/>
                </w:tcPr>
                <w:p w14:paraId="6FA9785B">
                  <w:pPr>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50</w:t>
                  </w:r>
                </w:p>
              </w:tc>
              <w:tc>
                <w:tcPr>
                  <w:tcW w:w="2433" w:type="pct"/>
                  <w:tcBorders>
                    <w:top w:val="single" w:color="auto" w:sz="4" w:space="0"/>
                    <w:left w:val="single" w:color="auto" w:sz="4" w:space="0"/>
                    <w:bottom w:val="single" w:color="auto" w:sz="4" w:space="0"/>
                    <w:right w:val="single" w:color="auto" w:sz="4" w:space="0"/>
                  </w:tcBorders>
                  <w:vAlign w:val="center"/>
                </w:tcPr>
                <w:p w14:paraId="3F1650AA">
                  <w:pPr>
                    <w:adjustRightInd w:val="0"/>
                    <w:snapToGrid w:val="0"/>
                    <w:jc w:val="center"/>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《工业企业厂界环境噪声排放标准》（GB12348-2008）中</w:t>
                  </w:r>
                  <w:r>
                    <w:rPr>
                      <w:rFonts w:hint="default" w:ascii="Times New Roman" w:hAnsi="Times New Roman" w:eastAsia="宋体" w:cs="Times New Roman"/>
                      <w:color w:val="auto"/>
                      <w:kern w:val="0"/>
                      <w:szCs w:val="21"/>
                      <w:lang w:eastAsia="zh-CN"/>
                    </w:rPr>
                    <w:t>2类标准</w:t>
                  </w:r>
                  <w:r>
                    <w:rPr>
                      <w:rFonts w:hint="default" w:ascii="Times New Roman" w:hAnsi="Times New Roman" w:eastAsia="宋体" w:cs="Times New Roman"/>
                      <w:color w:val="auto"/>
                      <w:kern w:val="0"/>
                      <w:szCs w:val="21"/>
                    </w:rPr>
                    <w:t>限值</w:t>
                  </w:r>
                  <w:r>
                    <w:rPr>
                      <w:rFonts w:hint="eastAsia" w:cs="Times New Roman"/>
                      <w:color w:val="auto"/>
                      <w:kern w:val="0"/>
                      <w:szCs w:val="21"/>
                      <w:lang w:eastAsia="zh-CN"/>
                    </w:rPr>
                    <w:t>。</w:t>
                  </w:r>
                </w:p>
              </w:tc>
            </w:tr>
          </w:tbl>
          <w:p w14:paraId="74E87361">
            <w:pPr>
              <w:spacing w:before="240" w:line="360" w:lineRule="auto"/>
              <w:ind w:firstLine="482" w:firstLineChars="20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lang w:val="en-US" w:eastAsia="zh-CN"/>
              </w:rPr>
              <w:t>4</w:t>
            </w:r>
            <w:r>
              <w:rPr>
                <w:rFonts w:hint="default" w:ascii="Times New Roman" w:hAnsi="Times New Roman" w:eastAsia="宋体" w:cs="Times New Roman"/>
                <w:b/>
                <w:color w:val="auto"/>
                <w:sz w:val="24"/>
              </w:rPr>
              <w:t>.固体废物</w:t>
            </w:r>
            <w:r>
              <w:rPr>
                <w:rFonts w:hint="eastAsia" w:cs="Times New Roman"/>
                <w:b/>
                <w:color w:val="auto"/>
                <w:sz w:val="24"/>
                <w:lang w:eastAsia="zh-CN"/>
              </w:rPr>
              <w:t>排放</w:t>
            </w:r>
            <w:r>
              <w:rPr>
                <w:rFonts w:hint="default" w:ascii="Times New Roman" w:hAnsi="Times New Roman" w:eastAsia="宋体" w:cs="Times New Roman"/>
                <w:b/>
                <w:color w:val="auto"/>
                <w:sz w:val="24"/>
              </w:rPr>
              <w:t>标准</w:t>
            </w:r>
          </w:p>
          <w:p w14:paraId="149F4521">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一般固废执行《一般工业固体废物贮存和填埋污染控制标准》（GB18599-2020）标准</w:t>
            </w:r>
            <w:r>
              <w:rPr>
                <w:rFonts w:hint="default" w:ascii="Times New Roman" w:hAnsi="Times New Roman" w:eastAsia="宋体" w:cs="Times New Roman"/>
                <w:bCs/>
                <w:color w:val="auto"/>
                <w:sz w:val="24"/>
              </w:rPr>
              <w:t>。</w:t>
            </w:r>
          </w:p>
          <w:p w14:paraId="3D2BC440">
            <w:pPr>
              <w:spacing w:line="360" w:lineRule="auto"/>
              <w:rPr>
                <w:rFonts w:hint="default" w:ascii="Times New Roman" w:hAnsi="Times New Roman" w:eastAsia="宋体" w:cs="Times New Roman"/>
                <w:b/>
                <w:color w:val="auto"/>
                <w:szCs w:val="21"/>
              </w:rPr>
            </w:pPr>
          </w:p>
        </w:tc>
      </w:tr>
      <w:tr w14:paraId="4015A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51" w:hRule="atLeast"/>
          <w:jc w:val="center"/>
        </w:trPr>
        <w:tc>
          <w:tcPr>
            <w:tcW w:w="534" w:type="dxa"/>
            <w:vAlign w:val="center"/>
          </w:tcPr>
          <w:p w14:paraId="5B41C730">
            <w:pPr>
              <w:adjustRightInd w:val="0"/>
              <w:snapToGrid w:val="0"/>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总量</w:t>
            </w:r>
          </w:p>
          <w:p w14:paraId="0583693D">
            <w:pPr>
              <w:adjustRightInd w:val="0"/>
              <w:snapToGrid w:val="0"/>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控制</w:t>
            </w:r>
          </w:p>
          <w:p w14:paraId="1D68F2BF">
            <w:pPr>
              <w:adjustRightInd w:val="0"/>
              <w:snapToGrid w:val="0"/>
              <w:jc w:val="center"/>
              <w:rPr>
                <w:rFonts w:hint="default" w:ascii="Times New Roman" w:hAnsi="Times New Roman" w:eastAsia="宋体" w:cs="Times New Roman"/>
                <w:b/>
                <w:bCs/>
                <w:color w:val="auto"/>
                <w:kern w:val="0"/>
                <w:sz w:val="24"/>
                <w:szCs w:val="24"/>
                <w:highlight w:val="none"/>
              </w:rPr>
            </w:pPr>
            <w:r>
              <w:rPr>
                <w:rFonts w:hint="default" w:ascii="Times New Roman" w:hAnsi="Times New Roman" w:eastAsia="宋体" w:cs="Times New Roman"/>
                <w:b/>
                <w:bCs/>
                <w:color w:val="auto"/>
                <w:kern w:val="0"/>
                <w:sz w:val="24"/>
                <w:szCs w:val="24"/>
                <w:highlight w:val="none"/>
              </w:rPr>
              <w:t>指标</w:t>
            </w:r>
          </w:p>
        </w:tc>
        <w:tc>
          <w:tcPr>
            <w:tcW w:w="8527" w:type="dxa"/>
            <w:vAlign w:val="center"/>
          </w:tcPr>
          <w:p w14:paraId="5E355BF5">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项目按照燃气量核算本项目总量指标：化学需氧量：0t/a，氨氮：0t/a；二氧化硫：</w:t>
            </w:r>
            <w:r>
              <w:rPr>
                <w:rFonts w:hint="default" w:ascii="Times New Roman" w:hAnsi="Times New Roman" w:eastAsia="宋体" w:cs="Times New Roman"/>
                <w:color w:val="auto"/>
                <w:kern w:val="0"/>
                <w:sz w:val="24"/>
                <w:highlight w:val="none"/>
                <w:lang w:val="en-US" w:eastAsia="zh-CN"/>
              </w:rPr>
              <w:t>0.518</w:t>
            </w:r>
            <w:r>
              <w:rPr>
                <w:rFonts w:hint="default" w:ascii="Times New Roman" w:hAnsi="Times New Roman" w:eastAsia="宋体" w:cs="Times New Roman"/>
                <w:color w:val="auto"/>
                <w:kern w:val="0"/>
                <w:sz w:val="24"/>
                <w:highlight w:val="none"/>
              </w:rPr>
              <w:t>t/a，氮氧化物：</w:t>
            </w:r>
            <w:r>
              <w:rPr>
                <w:rFonts w:hint="eastAsia" w:cs="Times New Roman"/>
                <w:color w:val="auto"/>
                <w:kern w:val="0"/>
                <w:sz w:val="24"/>
                <w:highlight w:val="none"/>
                <w:lang w:val="en-US" w:eastAsia="zh-CN"/>
              </w:rPr>
              <w:t>1.309</w:t>
            </w:r>
            <w:r>
              <w:rPr>
                <w:rFonts w:hint="default" w:ascii="Times New Roman" w:hAnsi="Times New Roman" w:eastAsia="宋体" w:cs="Times New Roman"/>
                <w:color w:val="auto"/>
                <w:kern w:val="0"/>
                <w:sz w:val="24"/>
                <w:highlight w:val="none"/>
                <w:lang w:val="en-US" w:eastAsia="zh-CN"/>
              </w:rPr>
              <w:t>t/a</w:t>
            </w:r>
            <w:r>
              <w:rPr>
                <w:rFonts w:hint="eastAsia" w:cs="Times New Roman"/>
                <w:color w:val="auto"/>
                <w:kern w:val="0"/>
                <w:sz w:val="24"/>
                <w:highlight w:val="none"/>
                <w:lang w:val="en-US" w:eastAsia="zh-CN"/>
              </w:rPr>
              <w:t>，颗粒物：0.432t/a</w:t>
            </w:r>
            <w:r>
              <w:rPr>
                <w:rFonts w:hint="default" w:ascii="Times New Roman" w:hAnsi="Times New Roman" w:eastAsia="宋体" w:cs="Times New Roman"/>
                <w:color w:val="auto"/>
                <w:kern w:val="0"/>
                <w:sz w:val="24"/>
                <w:highlight w:val="none"/>
              </w:rPr>
              <w:t>。</w:t>
            </w:r>
          </w:p>
        </w:tc>
      </w:tr>
    </w:tbl>
    <w:p w14:paraId="19992805">
      <w:pPr>
        <w:pStyle w:val="3"/>
        <w:jc w:val="center"/>
        <w:outlineLvl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snapToGrid w:val="0"/>
          <w:color w:val="auto"/>
          <w:sz w:val="36"/>
          <w:szCs w:val="36"/>
        </w:rPr>
        <w:br w:type="page"/>
      </w:r>
      <w:r>
        <w:rPr>
          <w:rFonts w:hint="default" w:ascii="Times New Roman" w:hAnsi="Times New Roman" w:eastAsia="宋体" w:cs="Times New Roman"/>
          <w:b/>
          <w:bCs/>
          <w:snapToGrid w:val="0"/>
          <w:color w:val="auto"/>
          <w:sz w:val="30"/>
          <w:szCs w:val="30"/>
        </w:rPr>
        <w:t>四、主要环境影响和保护措施</w:t>
      </w:r>
    </w:p>
    <w:tbl>
      <w:tblPr>
        <w:tblStyle w:val="7"/>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84"/>
        <w:gridCol w:w="8424"/>
      </w:tblGrid>
      <w:tr w14:paraId="43B32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484" w:type="dxa"/>
            <w:tcMar>
              <w:left w:w="28" w:type="dxa"/>
              <w:right w:w="28" w:type="dxa"/>
            </w:tcMar>
            <w:vAlign w:val="center"/>
          </w:tcPr>
          <w:p w14:paraId="23A11811">
            <w:pPr>
              <w:pStyle w:val="3"/>
              <w:adjustRightInd w:val="0"/>
              <w:snapToGrid w:val="0"/>
              <w:spacing w:before="0" w:beforeAutospacing="0" w:after="0" w:afterAutospacing="0"/>
              <w:jc w:val="center"/>
              <w:rPr>
                <w:rFonts w:hint="default" w:ascii="Times New Roman" w:hAnsi="Times New Roman" w:eastAsia="宋体" w:cs="Times New Roman"/>
                <w:b/>
                <w:bCs/>
                <w:color w:val="auto"/>
                <w:kern w:val="2"/>
                <w:sz w:val="24"/>
                <w:szCs w:val="24"/>
              </w:rPr>
            </w:pPr>
            <w:r>
              <w:rPr>
                <w:rFonts w:hint="default" w:ascii="Times New Roman" w:hAnsi="Times New Roman" w:eastAsia="宋体" w:cs="Times New Roman"/>
                <w:b/>
                <w:bCs/>
                <w:color w:val="auto"/>
                <w:kern w:val="2"/>
                <w:sz w:val="24"/>
                <w:szCs w:val="24"/>
              </w:rPr>
              <w:t>施工</w:t>
            </w:r>
          </w:p>
          <w:p w14:paraId="76250C41">
            <w:pPr>
              <w:pStyle w:val="3"/>
              <w:adjustRightInd w:val="0"/>
              <w:snapToGrid w:val="0"/>
              <w:spacing w:before="0" w:beforeAutospacing="0" w:after="0" w:afterAutospacing="0"/>
              <w:jc w:val="center"/>
              <w:rPr>
                <w:rFonts w:hint="default" w:ascii="Times New Roman" w:hAnsi="Times New Roman" w:eastAsia="宋体" w:cs="Times New Roman"/>
                <w:b/>
                <w:bCs/>
                <w:color w:val="auto"/>
                <w:kern w:val="2"/>
                <w:sz w:val="24"/>
                <w:szCs w:val="24"/>
              </w:rPr>
            </w:pPr>
            <w:r>
              <w:rPr>
                <w:rFonts w:hint="default" w:ascii="Times New Roman" w:hAnsi="Times New Roman" w:eastAsia="宋体" w:cs="Times New Roman"/>
                <w:b/>
                <w:bCs/>
                <w:color w:val="auto"/>
                <w:kern w:val="2"/>
                <w:sz w:val="24"/>
                <w:szCs w:val="24"/>
              </w:rPr>
              <w:t>期环</w:t>
            </w:r>
          </w:p>
          <w:p w14:paraId="06540FC7">
            <w:pPr>
              <w:pStyle w:val="3"/>
              <w:adjustRightInd w:val="0"/>
              <w:snapToGrid w:val="0"/>
              <w:spacing w:before="0" w:beforeAutospacing="0" w:after="0" w:afterAutospacing="0"/>
              <w:jc w:val="center"/>
              <w:rPr>
                <w:rFonts w:hint="default" w:ascii="Times New Roman" w:hAnsi="Times New Roman" w:eastAsia="宋体" w:cs="Times New Roman"/>
                <w:b/>
                <w:bCs/>
                <w:color w:val="auto"/>
                <w:kern w:val="2"/>
                <w:sz w:val="24"/>
                <w:szCs w:val="24"/>
              </w:rPr>
            </w:pPr>
            <w:r>
              <w:rPr>
                <w:rFonts w:hint="default" w:ascii="Times New Roman" w:hAnsi="Times New Roman" w:eastAsia="宋体" w:cs="Times New Roman"/>
                <w:b/>
                <w:bCs/>
                <w:color w:val="auto"/>
                <w:kern w:val="2"/>
                <w:sz w:val="24"/>
                <w:szCs w:val="24"/>
              </w:rPr>
              <w:t>境保</w:t>
            </w:r>
          </w:p>
          <w:p w14:paraId="61EE0A00">
            <w:pPr>
              <w:pStyle w:val="3"/>
              <w:adjustRightInd w:val="0"/>
              <w:snapToGrid w:val="0"/>
              <w:spacing w:before="0" w:beforeAutospacing="0" w:after="0" w:afterAutospacing="0"/>
              <w:jc w:val="center"/>
              <w:rPr>
                <w:rFonts w:hint="default" w:ascii="Times New Roman" w:hAnsi="Times New Roman" w:eastAsia="宋体" w:cs="Times New Roman"/>
                <w:b/>
                <w:bCs/>
                <w:color w:val="auto"/>
                <w:kern w:val="2"/>
                <w:sz w:val="24"/>
                <w:szCs w:val="24"/>
              </w:rPr>
            </w:pPr>
            <w:r>
              <w:rPr>
                <w:rFonts w:hint="default" w:ascii="Times New Roman" w:hAnsi="Times New Roman" w:eastAsia="宋体" w:cs="Times New Roman"/>
                <w:b/>
                <w:bCs/>
                <w:color w:val="auto"/>
                <w:kern w:val="2"/>
                <w:sz w:val="24"/>
                <w:szCs w:val="24"/>
              </w:rPr>
              <w:t>护措</w:t>
            </w:r>
          </w:p>
          <w:p w14:paraId="0402917F">
            <w:pPr>
              <w:pStyle w:val="3"/>
              <w:adjustRightInd w:val="0"/>
              <w:snapToGrid w:val="0"/>
              <w:spacing w:before="0" w:beforeAutospacing="0" w:after="0" w:afterAutospacing="0"/>
              <w:jc w:val="center"/>
              <w:rPr>
                <w:rFonts w:hint="default" w:ascii="Times New Roman" w:hAnsi="Times New Roman" w:eastAsia="宋体" w:cs="Times New Roman"/>
                <w:b/>
                <w:bCs/>
                <w:color w:val="auto"/>
                <w:kern w:val="2"/>
                <w:sz w:val="24"/>
                <w:szCs w:val="24"/>
              </w:rPr>
            </w:pPr>
            <w:r>
              <w:rPr>
                <w:rFonts w:hint="default" w:ascii="Times New Roman" w:hAnsi="Times New Roman" w:eastAsia="宋体" w:cs="Times New Roman"/>
                <w:b/>
                <w:bCs/>
                <w:color w:val="auto"/>
                <w:kern w:val="2"/>
                <w:sz w:val="24"/>
                <w:szCs w:val="24"/>
              </w:rPr>
              <w:t>施</w:t>
            </w:r>
          </w:p>
        </w:tc>
        <w:tc>
          <w:tcPr>
            <w:tcW w:w="8424" w:type="dxa"/>
            <w:vAlign w:val="center"/>
          </w:tcPr>
          <w:p w14:paraId="671C0E15">
            <w:pPr>
              <w:adjustRightInd w:val="0"/>
              <w:snapToGrid w:val="0"/>
              <w:spacing w:line="360" w:lineRule="auto"/>
              <w:ind w:firstLine="482"/>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1.废气</w:t>
            </w:r>
          </w:p>
          <w:p w14:paraId="3A55298D">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rPr>
              <w:t>施工过程中产生的主要大气污染源是扬尘以及施工机械、运输车辆废气。</w:t>
            </w:r>
          </w:p>
          <w:p w14:paraId="7027CB9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（1）施工扬尘</w:t>
            </w:r>
          </w:p>
          <w:p w14:paraId="41BADACA">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施工扬尘主要产生在以下环节：①土石方开挖、回填以及现场堆放扬尘；②建筑材料（水泥、沙子、碎石等）的搬运以及堆放扬尘；③物料运输车辆造成的道路扬尘（包括运输车辆在施工区内道路行驶产生的扬尘和含泥土的运输车辆带到施工区外道路产生的扬尘）。</w:t>
            </w:r>
          </w:p>
          <w:p w14:paraId="38685D5C">
            <w:pPr>
              <w:widowControl/>
              <w:adjustRightInd w:val="0"/>
              <w:snapToGrid w:val="0"/>
              <w:spacing w:line="360" w:lineRule="auto"/>
              <w:ind w:firstLine="480" w:firstLineChars="200"/>
              <w:textAlignment w:val="baseline"/>
              <w:rPr>
                <w:rFonts w:hint="default" w:ascii="Times New Roman" w:hAnsi="Times New Roman" w:eastAsia="宋体" w:cs="Times New Roman"/>
                <w:bCs/>
                <w:color w:val="auto"/>
                <w:kern w:val="0"/>
                <w:sz w:val="24"/>
              </w:rPr>
            </w:pPr>
            <w:r>
              <w:rPr>
                <w:rFonts w:hint="default" w:ascii="Times New Roman" w:hAnsi="Times New Roman" w:eastAsia="宋体" w:cs="Times New Roman"/>
                <w:bCs/>
                <w:color w:val="auto"/>
                <w:kern w:val="0"/>
                <w:sz w:val="24"/>
              </w:rPr>
              <w:t>扬尘的主要成分是TSP，由于本项目工程量较小，施工期较短，施工期扬尘对区域大气环境的影响有限，施工期间避开大风天气，采取施工场地定时洒水车洒水、露天堆放物料苫盖、施工现场四周围挡等措施，因此，施工阶段产生的扬尘对周围大气环境的影响较小。</w:t>
            </w:r>
          </w:p>
          <w:p w14:paraId="16D2746E">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（2）施工机械废气</w:t>
            </w:r>
          </w:p>
          <w:p w14:paraId="22C969EB">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本项目施工过程中主要有运输车辆、挖掘机等机械，以柴油为燃料，产生了一定量的废气，</w:t>
            </w:r>
            <w:r>
              <w:rPr>
                <w:rFonts w:hint="default" w:ascii="Times New Roman" w:hAnsi="Times New Roman" w:eastAsia="宋体" w:cs="Times New Roman"/>
                <w:bCs/>
                <w:color w:val="auto"/>
                <w:kern w:val="0"/>
                <w:sz w:val="24"/>
              </w:rPr>
              <w:t>主要成分是HC、CO、NOx等。施工期间加强车辆和机械设备的管理，维持施工机械良好运转，并选择符合标准的燃油。由于本项目工程量较小，施工期较短，施工机械、运输车辆废气产生量较小，对周围大气环境的影响较小</w:t>
            </w:r>
            <w:r>
              <w:rPr>
                <w:rFonts w:hint="default" w:ascii="Times New Roman" w:hAnsi="Times New Roman" w:eastAsia="宋体" w:cs="Times New Roman"/>
                <w:color w:val="auto"/>
                <w:kern w:val="0"/>
                <w:sz w:val="24"/>
              </w:rPr>
              <w:t>。</w:t>
            </w:r>
          </w:p>
          <w:p w14:paraId="23F11A90">
            <w:pPr>
              <w:widowControl/>
              <w:adjustRightInd w:val="0"/>
              <w:snapToGrid w:val="0"/>
              <w:spacing w:line="360" w:lineRule="auto"/>
              <w:ind w:firstLine="482" w:firstLineChars="200"/>
              <w:textAlignment w:val="baseline"/>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2.废水</w:t>
            </w:r>
          </w:p>
          <w:p w14:paraId="7394D702">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建筑施工期间的废水包括施工废水和施工人员的生活污水。</w:t>
            </w:r>
          </w:p>
          <w:p w14:paraId="3009599E">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施工生产废水包括砂石冲洗水、养护水、场地冲洗水以及机械设备运转的冷却水和洗涤水、输送系统冲洗废水。施工时设置临时沉淀池，将含泥沙的雨水、泥浆水等经沉淀池沉淀处理后回收利用，不外排。</w:t>
            </w:r>
            <w:r>
              <w:rPr>
                <w:rFonts w:hint="default" w:ascii="Times New Roman" w:hAnsi="Times New Roman" w:eastAsia="宋体" w:cs="Times New Roman"/>
                <w:bCs/>
                <w:color w:val="auto"/>
                <w:kern w:val="0"/>
                <w:sz w:val="24"/>
              </w:rPr>
              <w:t>施工人员生活污水产生量很少，经</w:t>
            </w:r>
            <w:r>
              <w:rPr>
                <w:rFonts w:hint="default" w:ascii="Times New Roman" w:hAnsi="Times New Roman" w:eastAsia="宋体" w:cs="Times New Roman"/>
                <w:bCs/>
                <w:color w:val="auto"/>
                <w:kern w:val="0"/>
                <w:sz w:val="24"/>
                <w:lang w:val="en-US" w:eastAsia="zh-CN"/>
              </w:rPr>
              <w:t>项目周边</w:t>
            </w:r>
            <w:r>
              <w:rPr>
                <w:rFonts w:hint="default" w:ascii="Times New Roman" w:hAnsi="Times New Roman" w:eastAsia="宋体" w:cs="Times New Roman"/>
                <w:bCs/>
                <w:color w:val="auto"/>
                <w:kern w:val="0"/>
                <w:sz w:val="24"/>
              </w:rPr>
              <w:t>已建</w:t>
            </w:r>
            <w:r>
              <w:rPr>
                <w:rFonts w:hint="default" w:ascii="Times New Roman" w:hAnsi="Times New Roman" w:eastAsia="宋体" w:cs="Times New Roman"/>
                <w:bCs/>
                <w:color w:val="auto"/>
                <w:kern w:val="0"/>
                <w:sz w:val="24"/>
                <w:lang w:val="en-US" w:eastAsia="zh-CN"/>
              </w:rPr>
              <w:t>公共厕所</w:t>
            </w:r>
            <w:r>
              <w:rPr>
                <w:rFonts w:hint="default" w:ascii="Times New Roman" w:hAnsi="Times New Roman" w:eastAsia="宋体" w:cs="Times New Roman"/>
                <w:bCs/>
                <w:color w:val="auto"/>
                <w:kern w:val="0"/>
                <w:sz w:val="24"/>
              </w:rPr>
              <w:t>收集，</w:t>
            </w:r>
            <w:r>
              <w:rPr>
                <w:rFonts w:hint="default" w:ascii="Times New Roman" w:hAnsi="Times New Roman" w:eastAsia="宋体" w:cs="Times New Roman"/>
                <w:bCs/>
                <w:color w:val="auto"/>
                <w:kern w:val="0"/>
                <w:sz w:val="24"/>
                <w:lang w:val="en-US" w:eastAsia="zh-CN"/>
              </w:rPr>
              <w:t>排入市政污水管网</w:t>
            </w:r>
            <w:r>
              <w:rPr>
                <w:rFonts w:hint="default" w:ascii="Times New Roman" w:hAnsi="Times New Roman" w:eastAsia="宋体" w:cs="Times New Roman"/>
                <w:bCs/>
                <w:color w:val="auto"/>
                <w:kern w:val="0"/>
                <w:sz w:val="24"/>
              </w:rPr>
              <w:t>，生活污水</w:t>
            </w:r>
            <w:r>
              <w:rPr>
                <w:rFonts w:hint="default" w:ascii="Times New Roman" w:hAnsi="Times New Roman" w:eastAsia="宋体" w:cs="Times New Roman"/>
                <w:bCs/>
                <w:color w:val="auto"/>
                <w:kern w:val="0"/>
                <w:sz w:val="24"/>
                <w:lang w:val="en-US" w:eastAsia="zh-CN"/>
              </w:rPr>
              <w:t>可</w:t>
            </w:r>
            <w:r>
              <w:rPr>
                <w:rFonts w:hint="default" w:ascii="Times New Roman" w:hAnsi="Times New Roman" w:eastAsia="宋体" w:cs="Times New Roman"/>
                <w:bCs/>
                <w:color w:val="auto"/>
                <w:kern w:val="0"/>
                <w:sz w:val="24"/>
              </w:rPr>
              <w:t>得到妥善处理</w:t>
            </w:r>
            <w:r>
              <w:rPr>
                <w:rFonts w:hint="default" w:ascii="Times New Roman" w:hAnsi="Times New Roman" w:eastAsia="宋体" w:cs="Times New Roman"/>
                <w:color w:val="auto"/>
                <w:kern w:val="0"/>
                <w:sz w:val="24"/>
              </w:rPr>
              <w:t>。</w:t>
            </w:r>
          </w:p>
          <w:p w14:paraId="68FADB9F">
            <w:pPr>
              <w:widowControl/>
              <w:adjustRightInd w:val="0"/>
              <w:snapToGrid w:val="0"/>
              <w:spacing w:line="360" w:lineRule="auto"/>
              <w:ind w:firstLine="482"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b/>
                <w:bCs/>
                <w:color w:val="auto"/>
                <w:kern w:val="0"/>
                <w:sz w:val="24"/>
              </w:rPr>
              <w:t>3.噪声</w:t>
            </w:r>
          </w:p>
          <w:p w14:paraId="7D7E0919">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GB12523-2011）。为减少施工噪声对周围企业的影响，施工单位及建设单位应采取以下减缓措施：</w:t>
            </w:r>
          </w:p>
          <w:p w14:paraId="4F171521">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①选用低噪声设备，同时在施工过程中施工单位设专人对设备进行定期保养和维护，严格</w:t>
            </w:r>
            <w:r>
              <w:rPr>
                <w:rFonts w:hint="default" w:ascii="Times New Roman" w:hAnsi="Times New Roman" w:eastAsia="宋体" w:cs="Times New Roman"/>
                <w:color w:val="auto"/>
                <w:kern w:val="0"/>
                <w:sz w:val="24"/>
                <w:lang w:eastAsia="zh-CN"/>
              </w:rPr>
              <w:t>按照</w:t>
            </w:r>
            <w:r>
              <w:rPr>
                <w:rFonts w:hint="default" w:ascii="Times New Roman" w:hAnsi="Times New Roman" w:eastAsia="宋体" w:cs="Times New Roman"/>
                <w:color w:val="auto"/>
                <w:kern w:val="0"/>
                <w:sz w:val="24"/>
              </w:rPr>
              <w:t>操作规范使用各类机械。</w:t>
            </w:r>
          </w:p>
          <w:p w14:paraId="2B12BEB3">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②合理安排施工时间，不得在22</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00-06</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00期间施工。</w:t>
            </w:r>
          </w:p>
          <w:p w14:paraId="19F3D8E5">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③合理进行施工场地布置。</w:t>
            </w:r>
          </w:p>
          <w:p w14:paraId="2FE78402">
            <w:pPr>
              <w:widowControl/>
              <w:adjustRightInd w:val="0"/>
              <w:snapToGrid w:val="0"/>
              <w:spacing w:line="360" w:lineRule="auto"/>
              <w:ind w:firstLine="480" w:firstLineChars="200"/>
              <w:textAlignment w:val="baseline"/>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综上所述，施工期间通过采取合理布局施工场地、选用低噪声设备、合理安排施工时间及其他相应降噪措施后，施工厂界噪声满足《建筑施工场界环境噪声排放标准》（GB 12523-2011）所规定的噪声标准的要求。</w:t>
            </w:r>
          </w:p>
          <w:p w14:paraId="5FC00DD3">
            <w:pPr>
              <w:widowControl/>
              <w:adjustRightInd w:val="0"/>
              <w:snapToGrid w:val="0"/>
              <w:spacing w:line="360" w:lineRule="auto"/>
              <w:ind w:firstLine="482" w:firstLineChars="200"/>
              <w:textAlignment w:val="baseline"/>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rPr>
              <w:t>4.固体废物</w:t>
            </w:r>
          </w:p>
          <w:p w14:paraId="65DF5455">
            <w:pPr>
              <w:spacing w:line="360" w:lineRule="auto"/>
              <w:ind w:firstLine="480" w:firstLineChars="200"/>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kern w:val="0"/>
                <w:sz w:val="24"/>
              </w:rPr>
              <w:t>施工期产生的固废主要为建筑垃圾和生活垃圾。建筑垃圾为施工过程中产生的建筑弃料等，部分可以回用于项目建设，不能回用的应拉运至当地政府指定地点处置。施工人员产生的生活垃圾集中收集，在指定地点设置垃圾桶并加强管理，并定期交当地环卫部门集中处理。施工期</w:t>
            </w:r>
            <w:r>
              <w:rPr>
                <w:rFonts w:hint="default" w:ascii="Times New Roman" w:hAnsi="Times New Roman" w:eastAsia="宋体" w:cs="Times New Roman"/>
                <w:bCs/>
                <w:color w:val="auto"/>
                <w:kern w:val="0"/>
                <w:sz w:val="24"/>
                <w:lang w:eastAsia="zh-CN"/>
              </w:rPr>
              <w:t>产生的</w:t>
            </w:r>
            <w:r>
              <w:rPr>
                <w:rFonts w:hint="default" w:ascii="Times New Roman" w:hAnsi="Times New Roman" w:eastAsia="宋体" w:cs="Times New Roman"/>
                <w:bCs/>
                <w:color w:val="auto"/>
                <w:kern w:val="0"/>
                <w:sz w:val="24"/>
              </w:rPr>
              <w:t>固体废物</w:t>
            </w:r>
            <w:r>
              <w:rPr>
                <w:rFonts w:hint="default" w:ascii="Times New Roman" w:hAnsi="Times New Roman" w:eastAsia="宋体" w:cs="Times New Roman"/>
                <w:bCs/>
                <w:color w:val="auto"/>
                <w:kern w:val="0"/>
                <w:sz w:val="24"/>
                <w:lang w:val="en-US" w:eastAsia="zh-CN"/>
              </w:rPr>
              <w:t>可</w:t>
            </w:r>
            <w:r>
              <w:rPr>
                <w:rFonts w:hint="default" w:ascii="Times New Roman" w:hAnsi="Times New Roman" w:eastAsia="宋体" w:cs="Times New Roman"/>
                <w:bCs/>
                <w:color w:val="auto"/>
                <w:kern w:val="0"/>
                <w:sz w:val="24"/>
              </w:rPr>
              <w:t>得到合理处置，对周围环境的影响较小</w:t>
            </w:r>
            <w:r>
              <w:rPr>
                <w:rFonts w:hint="default" w:ascii="Times New Roman" w:hAnsi="Times New Roman" w:eastAsia="宋体" w:cs="Times New Roman"/>
                <w:bCs/>
                <w:color w:val="auto"/>
                <w:sz w:val="24"/>
              </w:rPr>
              <w:t>。</w:t>
            </w:r>
          </w:p>
        </w:tc>
      </w:tr>
      <w:tr w14:paraId="0EC87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484" w:type="dxa"/>
            <w:tcMar>
              <w:left w:w="28" w:type="dxa"/>
              <w:right w:w="28" w:type="dxa"/>
            </w:tcMar>
            <w:vAlign w:val="center"/>
          </w:tcPr>
          <w:p w14:paraId="4A84C5F6">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运营</w:t>
            </w:r>
          </w:p>
          <w:p w14:paraId="62AB5158">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期环</w:t>
            </w:r>
          </w:p>
          <w:p w14:paraId="615C9B25">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境影</w:t>
            </w:r>
          </w:p>
          <w:p w14:paraId="38B8D626">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响和</w:t>
            </w:r>
          </w:p>
          <w:p w14:paraId="25FC4560">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保护</w:t>
            </w:r>
          </w:p>
          <w:p w14:paraId="59FE37FC">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措施</w:t>
            </w:r>
          </w:p>
        </w:tc>
        <w:tc>
          <w:tcPr>
            <w:tcW w:w="8424" w:type="dxa"/>
            <w:vAlign w:val="center"/>
          </w:tcPr>
          <w:p w14:paraId="08B69CA9">
            <w:pPr>
              <w:spacing w:line="360" w:lineRule="auto"/>
              <w:ind w:firstLine="482" w:firstLineChars="200"/>
              <w:jc w:val="left"/>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1.废气</w:t>
            </w:r>
          </w:p>
          <w:p w14:paraId="60A4B843">
            <w:pPr>
              <w:adjustRightInd w:val="0"/>
              <w:snapToGrid w:val="0"/>
              <w:spacing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1.1大气污染物产排情况</w:t>
            </w:r>
          </w:p>
          <w:p w14:paraId="7473BD98">
            <w:pPr>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val="en-US" w:eastAsia="zh-CN"/>
              </w:rPr>
              <w:t>本项目废气主要为燃气锅炉燃烧天然气产生的天然气燃烧废气G1（颗粒物、NOx）。</w:t>
            </w:r>
          </w:p>
          <w:p w14:paraId="56242FC2">
            <w:pPr>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本项目燃气锅炉采用国际领先低氮燃烧方式，燃烧废气通过</w:t>
            </w:r>
            <w:r>
              <w:rPr>
                <w:rFonts w:hint="default" w:ascii="Times New Roman" w:hAnsi="Times New Roman" w:eastAsia="宋体" w:cs="Times New Roman"/>
                <w:bCs/>
                <w:color w:val="auto"/>
                <w:sz w:val="24"/>
                <w:lang w:eastAsia="zh-CN"/>
              </w:rPr>
              <w:t>8m</w:t>
            </w:r>
            <w:r>
              <w:rPr>
                <w:rFonts w:hint="default" w:ascii="Times New Roman" w:hAnsi="Times New Roman" w:eastAsia="宋体" w:cs="Times New Roman"/>
                <w:bCs/>
                <w:color w:val="auto"/>
                <w:sz w:val="24"/>
              </w:rPr>
              <w:t>排气筒DA00</w:t>
            </w:r>
            <w:r>
              <w:rPr>
                <w:rFonts w:hint="default" w:ascii="Times New Roman" w:hAnsi="Times New Roman" w:eastAsia="宋体" w:cs="Times New Roman"/>
                <w:bCs/>
                <w:color w:val="auto"/>
                <w:sz w:val="24"/>
                <w:lang w:val="en-US" w:eastAsia="zh-CN"/>
              </w:rPr>
              <w:t>1</w:t>
            </w:r>
            <w:r>
              <w:rPr>
                <w:rFonts w:hint="default" w:ascii="Times New Roman" w:hAnsi="Times New Roman" w:eastAsia="宋体" w:cs="Times New Roman"/>
                <w:bCs/>
                <w:color w:val="auto"/>
                <w:sz w:val="24"/>
              </w:rPr>
              <w:t>排放。</w:t>
            </w:r>
          </w:p>
          <w:p w14:paraId="598341DE">
            <w:pPr>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本项目提取和浓缩加热时需要用到天然气作为燃烧热源，项目设有一台</w:t>
            </w:r>
            <w:r>
              <w:rPr>
                <w:rFonts w:hint="default" w:ascii="Times New Roman" w:hAnsi="Times New Roman" w:eastAsia="宋体" w:cs="Times New Roman"/>
                <w:bCs/>
                <w:color w:val="auto"/>
                <w:sz w:val="24"/>
                <w:lang w:val="en-US" w:eastAsia="zh-CN"/>
              </w:rPr>
              <w:t>8</w:t>
            </w:r>
            <w:r>
              <w:rPr>
                <w:rFonts w:hint="default" w:ascii="Times New Roman" w:hAnsi="Times New Roman" w:eastAsia="宋体" w:cs="Times New Roman"/>
                <w:bCs/>
                <w:color w:val="auto"/>
                <w:sz w:val="24"/>
              </w:rPr>
              <w:t>t</w:t>
            </w:r>
            <w:r>
              <w:rPr>
                <w:rFonts w:hint="default" w:ascii="Times New Roman" w:hAnsi="Times New Roman" w:eastAsia="宋体" w:cs="Times New Roman"/>
                <w:bCs/>
                <w:color w:val="auto"/>
                <w:sz w:val="24"/>
                <w:lang w:val="en-US" w:eastAsia="zh-CN"/>
              </w:rPr>
              <w:t>/</w:t>
            </w:r>
            <w:r>
              <w:rPr>
                <w:rFonts w:hint="default" w:ascii="Times New Roman" w:hAnsi="Times New Roman" w:eastAsia="宋体" w:cs="Times New Roman"/>
                <w:bCs/>
                <w:color w:val="auto"/>
                <w:sz w:val="24"/>
              </w:rPr>
              <w:t>h燃气锅炉，每小时燃烧</w:t>
            </w:r>
            <w:r>
              <w:rPr>
                <w:rFonts w:hint="default" w:ascii="Times New Roman" w:hAnsi="Times New Roman" w:eastAsia="宋体" w:cs="Times New Roman"/>
                <w:bCs/>
                <w:color w:val="auto"/>
                <w:sz w:val="24"/>
                <w:lang w:val="en-US" w:eastAsia="zh-CN"/>
              </w:rPr>
              <w:t>5</w:t>
            </w:r>
            <w:r>
              <w:rPr>
                <w:rFonts w:hint="default" w:ascii="Times New Roman" w:hAnsi="Times New Roman" w:eastAsia="宋体" w:cs="Times New Roman"/>
                <w:bCs/>
                <w:color w:val="auto"/>
                <w:sz w:val="24"/>
              </w:rPr>
              <w:t>70~</w:t>
            </w:r>
            <w:r>
              <w:rPr>
                <w:rFonts w:hint="default" w:ascii="Times New Roman" w:hAnsi="Times New Roman" w:eastAsia="宋体" w:cs="Times New Roman"/>
                <w:bCs/>
                <w:color w:val="auto"/>
                <w:sz w:val="24"/>
                <w:lang w:val="en-US" w:eastAsia="zh-CN"/>
              </w:rPr>
              <w:t>600</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3</w:t>
            </w:r>
            <w:r>
              <w:rPr>
                <w:rFonts w:hint="default" w:ascii="Times New Roman" w:hAnsi="Times New Roman" w:eastAsia="宋体" w:cs="Times New Roman"/>
                <w:bCs/>
                <w:color w:val="auto"/>
                <w:sz w:val="24"/>
              </w:rPr>
              <w:t>天然气</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本项目取</w:t>
            </w:r>
            <w:r>
              <w:rPr>
                <w:rFonts w:hint="default" w:ascii="Times New Roman" w:hAnsi="Times New Roman" w:eastAsia="宋体" w:cs="Times New Roman"/>
                <w:bCs/>
                <w:color w:val="auto"/>
                <w:sz w:val="24"/>
                <w:lang w:val="en-US" w:eastAsia="zh-CN"/>
              </w:rPr>
              <w:t>60</w:t>
            </w:r>
            <w:r>
              <w:rPr>
                <w:rFonts w:hint="default" w:ascii="Times New Roman" w:hAnsi="Times New Roman" w:eastAsia="宋体" w:cs="Times New Roman"/>
                <w:bCs/>
                <w:color w:val="auto"/>
                <w:sz w:val="24"/>
              </w:rPr>
              <w:t>0</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3</w:t>
            </w:r>
            <w:r>
              <w:rPr>
                <w:rFonts w:hint="default" w:ascii="Times New Roman" w:hAnsi="Times New Roman" w:eastAsia="宋体" w:cs="Times New Roman"/>
                <w:bCs/>
                <w:color w:val="auto"/>
                <w:sz w:val="24"/>
              </w:rPr>
              <w:t>/h</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，锅炉年工作时间为</w:t>
            </w:r>
            <w:r>
              <w:rPr>
                <w:rFonts w:hint="default" w:ascii="Times New Roman" w:hAnsi="Times New Roman" w:eastAsia="宋体" w:cs="Times New Roman"/>
                <w:bCs/>
                <w:color w:val="auto"/>
                <w:sz w:val="24"/>
                <w:lang w:val="en-US" w:eastAsia="zh-CN"/>
              </w:rPr>
              <w:t>72</w:t>
            </w:r>
            <w:r>
              <w:rPr>
                <w:rFonts w:hint="default" w:ascii="Times New Roman" w:hAnsi="Times New Roman" w:eastAsia="宋体" w:cs="Times New Roman"/>
                <w:bCs/>
                <w:color w:val="auto"/>
                <w:sz w:val="24"/>
              </w:rPr>
              <w:t>00h，故天然气使用量为</w:t>
            </w:r>
            <w:r>
              <w:rPr>
                <w:rFonts w:hint="default" w:ascii="Times New Roman" w:hAnsi="Times New Roman" w:eastAsia="宋体" w:cs="Times New Roman"/>
                <w:bCs/>
                <w:color w:val="auto"/>
                <w:sz w:val="24"/>
                <w:lang w:val="en-US" w:eastAsia="zh-CN"/>
              </w:rPr>
              <w:t>432</w:t>
            </w:r>
            <w:r>
              <w:rPr>
                <w:rFonts w:hint="default" w:ascii="Times New Roman" w:hAnsi="Times New Roman" w:eastAsia="宋体" w:cs="Times New Roman"/>
                <w:bCs/>
                <w:color w:val="auto"/>
                <w:sz w:val="24"/>
              </w:rPr>
              <w:t>万</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3</w:t>
            </w:r>
            <w:r>
              <w:rPr>
                <w:rFonts w:hint="default" w:ascii="Times New Roman" w:hAnsi="Times New Roman" w:eastAsia="宋体" w:cs="Times New Roman"/>
                <w:bCs/>
                <w:color w:val="auto"/>
                <w:sz w:val="24"/>
                <w:lang w:val="en-US" w:eastAsia="zh-CN"/>
              </w:rPr>
              <w:t>/</w:t>
            </w:r>
            <w:r>
              <w:rPr>
                <w:rFonts w:hint="default" w:ascii="Times New Roman" w:hAnsi="Times New Roman" w:eastAsia="宋体" w:cs="Times New Roman"/>
                <w:bCs/>
                <w:color w:val="auto"/>
                <w:sz w:val="24"/>
              </w:rPr>
              <w:t>a。</w:t>
            </w:r>
          </w:p>
          <w:p w14:paraId="533E9097">
            <w:pPr>
              <w:spacing w:line="360" w:lineRule="auto"/>
              <w:ind w:firstLine="480" w:firstLineChars="200"/>
              <w:rPr>
                <w:rFonts w:hint="default" w:ascii="Times New Roman" w:hAnsi="Times New Roman" w:eastAsia="宋体" w:cs="Times New Roman"/>
                <w:bCs/>
                <w:color w:val="auto"/>
                <w:sz w:val="24"/>
                <w:lang w:eastAsia="zh-CN"/>
              </w:rPr>
            </w:pPr>
            <w:r>
              <w:rPr>
                <w:rFonts w:hint="default" w:ascii="Times New Roman" w:hAnsi="Times New Roman" w:eastAsia="宋体" w:cs="Times New Roman"/>
                <w:bCs/>
                <w:color w:val="auto"/>
                <w:sz w:val="24"/>
                <w:lang w:val="en-US" w:eastAsia="zh-CN"/>
              </w:rPr>
              <w:t>本项目天然气来源于市政天然气管网</w:t>
            </w:r>
            <w:r>
              <w:rPr>
                <w:rFonts w:hint="default" w:ascii="Times New Roman" w:hAnsi="Times New Roman" w:eastAsia="宋体" w:cs="Times New Roman"/>
                <w:bCs/>
                <w:color w:val="auto"/>
                <w:sz w:val="24"/>
              </w:rPr>
              <w:t>，燃料天然气成分中硫分</w:t>
            </w:r>
            <w:r>
              <w:rPr>
                <w:rFonts w:hint="eastAsia" w:cs="Times New Roman"/>
                <w:bCs/>
                <w:color w:val="auto"/>
                <w:sz w:val="24"/>
                <w:lang w:val="en-US" w:eastAsia="zh-CN"/>
              </w:rPr>
              <w:t>较低</w:t>
            </w:r>
            <w:r>
              <w:rPr>
                <w:rFonts w:hint="default" w:ascii="Times New Roman" w:hAnsi="Times New Roman" w:eastAsia="宋体" w:cs="Times New Roman"/>
                <w:bCs/>
                <w:color w:val="auto"/>
                <w:sz w:val="24"/>
              </w:rPr>
              <w:t>，故以天然气最低硫含量核算（天然气总硫含量的要求为：1类≤60</w:t>
            </w:r>
            <w:r>
              <w:rPr>
                <w:rFonts w:hint="default" w:ascii="Times New Roman" w:hAnsi="Times New Roman" w:eastAsia="宋体" w:cs="Times New Roman"/>
                <w:bCs/>
                <w:color w:val="auto"/>
                <w:sz w:val="24"/>
                <w:lang w:eastAsia="zh-CN"/>
              </w:rPr>
              <w:t>m</w:t>
            </w:r>
            <w:r>
              <w:rPr>
                <w:rFonts w:hint="default" w:ascii="Times New Roman" w:hAnsi="Times New Roman" w:eastAsia="宋体" w:cs="Times New Roman"/>
                <w:bCs/>
                <w:color w:val="auto"/>
                <w:sz w:val="24"/>
              </w:rPr>
              <w:t>g/</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3</w:t>
            </w:r>
            <w:r>
              <w:rPr>
                <w:rFonts w:hint="default" w:ascii="Times New Roman" w:hAnsi="Times New Roman" w:eastAsia="宋体" w:cs="Times New Roman"/>
                <w:bCs/>
                <w:color w:val="auto"/>
                <w:sz w:val="24"/>
              </w:rPr>
              <w:t>，即S=60）</w:t>
            </w:r>
            <w:r>
              <w:rPr>
                <w:rFonts w:hint="default" w:ascii="Times New Roman" w:hAnsi="Times New Roman" w:eastAsia="宋体" w:cs="Times New Roman"/>
                <w:bCs/>
                <w:color w:val="auto"/>
                <w:sz w:val="24"/>
                <w:lang w:eastAsia="zh-CN"/>
              </w:rPr>
              <w:t>。</w:t>
            </w:r>
          </w:p>
          <w:p w14:paraId="0C164D47">
            <w:pPr>
              <w:spacing w:line="360" w:lineRule="auto"/>
              <w:ind w:firstLine="480" w:firstLineChars="200"/>
              <w:rPr>
                <w:rFonts w:hint="default" w:ascii="Times New Roman" w:hAnsi="Times New Roman" w:eastAsia="宋体" w:cs="Times New Roman"/>
                <w:bCs/>
                <w:color w:val="auto"/>
                <w:sz w:val="24"/>
                <w:lang w:eastAsia="zh-CN"/>
              </w:rPr>
            </w:pPr>
            <w:r>
              <w:rPr>
                <w:rFonts w:hint="default" w:ascii="Times New Roman" w:hAnsi="Times New Roman" w:eastAsia="宋体" w:cs="Times New Roman"/>
                <w:bCs/>
                <w:color w:val="auto"/>
                <w:sz w:val="24"/>
              </w:rPr>
              <w:t>NOx的产生量根据《排放源统计调查产排污核算方法和系数手册》</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环境部公告 2021年第 24号</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中</w:t>
            </w:r>
            <w:r>
              <w:rPr>
                <w:rFonts w:hint="eastAsia" w:cs="Times New Roman"/>
                <w:bCs/>
                <w:color w:val="auto"/>
                <w:sz w:val="24"/>
                <w:lang w:eastAsia="zh-CN"/>
              </w:rPr>
              <w:t>“</w:t>
            </w:r>
            <w:r>
              <w:rPr>
                <w:rFonts w:hint="default" w:ascii="Times New Roman" w:hAnsi="Times New Roman" w:eastAsia="宋体" w:cs="Times New Roman"/>
                <w:bCs/>
                <w:color w:val="auto"/>
                <w:sz w:val="24"/>
              </w:rPr>
              <w:t>4430工业锅炉</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热力生产和供应行业</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产污系数表</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燃气工业锅炉</w:t>
            </w:r>
            <w:r>
              <w:rPr>
                <w:rFonts w:hint="eastAsia" w:cs="Times New Roman"/>
                <w:bCs/>
                <w:color w:val="auto"/>
                <w:sz w:val="24"/>
                <w:lang w:eastAsia="zh-CN"/>
              </w:rPr>
              <w:t>”</w:t>
            </w:r>
            <w:r>
              <w:rPr>
                <w:rFonts w:hint="default" w:ascii="Times New Roman" w:hAnsi="Times New Roman" w:eastAsia="宋体" w:cs="Times New Roman"/>
                <w:bCs/>
                <w:color w:val="auto"/>
                <w:sz w:val="24"/>
              </w:rPr>
              <w:t>中使用天然气的产污系数计算</w:t>
            </w:r>
            <w:r>
              <w:rPr>
                <w:rFonts w:hint="default" w:ascii="Times New Roman" w:hAnsi="Times New Roman" w:eastAsia="宋体" w:cs="Times New Roman"/>
                <w:bCs/>
                <w:color w:val="auto"/>
                <w:sz w:val="24"/>
                <w:lang w:eastAsia="zh-CN"/>
              </w:rPr>
              <w:t>：工业废气量为107753N</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3</w:t>
            </w:r>
            <w:r>
              <w:rPr>
                <w:rFonts w:hint="default" w:ascii="Times New Roman" w:hAnsi="Times New Roman" w:eastAsia="宋体" w:cs="Times New Roman"/>
                <w:bCs/>
                <w:color w:val="auto"/>
                <w:sz w:val="24"/>
                <w:lang w:eastAsia="zh-CN"/>
              </w:rPr>
              <w:t>/万N</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3</w:t>
            </w:r>
            <w:r>
              <w:rPr>
                <w:rFonts w:hint="default" w:ascii="Times New Roman" w:hAnsi="Times New Roman" w:eastAsia="宋体" w:cs="Times New Roman"/>
                <w:bCs/>
                <w:color w:val="auto"/>
                <w:sz w:val="24"/>
                <w:lang w:eastAsia="zh-CN"/>
              </w:rPr>
              <w:t>原料</w:t>
            </w:r>
            <w:r>
              <w:rPr>
                <w:rFonts w:hint="eastAsia" w:cs="Times New Roman"/>
                <w:bCs/>
                <w:color w:val="auto"/>
                <w:sz w:val="24"/>
                <w:lang w:eastAsia="zh-CN"/>
              </w:rPr>
              <w:t>，</w:t>
            </w:r>
            <w:r>
              <w:rPr>
                <w:rFonts w:hint="default" w:ascii="Times New Roman" w:hAnsi="Times New Roman" w:eastAsia="宋体" w:cs="Times New Roman"/>
                <w:bCs/>
                <w:color w:val="auto"/>
                <w:sz w:val="24"/>
                <w:lang w:eastAsia="zh-CN"/>
              </w:rPr>
              <w:t>NOx系数为</w:t>
            </w:r>
            <w:r>
              <w:rPr>
                <w:rFonts w:hint="eastAsia" w:cs="Times New Roman"/>
                <w:bCs/>
                <w:color w:val="auto"/>
                <w:sz w:val="24"/>
                <w:highlight w:val="none"/>
                <w:lang w:val="en-US" w:eastAsia="zh-CN"/>
              </w:rPr>
              <w:t>3.03</w:t>
            </w:r>
            <w:r>
              <w:rPr>
                <w:rFonts w:hint="default" w:ascii="Times New Roman" w:hAnsi="Times New Roman" w:eastAsia="宋体" w:cs="Times New Roman"/>
                <w:bCs/>
                <w:color w:val="auto"/>
                <w:sz w:val="24"/>
                <w:highlight w:val="none"/>
                <w:lang w:eastAsia="zh-CN"/>
              </w:rPr>
              <w:t>kg/万N</w:t>
            </w:r>
            <w:r>
              <w:rPr>
                <w:rFonts w:hint="default" w:ascii="Times New Roman" w:hAnsi="Times New Roman" w:eastAsia="宋体" w:cs="Times New Roman"/>
                <w:bCs/>
                <w:color w:val="auto"/>
                <w:sz w:val="24"/>
                <w:highlight w:val="none"/>
                <w:vertAlign w:val="baseline"/>
                <w:lang w:eastAsia="zh-CN"/>
              </w:rPr>
              <w:t>m</w:t>
            </w:r>
            <w:r>
              <w:rPr>
                <w:rFonts w:hint="default" w:ascii="Times New Roman" w:hAnsi="Times New Roman" w:eastAsia="宋体" w:cs="Times New Roman"/>
                <w:bCs/>
                <w:color w:val="auto"/>
                <w:sz w:val="24"/>
                <w:highlight w:val="none"/>
                <w:vertAlign w:val="superscript"/>
                <w:lang w:eastAsia="zh-CN"/>
              </w:rPr>
              <w:t>3</w:t>
            </w:r>
            <w:r>
              <w:rPr>
                <w:rFonts w:hint="default" w:ascii="Times New Roman" w:hAnsi="Times New Roman" w:eastAsia="宋体" w:cs="Times New Roman"/>
                <w:bCs/>
                <w:color w:val="auto"/>
                <w:sz w:val="24"/>
                <w:highlight w:val="none"/>
                <w:lang w:eastAsia="zh-CN"/>
              </w:rPr>
              <w:t>原料（低氮燃烧-</w:t>
            </w:r>
            <w:r>
              <w:rPr>
                <w:rFonts w:hint="eastAsia" w:cs="Times New Roman"/>
                <w:bCs/>
                <w:color w:val="auto"/>
                <w:sz w:val="24"/>
                <w:highlight w:val="none"/>
                <w:lang w:val="en-US" w:eastAsia="zh-CN"/>
              </w:rPr>
              <w:t>国际</w:t>
            </w:r>
            <w:r>
              <w:rPr>
                <w:rFonts w:hint="default" w:ascii="Times New Roman" w:hAnsi="Times New Roman" w:eastAsia="宋体" w:cs="Times New Roman"/>
                <w:bCs/>
                <w:color w:val="auto"/>
                <w:sz w:val="24"/>
                <w:highlight w:val="none"/>
                <w:lang w:eastAsia="zh-CN"/>
              </w:rPr>
              <w:t>领先）。</w:t>
            </w:r>
          </w:p>
          <w:p w14:paraId="5A2A5C1C">
            <w:pPr>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颗粒物的产生量根据《环境保护实用数据手册》P73中的产污系数，颗粒物为1.0千克/万</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3</w:t>
            </w:r>
            <w:r>
              <w:rPr>
                <w:rFonts w:hint="default" w:ascii="Times New Roman" w:hAnsi="Times New Roman" w:eastAsia="宋体" w:cs="Times New Roman"/>
                <w:bCs/>
                <w:color w:val="auto"/>
                <w:sz w:val="24"/>
                <w:vertAlign w:val="baseline"/>
                <w:lang w:eastAsia="zh-CN"/>
              </w:rPr>
              <w:t>－</w:t>
            </w:r>
            <w:r>
              <w:rPr>
                <w:rFonts w:hint="default" w:ascii="Times New Roman" w:hAnsi="Times New Roman" w:eastAsia="宋体" w:cs="Times New Roman"/>
                <w:bCs/>
                <w:color w:val="auto"/>
                <w:sz w:val="24"/>
              </w:rPr>
              <w:t>原料计算。天然气燃烧废气产生及排放情况见下表。</w:t>
            </w:r>
          </w:p>
          <w:p w14:paraId="2CEA9BD1">
            <w:pPr>
              <w:pStyle w:val="14"/>
              <w:bidi w:val="0"/>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表4-</w:t>
            </w:r>
            <w:r>
              <w:rPr>
                <w:rFonts w:hint="default" w:ascii="Times New Roman" w:hAnsi="Times New Roman" w:eastAsia="宋体" w:cs="Times New Roman"/>
                <w:b/>
                <w:bCs/>
                <w:color w:val="auto"/>
                <w:kern w:val="0"/>
                <w:sz w:val="24"/>
                <w:szCs w:val="20"/>
                <w:lang w:val="en-US" w:eastAsia="zh-CN"/>
              </w:rPr>
              <w:t>1</w:t>
            </w:r>
            <w:r>
              <w:rPr>
                <w:rFonts w:hint="default" w:ascii="Times New Roman" w:hAnsi="Times New Roman" w:eastAsia="宋体" w:cs="Times New Roman"/>
                <w:b/>
                <w:bCs/>
                <w:color w:val="auto"/>
                <w:kern w:val="0"/>
                <w:sz w:val="24"/>
                <w:szCs w:val="20"/>
              </w:rPr>
              <w:t xml:space="preserve"> 本项目燃气锅炉的排污情况一览表</w:t>
            </w:r>
          </w:p>
          <w:tbl>
            <w:tblPr>
              <w:tblStyle w:val="7"/>
              <w:tblW w:w="500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68"/>
              <w:gridCol w:w="2431"/>
              <w:gridCol w:w="1625"/>
              <w:gridCol w:w="1634"/>
              <w:gridCol w:w="1262"/>
            </w:tblGrid>
            <w:tr w14:paraId="0A6315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1" w:type="pct"/>
                  <w:tcBorders>
                    <w:top w:val="single" w:color="auto" w:sz="4" w:space="0"/>
                    <w:left w:val="single" w:color="auto" w:sz="0" w:space="0"/>
                  </w:tcBorders>
                  <w:noWrap/>
                  <w:vAlign w:val="center"/>
                </w:tcPr>
                <w:p w14:paraId="064CD751">
                  <w:pPr>
                    <w:widowControl/>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污染物</w:t>
                  </w:r>
                </w:p>
              </w:tc>
              <w:tc>
                <w:tcPr>
                  <w:tcW w:w="1478" w:type="pct"/>
                  <w:tcBorders>
                    <w:top w:val="single" w:color="auto" w:sz="4" w:space="0"/>
                  </w:tcBorders>
                  <w:noWrap w:val="0"/>
                  <w:vAlign w:val="center"/>
                </w:tcPr>
                <w:p w14:paraId="385AA1C8">
                  <w:pPr>
                    <w:widowControl/>
                    <w:jc w:val="center"/>
                    <w:rPr>
                      <w:rFonts w:hint="default" w:ascii="Times New Roman" w:hAnsi="Times New Roman" w:eastAsia="宋体" w:cs="Times New Roman"/>
                      <w:b/>
                      <w:bCs/>
                      <w:color w:val="auto"/>
                      <w:kern w:val="0"/>
                      <w:szCs w:val="21"/>
                      <w:lang w:val="en-US" w:eastAsia="zh-CN"/>
                    </w:rPr>
                  </w:pPr>
                  <w:r>
                    <w:rPr>
                      <w:rFonts w:hint="default" w:ascii="Times New Roman" w:hAnsi="Times New Roman" w:eastAsia="宋体" w:cs="Times New Roman"/>
                      <w:b/>
                      <w:bCs/>
                      <w:color w:val="auto"/>
                      <w:kern w:val="0"/>
                      <w:szCs w:val="21"/>
                      <w:lang w:val="en-US" w:eastAsia="zh-CN"/>
                    </w:rPr>
                    <w:t>产污系数</w:t>
                  </w:r>
                </w:p>
              </w:tc>
              <w:tc>
                <w:tcPr>
                  <w:tcW w:w="988" w:type="pct"/>
                  <w:tcBorders>
                    <w:top w:val="single" w:color="auto" w:sz="4" w:space="0"/>
                  </w:tcBorders>
                  <w:noWrap w:val="0"/>
                  <w:vAlign w:val="center"/>
                </w:tcPr>
                <w:p w14:paraId="70AF8742">
                  <w:pPr>
                    <w:widowControl/>
                    <w:jc w:val="center"/>
                    <w:rPr>
                      <w:rFonts w:hint="default" w:ascii="Times New Roman" w:hAnsi="Times New Roman" w:eastAsia="宋体" w:cs="Times New Roman"/>
                      <w:b/>
                      <w:bCs/>
                      <w:color w:val="auto"/>
                      <w:kern w:val="0"/>
                      <w:szCs w:val="21"/>
                      <w:lang w:val="en-US" w:eastAsia="zh-CN"/>
                    </w:rPr>
                  </w:pPr>
                  <w:r>
                    <w:rPr>
                      <w:rFonts w:hint="default" w:ascii="Times New Roman" w:hAnsi="Times New Roman" w:eastAsia="宋体" w:cs="Times New Roman"/>
                      <w:b/>
                      <w:bCs/>
                      <w:color w:val="auto"/>
                      <w:kern w:val="0"/>
                      <w:szCs w:val="21"/>
                      <w:lang w:val="en-US" w:eastAsia="zh-CN"/>
                    </w:rPr>
                    <w:t>产生量</w:t>
                  </w:r>
                </w:p>
              </w:tc>
              <w:tc>
                <w:tcPr>
                  <w:tcW w:w="993" w:type="pct"/>
                  <w:tcBorders>
                    <w:top w:val="single" w:color="auto" w:sz="4" w:space="0"/>
                  </w:tcBorders>
                  <w:noWrap w:val="0"/>
                  <w:vAlign w:val="center"/>
                </w:tcPr>
                <w:p w14:paraId="6C52AFBC">
                  <w:pPr>
                    <w:widowControl/>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排放量</w:t>
                  </w:r>
                </w:p>
              </w:tc>
              <w:tc>
                <w:tcPr>
                  <w:tcW w:w="767" w:type="pct"/>
                  <w:tcBorders>
                    <w:top w:val="single" w:color="auto" w:sz="4" w:space="0"/>
                    <w:right w:val="single" w:color="auto" w:sz="4" w:space="0"/>
                  </w:tcBorders>
                  <w:noWrap w:val="0"/>
                  <w:vAlign w:val="center"/>
                </w:tcPr>
                <w:p w14:paraId="61F5410B">
                  <w:pPr>
                    <w:widowControl/>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排放速率</w:t>
                  </w:r>
                </w:p>
              </w:tc>
            </w:tr>
            <w:tr w14:paraId="008FF2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1" w:type="pct"/>
                  <w:tcBorders>
                    <w:left w:val="single" w:color="auto" w:sz="4" w:space="0"/>
                  </w:tcBorders>
                  <w:noWrap/>
                  <w:vAlign w:val="center"/>
                </w:tcPr>
                <w:p w14:paraId="5AD2D8A0">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工业废气量</w:t>
                  </w:r>
                </w:p>
              </w:tc>
              <w:tc>
                <w:tcPr>
                  <w:tcW w:w="1478" w:type="pct"/>
                  <w:noWrap w:val="0"/>
                  <w:vAlign w:val="center"/>
                </w:tcPr>
                <w:p w14:paraId="5C4052D0">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107753N</w:t>
                  </w:r>
                  <w:r>
                    <w:rPr>
                      <w:rFonts w:hint="default" w:ascii="Times New Roman" w:hAnsi="Times New Roman" w:eastAsia="宋体" w:cs="Times New Roman"/>
                      <w:color w:val="auto"/>
                      <w:kern w:val="0"/>
                      <w:szCs w:val="21"/>
                      <w:vertAlign w:val="baseline"/>
                      <w:lang w:val="en-US" w:eastAsia="zh-CN"/>
                    </w:rPr>
                    <w:t>m</w:t>
                  </w:r>
                  <w:r>
                    <w:rPr>
                      <w:rFonts w:hint="default" w:ascii="Times New Roman" w:hAnsi="Times New Roman" w:eastAsia="宋体" w:cs="Times New Roman"/>
                      <w:color w:val="auto"/>
                      <w:kern w:val="0"/>
                      <w:szCs w:val="21"/>
                      <w:vertAlign w:val="superscript"/>
                      <w:lang w:val="en-US" w:eastAsia="zh-CN"/>
                    </w:rPr>
                    <w:t>3</w:t>
                  </w:r>
                  <w:r>
                    <w:rPr>
                      <w:rFonts w:hint="default" w:ascii="Times New Roman" w:hAnsi="Times New Roman" w:eastAsia="宋体" w:cs="Times New Roman"/>
                      <w:color w:val="auto"/>
                      <w:kern w:val="0"/>
                      <w:szCs w:val="21"/>
                      <w:lang w:val="en-US" w:eastAsia="zh-CN"/>
                    </w:rPr>
                    <w:t>/万</w:t>
                  </w:r>
                  <w:r>
                    <w:rPr>
                      <w:rFonts w:hint="default" w:ascii="Times New Roman" w:hAnsi="Times New Roman" w:eastAsia="宋体" w:cs="Times New Roman"/>
                      <w:color w:val="auto"/>
                      <w:kern w:val="0"/>
                      <w:szCs w:val="21"/>
                      <w:vertAlign w:val="baseline"/>
                      <w:lang w:val="en-US" w:eastAsia="zh-CN"/>
                    </w:rPr>
                    <w:t>m</w:t>
                  </w:r>
                  <w:r>
                    <w:rPr>
                      <w:rFonts w:hint="default" w:ascii="Times New Roman" w:hAnsi="Times New Roman" w:eastAsia="宋体" w:cs="Times New Roman"/>
                      <w:color w:val="auto"/>
                      <w:kern w:val="0"/>
                      <w:szCs w:val="21"/>
                      <w:vertAlign w:val="superscript"/>
                      <w:lang w:val="en-US" w:eastAsia="zh-CN"/>
                    </w:rPr>
                    <w:t>3</w:t>
                  </w:r>
                  <w:r>
                    <w:rPr>
                      <w:rFonts w:hint="default" w:ascii="Times New Roman" w:hAnsi="Times New Roman" w:eastAsia="宋体" w:cs="Times New Roman"/>
                      <w:color w:val="auto"/>
                      <w:kern w:val="0"/>
                      <w:szCs w:val="21"/>
                      <w:vertAlign w:val="baseline"/>
                      <w:lang w:val="en-US" w:eastAsia="zh-CN"/>
                    </w:rPr>
                    <w:t>－</w:t>
                  </w:r>
                  <w:r>
                    <w:rPr>
                      <w:rFonts w:hint="default" w:ascii="Times New Roman" w:hAnsi="Times New Roman" w:eastAsia="宋体" w:cs="Times New Roman"/>
                      <w:color w:val="auto"/>
                      <w:kern w:val="0"/>
                      <w:szCs w:val="21"/>
                      <w:lang w:val="en-US" w:eastAsia="zh-CN"/>
                    </w:rPr>
                    <w:t>原料</w:t>
                  </w:r>
                </w:p>
              </w:tc>
              <w:tc>
                <w:tcPr>
                  <w:tcW w:w="988" w:type="pct"/>
                  <w:noWrap w:val="0"/>
                  <w:vAlign w:val="center"/>
                </w:tcPr>
                <w:p w14:paraId="00126F2F">
                  <w:pPr>
                    <w:widowControl/>
                    <w:jc w:val="center"/>
                    <w:rPr>
                      <w:rFonts w:hint="default" w:ascii="Times New Roman" w:hAnsi="Times New Roman" w:eastAsia="宋体" w:cs="Times New Roman"/>
                      <w:color w:val="auto"/>
                      <w:kern w:val="0"/>
                      <w:szCs w:val="21"/>
                      <w:lang w:val="en-US"/>
                    </w:rPr>
                  </w:pPr>
                  <w:r>
                    <w:rPr>
                      <w:rFonts w:hint="default" w:ascii="Times New Roman" w:hAnsi="Times New Roman" w:eastAsia="宋体" w:cs="Times New Roman"/>
                      <w:color w:val="auto"/>
                      <w:kern w:val="0"/>
                      <w:szCs w:val="21"/>
                      <w:lang w:val="en-US" w:eastAsia="zh-CN"/>
                    </w:rPr>
                    <w:t>4654.9万N</w:t>
                  </w:r>
                  <w:r>
                    <w:rPr>
                      <w:rFonts w:hint="default" w:ascii="Times New Roman" w:hAnsi="Times New Roman" w:eastAsia="宋体" w:cs="Times New Roman"/>
                      <w:color w:val="auto"/>
                      <w:kern w:val="0"/>
                      <w:szCs w:val="21"/>
                      <w:vertAlign w:val="baseline"/>
                      <w:lang w:val="en-US" w:eastAsia="zh-CN"/>
                    </w:rPr>
                    <w:t>m</w:t>
                  </w:r>
                  <w:r>
                    <w:rPr>
                      <w:rFonts w:hint="default" w:ascii="Times New Roman" w:hAnsi="Times New Roman" w:eastAsia="宋体" w:cs="Times New Roman"/>
                      <w:color w:val="auto"/>
                      <w:kern w:val="0"/>
                      <w:szCs w:val="21"/>
                      <w:vertAlign w:val="superscript"/>
                      <w:lang w:val="en-US" w:eastAsia="zh-CN"/>
                    </w:rPr>
                    <w:t>3</w:t>
                  </w:r>
                  <w:r>
                    <w:rPr>
                      <w:rFonts w:hint="default" w:ascii="Times New Roman" w:hAnsi="Times New Roman" w:eastAsia="宋体" w:cs="Times New Roman"/>
                      <w:color w:val="auto"/>
                      <w:kern w:val="0"/>
                      <w:szCs w:val="21"/>
                      <w:lang w:val="en-US" w:eastAsia="zh-CN"/>
                    </w:rPr>
                    <w:t>/a</w:t>
                  </w:r>
                </w:p>
              </w:tc>
              <w:tc>
                <w:tcPr>
                  <w:tcW w:w="993" w:type="pct"/>
                  <w:noWrap w:val="0"/>
                  <w:vAlign w:val="center"/>
                </w:tcPr>
                <w:p w14:paraId="0C4A0E7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lang w:val="en-US" w:eastAsia="zh-CN"/>
                    </w:rPr>
                    <w:t>4654.9万N</w:t>
                  </w:r>
                  <w:r>
                    <w:rPr>
                      <w:rFonts w:hint="default" w:ascii="Times New Roman" w:hAnsi="Times New Roman" w:eastAsia="宋体" w:cs="Times New Roman"/>
                      <w:color w:val="auto"/>
                      <w:kern w:val="0"/>
                      <w:szCs w:val="21"/>
                      <w:vertAlign w:val="baseline"/>
                      <w:lang w:val="en-US" w:eastAsia="zh-CN"/>
                    </w:rPr>
                    <w:t>m</w:t>
                  </w:r>
                  <w:r>
                    <w:rPr>
                      <w:rFonts w:hint="default" w:ascii="Times New Roman" w:hAnsi="Times New Roman" w:eastAsia="宋体" w:cs="Times New Roman"/>
                      <w:color w:val="auto"/>
                      <w:kern w:val="0"/>
                      <w:szCs w:val="21"/>
                      <w:vertAlign w:val="superscript"/>
                      <w:lang w:val="en-US" w:eastAsia="zh-CN"/>
                    </w:rPr>
                    <w:t>3</w:t>
                  </w:r>
                  <w:r>
                    <w:rPr>
                      <w:rFonts w:hint="default" w:ascii="Times New Roman" w:hAnsi="Times New Roman" w:eastAsia="宋体" w:cs="Times New Roman"/>
                      <w:color w:val="auto"/>
                      <w:kern w:val="0"/>
                      <w:szCs w:val="21"/>
                      <w:lang w:val="en-US" w:eastAsia="zh-CN"/>
                    </w:rPr>
                    <w:t>/a</w:t>
                  </w:r>
                </w:p>
              </w:tc>
              <w:tc>
                <w:tcPr>
                  <w:tcW w:w="767" w:type="pct"/>
                  <w:tcBorders>
                    <w:right w:val="single" w:color="auto" w:sz="4" w:space="0"/>
                  </w:tcBorders>
                  <w:noWrap w:val="0"/>
                  <w:vAlign w:val="center"/>
                </w:tcPr>
                <w:p w14:paraId="4E1C6078">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w:t>
                  </w:r>
                </w:p>
              </w:tc>
            </w:tr>
            <w:tr w14:paraId="3B88FE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1" w:type="pct"/>
                  <w:tcBorders>
                    <w:left w:val="single" w:color="auto" w:sz="4" w:space="0"/>
                  </w:tcBorders>
                  <w:noWrap/>
                  <w:vAlign w:val="center"/>
                </w:tcPr>
                <w:p w14:paraId="0AC773D8">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rPr>
                    <w:t>氮氧化物</w:t>
                  </w:r>
                </w:p>
              </w:tc>
              <w:tc>
                <w:tcPr>
                  <w:tcW w:w="1478" w:type="pct"/>
                  <w:noWrap w:val="0"/>
                  <w:vAlign w:val="center"/>
                </w:tcPr>
                <w:p w14:paraId="2B1471B3">
                  <w:pPr>
                    <w:widowControl/>
                    <w:jc w:val="center"/>
                    <w:rPr>
                      <w:rFonts w:hint="default" w:ascii="Times New Roman" w:hAnsi="Times New Roman" w:eastAsia="宋体" w:cs="Times New Roman"/>
                      <w:color w:val="auto"/>
                      <w:kern w:val="0"/>
                      <w:szCs w:val="21"/>
                      <w:lang w:val="en-US" w:eastAsia="zh-CN"/>
                    </w:rPr>
                  </w:pPr>
                  <w:r>
                    <w:rPr>
                      <w:rFonts w:hint="eastAsia" w:cs="Times New Roman"/>
                      <w:color w:val="auto"/>
                      <w:kern w:val="0"/>
                      <w:szCs w:val="21"/>
                      <w:lang w:val="en-US" w:eastAsia="zh-CN"/>
                    </w:rPr>
                    <w:t>3.03</w:t>
                  </w:r>
                  <w:r>
                    <w:rPr>
                      <w:rFonts w:hint="default" w:ascii="Times New Roman" w:hAnsi="Times New Roman" w:eastAsia="宋体" w:cs="Times New Roman"/>
                      <w:color w:val="auto"/>
                      <w:kern w:val="0"/>
                      <w:szCs w:val="21"/>
                      <w:lang w:val="en-US" w:eastAsia="zh-CN"/>
                    </w:rPr>
                    <w:t>kg/万</w:t>
                  </w:r>
                  <w:r>
                    <w:rPr>
                      <w:rFonts w:hint="default" w:ascii="Times New Roman" w:hAnsi="Times New Roman" w:eastAsia="宋体" w:cs="Times New Roman"/>
                      <w:color w:val="auto"/>
                      <w:kern w:val="0"/>
                      <w:szCs w:val="21"/>
                      <w:vertAlign w:val="baseline"/>
                      <w:lang w:val="en-US" w:eastAsia="zh-CN"/>
                    </w:rPr>
                    <w:t>m</w:t>
                  </w:r>
                  <w:r>
                    <w:rPr>
                      <w:rFonts w:hint="default" w:ascii="Times New Roman" w:hAnsi="Times New Roman" w:eastAsia="宋体" w:cs="Times New Roman"/>
                      <w:color w:val="auto"/>
                      <w:kern w:val="0"/>
                      <w:szCs w:val="21"/>
                      <w:vertAlign w:val="superscript"/>
                      <w:lang w:val="en-US" w:eastAsia="zh-CN"/>
                    </w:rPr>
                    <w:t>3</w:t>
                  </w:r>
                  <w:r>
                    <w:rPr>
                      <w:rFonts w:hint="default" w:ascii="Times New Roman" w:hAnsi="Times New Roman" w:eastAsia="宋体" w:cs="Times New Roman"/>
                      <w:color w:val="auto"/>
                      <w:kern w:val="0"/>
                      <w:szCs w:val="21"/>
                      <w:vertAlign w:val="baseline"/>
                      <w:lang w:val="en-US" w:eastAsia="zh-CN"/>
                    </w:rPr>
                    <w:t>－</w:t>
                  </w:r>
                  <w:r>
                    <w:rPr>
                      <w:rFonts w:hint="default" w:ascii="Times New Roman" w:hAnsi="Times New Roman" w:eastAsia="宋体" w:cs="Times New Roman"/>
                      <w:color w:val="auto"/>
                      <w:kern w:val="0"/>
                      <w:szCs w:val="21"/>
                      <w:lang w:val="en-US" w:eastAsia="zh-CN"/>
                    </w:rPr>
                    <w:t>原料</w:t>
                  </w:r>
                </w:p>
                <w:p w14:paraId="2186F2E1">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（低氮燃烧-国际领先）</w:t>
                  </w:r>
                </w:p>
              </w:tc>
              <w:tc>
                <w:tcPr>
                  <w:tcW w:w="988" w:type="pct"/>
                  <w:noWrap w:val="0"/>
                  <w:vAlign w:val="center"/>
                </w:tcPr>
                <w:p w14:paraId="350A2D9C">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val="en-US" w:eastAsia="zh-CN"/>
                    </w:rPr>
                    <w:t>1.309</w:t>
                  </w:r>
                  <w:r>
                    <w:rPr>
                      <w:rFonts w:hint="default" w:ascii="Times New Roman" w:hAnsi="Times New Roman" w:eastAsia="宋体" w:cs="Times New Roman"/>
                      <w:color w:val="auto"/>
                      <w:kern w:val="0"/>
                      <w:szCs w:val="21"/>
                      <w:lang w:val="en-US" w:eastAsia="zh-CN"/>
                    </w:rPr>
                    <w:t>t/a</w:t>
                  </w:r>
                </w:p>
              </w:tc>
              <w:tc>
                <w:tcPr>
                  <w:tcW w:w="993" w:type="pct"/>
                  <w:noWrap w:val="0"/>
                  <w:vAlign w:val="center"/>
                </w:tcPr>
                <w:p w14:paraId="1DD485CA">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val="en-US" w:eastAsia="zh-CN"/>
                    </w:rPr>
                    <w:t>1.309</w:t>
                  </w:r>
                  <w:r>
                    <w:rPr>
                      <w:rFonts w:hint="default" w:ascii="Times New Roman" w:hAnsi="Times New Roman" w:eastAsia="宋体" w:cs="Times New Roman"/>
                      <w:color w:val="auto"/>
                      <w:kern w:val="0"/>
                      <w:szCs w:val="21"/>
                      <w:lang w:val="en-US" w:eastAsia="zh-CN"/>
                    </w:rPr>
                    <w:t>t/a</w:t>
                  </w:r>
                </w:p>
              </w:tc>
              <w:tc>
                <w:tcPr>
                  <w:tcW w:w="767" w:type="pct"/>
                  <w:tcBorders>
                    <w:right w:val="single" w:color="auto" w:sz="4" w:space="0"/>
                  </w:tcBorders>
                  <w:noWrap w:val="0"/>
                  <w:vAlign w:val="center"/>
                </w:tcPr>
                <w:p w14:paraId="4710C49E">
                  <w:pPr>
                    <w:widowControl/>
                    <w:jc w:val="center"/>
                    <w:rPr>
                      <w:rFonts w:hint="default" w:ascii="Times New Roman" w:hAnsi="Times New Roman" w:eastAsia="宋体" w:cs="Times New Roman"/>
                      <w:color w:val="auto"/>
                      <w:kern w:val="0"/>
                      <w:szCs w:val="21"/>
                    </w:rPr>
                  </w:pPr>
                  <w:r>
                    <w:rPr>
                      <w:rFonts w:hint="eastAsia" w:cs="Times New Roman"/>
                      <w:color w:val="auto"/>
                      <w:kern w:val="0"/>
                      <w:szCs w:val="21"/>
                      <w:lang w:val="en-US" w:eastAsia="zh-CN"/>
                    </w:rPr>
                    <w:t>0.182</w:t>
                  </w:r>
                  <w:r>
                    <w:rPr>
                      <w:rFonts w:hint="default" w:ascii="Times New Roman" w:hAnsi="Times New Roman" w:eastAsia="宋体" w:cs="Times New Roman"/>
                      <w:color w:val="auto"/>
                      <w:kern w:val="0"/>
                      <w:szCs w:val="21"/>
                      <w:lang w:val="en-US" w:eastAsia="zh-CN"/>
                    </w:rPr>
                    <w:t>kg/h</w:t>
                  </w:r>
                </w:p>
              </w:tc>
            </w:tr>
            <w:tr w14:paraId="12E4B1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1" w:type="pct"/>
                  <w:tcBorders>
                    <w:left w:val="single" w:color="auto" w:sz="4" w:space="0"/>
                  </w:tcBorders>
                  <w:noWrap/>
                  <w:vAlign w:val="center"/>
                </w:tcPr>
                <w:p w14:paraId="40DE0A84">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二氧化硫</w:t>
                  </w:r>
                </w:p>
              </w:tc>
              <w:tc>
                <w:tcPr>
                  <w:tcW w:w="1478" w:type="pct"/>
                  <w:noWrap w:val="0"/>
                  <w:vAlign w:val="center"/>
                </w:tcPr>
                <w:p w14:paraId="68635701">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0.02Skg/万</w:t>
                  </w:r>
                  <w:r>
                    <w:rPr>
                      <w:rFonts w:hint="default" w:ascii="Times New Roman" w:hAnsi="Times New Roman" w:eastAsia="宋体" w:cs="Times New Roman"/>
                      <w:color w:val="auto"/>
                      <w:kern w:val="0"/>
                      <w:szCs w:val="21"/>
                      <w:vertAlign w:val="baseline"/>
                      <w:lang w:val="en-US" w:eastAsia="zh-CN"/>
                    </w:rPr>
                    <w:t>m</w:t>
                  </w:r>
                  <w:r>
                    <w:rPr>
                      <w:rFonts w:hint="default" w:ascii="Times New Roman" w:hAnsi="Times New Roman" w:eastAsia="宋体" w:cs="Times New Roman"/>
                      <w:color w:val="auto"/>
                      <w:kern w:val="0"/>
                      <w:szCs w:val="21"/>
                      <w:vertAlign w:val="superscript"/>
                      <w:lang w:val="en-US" w:eastAsia="zh-CN"/>
                    </w:rPr>
                    <w:t>3</w:t>
                  </w:r>
                  <w:r>
                    <w:rPr>
                      <w:rFonts w:hint="default" w:ascii="Times New Roman" w:hAnsi="Times New Roman" w:eastAsia="宋体" w:cs="Times New Roman"/>
                      <w:color w:val="auto"/>
                      <w:kern w:val="0"/>
                      <w:szCs w:val="21"/>
                      <w:lang w:val="en-US" w:eastAsia="zh-CN"/>
                    </w:rPr>
                    <w:t>－原料</w:t>
                  </w:r>
                </w:p>
              </w:tc>
              <w:tc>
                <w:tcPr>
                  <w:tcW w:w="1625" w:type="dxa"/>
                  <w:noWrap w:val="0"/>
                  <w:vAlign w:val="center"/>
                </w:tcPr>
                <w:p w14:paraId="76C7515A">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0.518t/a</w:t>
                  </w:r>
                </w:p>
              </w:tc>
              <w:tc>
                <w:tcPr>
                  <w:tcW w:w="1634" w:type="dxa"/>
                  <w:noWrap w:val="0"/>
                  <w:vAlign w:val="center"/>
                </w:tcPr>
                <w:p w14:paraId="67170E35">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0.518t/a</w:t>
                  </w:r>
                </w:p>
              </w:tc>
              <w:tc>
                <w:tcPr>
                  <w:tcW w:w="1262" w:type="dxa"/>
                  <w:tcBorders>
                    <w:right w:val="single" w:color="auto" w:sz="4" w:space="0"/>
                  </w:tcBorders>
                  <w:noWrap w:val="0"/>
                  <w:vAlign w:val="center"/>
                </w:tcPr>
                <w:p w14:paraId="1F6DDC42">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0.072kg/h</w:t>
                  </w:r>
                </w:p>
              </w:tc>
            </w:tr>
            <w:tr w14:paraId="37EFF0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1" w:type="pct"/>
                  <w:tcBorders>
                    <w:left w:val="single" w:color="auto" w:sz="4" w:space="0"/>
                  </w:tcBorders>
                  <w:shd w:val="clear" w:color="auto" w:fill="auto"/>
                  <w:noWrap/>
                  <w:vAlign w:val="center"/>
                </w:tcPr>
                <w:p w14:paraId="7060BD28">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颗粒物</w:t>
                  </w:r>
                </w:p>
              </w:tc>
              <w:tc>
                <w:tcPr>
                  <w:tcW w:w="1478" w:type="pct"/>
                  <w:shd w:val="clear" w:color="auto" w:fill="auto"/>
                  <w:noWrap w:val="0"/>
                  <w:vAlign w:val="center"/>
                </w:tcPr>
                <w:p w14:paraId="671CB01D">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rPr>
                    <w:t>1.0千克/万</w:t>
                  </w:r>
                  <w:r>
                    <w:rPr>
                      <w:rFonts w:hint="default" w:ascii="Times New Roman" w:hAnsi="Times New Roman" w:eastAsia="宋体" w:cs="Times New Roman"/>
                      <w:color w:val="auto"/>
                      <w:kern w:val="0"/>
                      <w:szCs w:val="21"/>
                      <w:vertAlign w:val="baseline"/>
                      <w:lang w:eastAsia="zh-CN"/>
                    </w:rPr>
                    <w:t>m</w:t>
                  </w:r>
                  <w:r>
                    <w:rPr>
                      <w:rFonts w:hint="default" w:ascii="Times New Roman" w:hAnsi="Times New Roman" w:eastAsia="宋体" w:cs="Times New Roman"/>
                      <w:color w:val="auto"/>
                      <w:kern w:val="0"/>
                      <w:szCs w:val="21"/>
                      <w:vertAlign w:val="superscript"/>
                      <w:lang w:eastAsia="zh-CN"/>
                    </w:rPr>
                    <w:t>3</w:t>
                  </w:r>
                  <w:r>
                    <w:rPr>
                      <w:rFonts w:hint="default" w:ascii="Times New Roman" w:hAnsi="Times New Roman" w:eastAsia="宋体" w:cs="Times New Roman"/>
                      <w:color w:val="auto"/>
                      <w:kern w:val="0"/>
                      <w:szCs w:val="21"/>
                      <w:vertAlign w:val="baseline"/>
                      <w:lang w:eastAsia="zh-CN"/>
                    </w:rPr>
                    <w:t>－</w:t>
                  </w:r>
                  <w:r>
                    <w:rPr>
                      <w:rFonts w:hint="default" w:ascii="Times New Roman" w:hAnsi="Times New Roman" w:eastAsia="宋体" w:cs="Times New Roman"/>
                      <w:color w:val="auto"/>
                      <w:kern w:val="0"/>
                      <w:szCs w:val="21"/>
                    </w:rPr>
                    <w:t>原料</w:t>
                  </w:r>
                </w:p>
              </w:tc>
              <w:tc>
                <w:tcPr>
                  <w:tcW w:w="1625" w:type="dxa"/>
                  <w:shd w:val="clear" w:color="auto" w:fill="auto"/>
                  <w:noWrap w:val="0"/>
                  <w:vAlign w:val="center"/>
                </w:tcPr>
                <w:p w14:paraId="22E3EB10">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0.432t/a</w:t>
                  </w:r>
                </w:p>
              </w:tc>
              <w:tc>
                <w:tcPr>
                  <w:tcW w:w="1634" w:type="dxa"/>
                  <w:shd w:val="clear" w:color="auto" w:fill="auto"/>
                  <w:noWrap w:val="0"/>
                  <w:vAlign w:val="center"/>
                </w:tcPr>
                <w:p w14:paraId="3926BD31">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0.432t/a</w:t>
                  </w:r>
                </w:p>
              </w:tc>
              <w:tc>
                <w:tcPr>
                  <w:tcW w:w="1262" w:type="dxa"/>
                  <w:tcBorders>
                    <w:right w:val="single" w:color="auto" w:sz="4" w:space="0"/>
                  </w:tcBorders>
                  <w:shd w:val="clear" w:color="auto" w:fill="auto"/>
                  <w:noWrap w:val="0"/>
                  <w:vAlign w:val="center"/>
                </w:tcPr>
                <w:p w14:paraId="0487E60E">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0.060kg/h</w:t>
                  </w:r>
                </w:p>
              </w:tc>
            </w:tr>
            <w:tr w14:paraId="7064B7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71" w:type="pct"/>
                  <w:tcBorders>
                    <w:left w:val="single" w:color="auto" w:sz="4" w:space="0"/>
                    <w:bottom w:val="single" w:color="auto" w:sz="4" w:space="0"/>
                  </w:tcBorders>
                  <w:noWrap w:val="0"/>
                  <w:vAlign w:val="center"/>
                </w:tcPr>
                <w:p w14:paraId="299208A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烟气黑度</w:t>
                  </w:r>
                </w:p>
              </w:tc>
              <w:tc>
                <w:tcPr>
                  <w:tcW w:w="1478" w:type="pct"/>
                  <w:tcBorders>
                    <w:bottom w:val="single" w:color="auto" w:sz="4" w:space="0"/>
                  </w:tcBorders>
                  <w:noWrap w:val="0"/>
                  <w:vAlign w:val="center"/>
                </w:tcPr>
                <w:p w14:paraId="193CBAD8">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w:t>
                  </w:r>
                </w:p>
              </w:tc>
              <w:tc>
                <w:tcPr>
                  <w:tcW w:w="988" w:type="pct"/>
                  <w:tcBorders>
                    <w:bottom w:val="single" w:color="auto" w:sz="4" w:space="0"/>
                  </w:tcBorders>
                  <w:noWrap w:val="0"/>
                  <w:vAlign w:val="center"/>
                </w:tcPr>
                <w:p w14:paraId="3D7BF1A4">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≤1（林格曼黑度，级）</w:t>
                  </w:r>
                </w:p>
              </w:tc>
              <w:tc>
                <w:tcPr>
                  <w:tcW w:w="993" w:type="pct"/>
                  <w:tcBorders>
                    <w:bottom w:val="single" w:color="auto" w:sz="4" w:space="0"/>
                  </w:tcBorders>
                  <w:noWrap w:val="0"/>
                  <w:vAlign w:val="center"/>
                </w:tcPr>
                <w:p w14:paraId="22FCECEB">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≤1（林格曼黑度，级）</w:t>
                  </w:r>
                </w:p>
              </w:tc>
              <w:tc>
                <w:tcPr>
                  <w:tcW w:w="767" w:type="pct"/>
                  <w:tcBorders>
                    <w:bottom w:val="single" w:color="auto" w:sz="4" w:space="0"/>
                    <w:right w:val="single" w:color="auto" w:sz="4" w:space="0"/>
                  </w:tcBorders>
                  <w:noWrap w:val="0"/>
                  <w:vAlign w:val="center"/>
                </w:tcPr>
                <w:p w14:paraId="62B9D781">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w:t>
                  </w:r>
                </w:p>
              </w:tc>
            </w:tr>
          </w:tbl>
          <w:p w14:paraId="05C5954B">
            <w:pPr>
              <w:adjustRightInd w:val="0"/>
              <w:snapToGrid w:val="0"/>
              <w:spacing w:line="360" w:lineRule="auto"/>
              <w:jc w:val="center"/>
              <w:rPr>
                <w:rFonts w:hint="default" w:ascii="Times New Roman" w:hAnsi="Times New Roman" w:eastAsia="宋体" w:cs="Times New Roman"/>
                <w:b/>
                <w:color w:val="auto"/>
                <w:sz w:val="24"/>
              </w:rPr>
            </w:pPr>
          </w:p>
          <w:p w14:paraId="182E7B6A">
            <w:pPr>
              <w:adjustRightInd w:val="0"/>
              <w:snapToGrid w:val="0"/>
              <w:spacing w:line="360" w:lineRule="auto"/>
              <w:jc w:val="center"/>
              <w:rPr>
                <w:rFonts w:hint="default" w:ascii="Times New Roman" w:hAnsi="Times New Roman" w:eastAsia="宋体" w:cs="Times New Roman"/>
                <w:b/>
                <w:color w:val="auto"/>
                <w:sz w:val="24"/>
              </w:rPr>
            </w:pPr>
          </w:p>
          <w:p w14:paraId="3E9C5DE4">
            <w:pPr>
              <w:adjustRightInd w:val="0"/>
              <w:snapToGrid w:val="0"/>
              <w:spacing w:line="360" w:lineRule="auto"/>
              <w:jc w:val="center"/>
              <w:rPr>
                <w:rFonts w:hint="default" w:ascii="Times New Roman" w:hAnsi="Times New Roman" w:eastAsia="宋体" w:cs="Times New Roman"/>
                <w:b/>
                <w:color w:val="auto"/>
                <w:sz w:val="24"/>
              </w:rPr>
            </w:pPr>
          </w:p>
          <w:p w14:paraId="768AFB93">
            <w:pPr>
              <w:adjustRightInd w:val="0"/>
              <w:snapToGrid w:val="0"/>
              <w:spacing w:line="360" w:lineRule="auto"/>
              <w:jc w:val="center"/>
              <w:rPr>
                <w:rFonts w:hint="default" w:ascii="Times New Roman" w:hAnsi="Times New Roman" w:eastAsia="宋体" w:cs="Times New Roman"/>
                <w:b/>
                <w:color w:val="auto"/>
                <w:sz w:val="24"/>
              </w:rPr>
            </w:pPr>
          </w:p>
          <w:p w14:paraId="1FFCC415">
            <w:pPr>
              <w:pStyle w:val="14"/>
              <w:bidi w:val="0"/>
              <w:rPr>
                <w:rFonts w:hint="default" w:ascii="Times New Roman" w:hAnsi="Times New Roman" w:eastAsia="宋体" w:cs="Times New Roman"/>
                <w:b/>
                <w:color w:val="auto"/>
                <w:sz w:val="24"/>
              </w:rPr>
            </w:pPr>
            <w:r>
              <w:rPr>
                <w:rFonts w:hint="default" w:ascii="Times New Roman" w:hAnsi="Times New Roman" w:eastAsia="宋体" w:cs="Times New Roman"/>
                <w:b/>
                <w:color w:val="auto"/>
                <w:sz w:val="24"/>
              </w:rPr>
              <w:t>表4-</w:t>
            </w:r>
            <w:r>
              <w:rPr>
                <w:rFonts w:hint="default" w:ascii="Times New Roman" w:hAnsi="Times New Roman" w:eastAsia="宋体" w:cs="Times New Roman"/>
                <w:b/>
                <w:color w:val="auto"/>
                <w:sz w:val="24"/>
                <w:lang w:val="en-US" w:eastAsia="zh-CN"/>
              </w:rPr>
              <w:t>2</w:t>
            </w:r>
            <w:r>
              <w:rPr>
                <w:rFonts w:hint="default" w:ascii="Times New Roman" w:hAnsi="Times New Roman" w:eastAsia="宋体" w:cs="Times New Roman"/>
                <w:b/>
                <w:color w:val="auto"/>
                <w:sz w:val="24"/>
              </w:rPr>
              <w:t xml:space="preserve"> 废气污染物产排污情况及处理措施一览表</w:t>
            </w:r>
          </w:p>
          <w:tbl>
            <w:tblPr>
              <w:tblStyle w:val="7"/>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367"/>
              <w:gridCol w:w="730"/>
              <w:gridCol w:w="868"/>
              <w:gridCol w:w="803"/>
              <w:gridCol w:w="623"/>
              <w:gridCol w:w="640"/>
              <w:gridCol w:w="386"/>
              <w:gridCol w:w="418"/>
              <w:gridCol w:w="1240"/>
              <w:gridCol w:w="725"/>
              <w:gridCol w:w="705"/>
              <w:gridCol w:w="717"/>
            </w:tblGrid>
            <w:tr w14:paraId="6176E5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097" w:type="dxa"/>
                  <w:gridSpan w:val="2"/>
                  <w:vMerge w:val="restart"/>
                  <w:tcBorders>
                    <w:top w:val="single" w:color="auto" w:sz="4" w:space="0"/>
                    <w:left w:val="single" w:color="auto" w:sz="0" w:space="0"/>
                  </w:tcBorders>
                  <w:vAlign w:val="center"/>
                </w:tcPr>
                <w:p w14:paraId="5BC253AD">
                  <w:pPr>
                    <w:adjustRightInd w:val="0"/>
                    <w:snapToGrid w:val="0"/>
                    <w:jc w:val="center"/>
                    <w:rPr>
                      <w:rFonts w:hint="default" w:ascii="Times New Roman" w:hAnsi="Times New Roman" w:eastAsia="宋体" w:cs="Times New Roman"/>
                      <w:b/>
                      <w:color w:val="auto"/>
                      <w:kern w:val="0"/>
                      <w:sz w:val="21"/>
                      <w:szCs w:val="21"/>
                      <w:lang w:val="en-US" w:eastAsia="zh-CN"/>
                    </w:rPr>
                  </w:pPr>
                  <w:r>
                    <w:rPr>
                      <w:rFonts w:hint="default" w:ascii="Times New Roman" w:hAnsi="Times New Roman" w:eastAsia="宋体" w:cs="Times New Roman"/>
                      <w:b/>
                      <w:color w:val="auto"/>
                      <w:kern w:val="0"/>
                      <w:sz w:val="21"/>
                      <w:szCs w:val="21"/>
                      <w:lang w:val="en-US" w:eastAsia="zh-CN"/>
                    </w:rPr>
                    <w:t>产污环节</w:t>
                  </w:r>
                </w:p>
              </w:tc>
              <w:tc>
                <w:tcPr>
                  <w:tcW w:w="868" w:type="dxa"/>
                  <w:vMerge w:val="restart"/>
                  <w:tcBorders>
                    <w:top w:val="single" w:color="auto" w:sz="4" w:space="0"/>
                  </w:tcBorders>
                  <w:vAlign w:val="center"/>
                </w:tcPr>
                <w:p w14:paraId="309C5BC2">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污染物</w:t>
                  </w:r>
                </w:p>
              </w:tc>
              <w:tc>
                <w:tcPr>
                  <w:tcW w:w="803" w:type="dxa"/>
                  <w:vMerge w:val="restart"/>
                  <w:tcBorders>
                    <w:top w:val="single" w:color="auto" w:sz="4" w:space="0"/>
                  </w:tcBorders>
                  <w:shd w:val="clear" w:color="auto" w:fill="auto"/>
                  <w:vAlign w:val="center"/>
                </w:tcPr>
                <w:p w14:paraId="0266C9DD">
                  <w:pPr>
                    <w:adjustRightInd w:val="0"/>
                    <w:snapToGrid w:val="0"/>
                    <w:jc w:val="center"/>
                    <w:rPr>
                      <w:rFonts w:hint="default" w:ascii="Times New Roman" w:hAnsi="Times New Roman" w:eastAsia="宋体" w:cs="Times New Roman"/>
                      <w:b/>
                      <w:color w:val="auto"/>
                      <w:kern w:val="0"/>
                      <w:sz w:val="21"/>
                      <w:szCs w:val="21"/>
                      <w:lang w:val="en-US" w:eastAsia="zh-CN"/>
                    </w:rPr>
                  </w:pPr>
                  <w:r>
                    <w:rPr>
                      <w:rFonts w:hint="default" w:ascii="Times New Roman" w:hAnsi="Times New Roman" w:eastAsia="宋体" w:cs="Times New Roman"/>
                      <w:b/>
                      <w:color w:val="auto"/>
                      <w:kern w:val="0"/>
                      <w:sz w:val="21"/>
                      <w:szCs w:val="21"/>
                      <w:lang w:val="en-US" w:eastAsia="zh-CN"/>
                    </w:rPr>
                    <w:t>废气量</w:t>
                  </w:r>
                </w:p>
                <w:p w14:paraId="7B73CCFA">
                  <w:pPr>
                    <w:adjustRightInd w:val="0"/>
                    <w:snapToGrid w:val="0"/>
                    <w:jc w:val="center"/>
                    <w:rPr>
                      <w:rFonts w:hint="default" w:ascii="Times New Roman" w:hAnsi="Times New Roman" w:eastAsia="宋体" w:cs="Times New Roman"/>
                      <w:b/>
                      <w:color w:val="auto"/>
                      <w:kern w:val="0"/>
                      <w:sz w:val="21"/>
                      <w:szCs w:val="21"/>
                      <w:lang w:val="en-US" w:eastAsia="zh-CN" w:bidi="ar-SA"/>
                    </w:rPr>
                  </w:pPr>
                  <w:r>
                    <w:rPr>
                      <w:rFonts w:hint="default" w:ascii="Times New Roman" w:hAnsi="Times New Roman" w:eastAsia="宋体" w:cs="Times New Roman"/>
                      <w:b/>
                      <w:color w:val="auto"/>
                      <w:kern w:val="0"/>
                      <w:sz w:val="21"/>
                      <w:szCs w:val="21"/>
                      <w:lang w:val="en-US" w:eastAsia="zh-CN"/>
                    </w:rPr>
                    <w:t>万</w:t>
                  </w:r>
                  <w:r>
                    <w:rPr>
                      <w:rFonts w:hint="default" w:ascii="Times New Roman" w:hAnsi="Times New Roman" w:eastAsia="宋体" w:cs="Times New Roman"/>
                      <w:b/>
                      <w:color w:val="auto"/>
                      <w:kern w:val="0"/>
                      <w:sz w:val="21"/>
                      <w:szCs w:val="21"/>
                      <w:vertAlign w:val="baseline"/>
                      <w:lang w:val="en-US" w:eastAsia="zh-CN"/>
                    </w:rPr>
                    <w:t>m</w:t>
                  </w:r>
                  <w:r>
                    <w:rPr>
                      <w:rFonts w:hint="default" w:ascii="Times New Roman" w:hAnsi="Times New Roman" w:eastAsia="宋体" w:cs="Times New Roman"/>
                      <w:b/>
                      <w:color w:val="auto"/>
                      <w:kern w:val="0"/>
                      <w:sz w:val="21"/>
                      <w:szCs w:val="21"/>
                      <w:vertAlign w:val="superscript"/>
                      <w:lang w:val="en-US" w:eastAsia="zh-CN"/>
                    </w:rPr>
                    <w:t>3</w:t>
                  </w:r>
                  <w:r>
                    <w:rPr>
                      <w:rFonts w:hint="default" w:ascii="Times New Roman" w:hAnsi="Times New Roman" w:eastAsia="宋体" w:cs="Times New Roman"/>
                      <w:b/>
                      <w:color w:val="auto"/>
                      <w:kern w:val="0"/>
                      <w:sz w:val="21"/>
                      <w:szCs w:val="21"/>
                      <w:lang w:val="en-US" w:eastAsia="zh-CN"/>
                    </w:rPr>
                    <w:t>/a</w:t>
                  </w:r>
                </w:p>
              </w:tc>
              <w:tc>
                <w:tcPr>
                  <w:tcW w:w="1263" w:type="dxa"/>
                  <w:gridSpan w:val="2"/>
                  <w:tcBorders>
                    <w:top w:val="single" w:color="auto" w:sz="4" w:space="0"/>
                  </w:tcBorders>
                  <w:vAlign w:val="center"/>
                </w:tcPr>
                <w:p w14:paraId="75ADE816">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污染物产生情况</w:t>
                  </w:r>
                </w:p>
              </w:tc>
              <w:tc>
                <w:tcPr>
                  <w:tcW w:w="386" w:type="dxa"/>
                  <w:vMerge w:val="restart"/>
                  <w:tcBorders>
                    <w:top w:val="single" w:color="auto" w:sz="4" w:space="0"/>
                  </w:tcBorders>
                </w:tcPr>
                <w:p w14:paraId="2D0C70F6">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排放</w:t>
                  </w:r>
                </w:p>
                <w:p w14:paraId="42A3D6D2">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形式</w:t>
                  </w:r>
                </w:p>
              </w:tc>
              <w:tc>
                <w:tcPr>
                  <w:tcW w:w="418" w:type="dxa"/>
                  <w:vMerge w:val="restart"/>
                  <w:tcBorders>
                    <w:top w:val="single" w:color="auto" w:sz="4" w:space="0"/>
                  </w:tcBorders>
                  <w:vAlign w:val="center"/>
                </w:tcPr>
                <w:p w14:paraId="2B7704DA">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排气筒</w:t>
                  </w:r>
                </w:p>
              </w:tc>
              <w:tc>
                <w:tcPr>
                  <w:tcW w:w="1240" w:type="dxa"/>
                  <w:vMerge w:val="restart"/>
                  <w:tcBorders>
                    <w:top w:val="single" w:color="auto" w:sz="4" w:space="0"/>
                  </w:tcBorders>
                  <w:vAlign w:val="center"/>
                </w:tcPr>
                <w:p w14:paraId="19D5124A">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污染防治措施</w:t>
                  </w:r>
                </w:p>
              </w:tc>
              <w:tc>
                <w:tcPr>
                  <w:tcW w:w="2147" w:type="dxa"/>
                  <w:gridSpan w:val="3"/>
                  <w:tcBorders>
                    <w:top w:val="single" w:color="auto" w:sz="4" w:space="0"/>
                    <w:right w:val="single" w:color="auto" w:sz="4" w:space="0"/>
                  </w:tcBorders>
                  <w:vAlign w:val="center"/>
                </w:tcPr>
                <w:p w14:paraId="4AA61FD3">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污染物排放情况</w:t>
                  </w:r>
                </w:p>
              </w:tc>
            </w:tr>
            <w:tr w14:paraId="256132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097" w:type="dxa"/>
                  <w:gridSpan w:val="2"/>
                  <w:vMerge w:val="continue"/>
                  <w:tcBorders>
                    <w:left w:val="single" w:color="auto" w:sz="4" w:space="0"/>
                  </w:tcBorders>
                  <w:vAlign w:val="center"/>
                </w:tcPr>
                <w:p w14:paraId="31C7A6EB">
                  <w:pPr>
                    <w:adjustRightInd w:val="0"/>
                    <w:snapToGrid w:val="0"/>
                    <w:jc w:val="center"/>
                    <w:rPr>
                      <w:rFonts w:hint="default" w:ascii="Times New Roman" w:hAnsi="Times New Roman" w:eastAsia="宋体" w:cs="Times New Roman"/>
                      <w:b/>
                      <w:color w:val="auto"/>
                      <w:kern w:val="0"/>
                      <w:sz w:val="21"/>
                      <w:szCs w:val="21"/>
                    </w:rPr>
                  </w:pPr>
                </w:p>
              </w:tc>
              <w:tc>
                <w:tcPr>
                  <w:tcW w:w="868" w:type="dxa"/>
                  <w:vMerge w:val="continue"/>
                  <w:vAlign w:val="center"/>
                </w:tcPr>
                <w:p w14:paraId="330DBEC8">
                  <w:pPr>
                    <w:adjustRightInd w:val="0"/>
                    <w:snapToGrid w:val="0"/>
                    <w:jc w:val="center"/>
                    <w:rPr>
                      <w:rFonts w:hint="default" w:ascii="Times New Roman" w:hAnsi="Times New Roman" w:eastAsia="宋体" w:cs="Times New Roman"/>
                      <w:b/>
                      <w:color w:val="auto"/>
                      <w:kern w:val="0"/>
                      <w:sz w:val="21"/>
                      <w:szCs w:val="21"/>
                    </w:rPr>
                  </w:pPr>
                </w:p>
              </w:tc>
              <w:tc>
                <w:tcPr>
                  <w:tcW w:w="803" w:type="dxa"/>
                  <w:vMerge w:val="continue"/>
                  <w:shd w:val="clear" w:color="auto" w:fill="auto"/>
                  <w:vAlign w:val="center"/>
                </w:tcPr>
                <w:p w14:paraId="7F7D2DA7">
                  <w:pPr>
                    <w:adjustRightInd w:val="0"/>
                    <w:snapToGrid w:val="0"/>
                    <w:jc w:val="center"/>
                    <w:rPr>
                      <w:rFonts w:hint="default" w:ascii="Times New Roman" w:hAnsi="Times New Roman" w:eastAsia="宋体" w:cs="Times New Roman"/>
                      <w:b/>
                      <w:color w:val="auto"/>
                      <w:kern w:val="0"/>
                      <w:sz w:val="21"/>
                      <w:szCs w:val="21"/>
                      <w:lang w:val="en-US" w:eastAsia="zh-CN" w:bidi="ar-SA"/>
                    </w:rPr>
                  </w:pPr>
                </w:p>
              </w:tc>
              <w:tc>
                <w:tcPr>
                  <w:tcW w:w="623" w:type="dxa"/>
                  <w:vAlign w:val="center"/>
                </w:tcPr>
                <w:p w14:paraId="233EEE18">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产生</w:t>
                  </w:r>
                </w:p>
                <w:p w14:paraId="2BDF4C96">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量t/a</w:t>
                  </w:r>
                </w:p>
              </w:tc>
              <w:tc>
                <w:tcPr>
                  <w:tcW w:w="640" w:type="dxa"/>
                  <w:vAlign w:val="center"/>
                </w:tcPr>
                <w:p w14:paraId="4B15561D">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浓度</w:t>
                  </w:r>
                </w:p>
                <w:p w14:paraId="35FBD9AC">
                  <w:pPr>
                    <w:adjustRightInd w:val="0"/>
                    <w:snapToGrid w:val="0"/>
                    <w:jc w:val="center"/>
                    <w:rPr>
                      <w:rFonts w:hint="default" w:ascii="Times New Roman" w:hAnsi="Times New Roman" w:eastAsia="宋体" w:cs="Times New Roman"/>
                      <w:b/>
                      <w:color w:val="auto"/>
                      <w:kern w:val="0"/>
                      <w:sz w:val="21"/>
                      <w:szCs w:val="21"/>
                      <w:lang w:eastAsia="zh-CN"/>
                    </w:rPr>
                  </w:pPr>
                  <w:r>
                    <w:rPr>
                      <w:rFonts w:hint="default" w:ascii="Times New Roman" w:hAnsi="Times New Roman" w:eastAsia="宋体" w:cs="Times New Roman"/>
                      <w:b/>
                      <w:color w:val="auto"/>
                      <w:kern w:val="0"/>
                      <w:sz w:val="21"/>
                      <w:szCs w:val="21"/>
                      <w:lang w:eastAsia="zh-CN"/>
                    </w:rPr>
                    <w:t>m</w:t>
                  </w:r>
                  <w:r>
                    <w:rPr>
                      <w:rFonts w:hint="default" w:ascii="Times New Roman" w:hAnsi="Times New Roman" w:eastAsia="宋体" w:cs="Times New Roman"/>
                      <w:b/>
                      <w:color w:val="auto"/>
                      <w:kern w:val="0"/>
                      <w:sz w:val="21"/>
                      <w:szCs w:val="21"/>
                    </w:rPr>
                    <w:t>g/</w:t>
                  </w:r>
                  <w:r>
                    <w:rPr>
                      <w:rFonts w:hint="default" w:ascii="Times New Roman" w:hAnsi="Times New Roman" w:eastAsia="宋体" w:cs="Times New Roman"/>
                      <w:b/>
                      <w:color w:val="auto"/>
                      <w:kern w:val="0"/>
                      <w:sz w:val="21"/>
                      <w:szCs w:val="21"/>
                      <w:vertAlign w:val="baseline"/>
                      <w:lang w:eastAsia="zh-CN"/>
                    </w:rPr>
                    <w:t>m</w:t>
                  </w:r>
                  <w:r>
                    <w:rPr>
                      <w:rFonts w:hint="default" w:ascii="Times New Roman" w:hAnsi="Times New Roman" w:eastAsia="宋体" w:cs="Times New Roman"/>
                      <w:b/>
                      <w:color w:val="auto"/>
                      <w:kern w:val="0"/>
                      <w:sz w:val="21"/>
                      <w:szCs w:val="21"/>
                      <w:vertAlign w:val="superscript"/>
                      <w:lang w:eastAsia="zh-CN"/>
                    </w:rPr>
                    <w:t>3</w:t>
                  </w:r>
                </w:p>
              </w:tc>
              <w:tc>
                <w:tcPr>
                  <w:tcW w:w="386" w:type="dxa"/>
                  <w:vMerge w:val="continue"/>
                </w:tcPr>
                <w:p w14:paraId="0CE72B67">
                  <w:pPr>
                    <w:adjustRightInd w:val="0"/>
                    <w:snapToGrid w:val="0"/>
                    <w:jc w:val="center"/>
                    <w:rPr>
                      <w:rFonts w:hint="default" w:ascii="Times New Roman" w:hAnsi="Times New Roman" w:eastAsia="宋体" w:cs="Times New Roman"/>
                      <w:b/>
                      <w:color w:val="auto"/>
                      <w:kern w:val="0"/>
                      <w:sz w:val="21"/>
                      <w:szCs w:val="21"/>
                    </w:rPr>
                  </w:pPr>
                </w:p>
              </w:tc>
              <w:tc>
                <w:tcPr>
                  <w:tcW w:w="418" w:type="dxa"/>
                  <w:vMerge w:val="continue"/>
                  <w:vAlign w:val="center"/>
                </w:tcPr>
                <w:p w14:paraId="013666E5">
                  <w:pPr>
                    <w:adjustRightInd w:val="0"/>
                    <w:snapToGrid w:val="0"/>
                    <w:jc w:val="center"/>
                    <w:rPr>
                      <w:rFonts w:hint="default" w:ascii="Times New Roman" w:hAnsi="Times New Roman" w:eastAsia="宋体" w:cs="Times New Roman"/>
                      <w:b/>
                      <w:color w:val="auto"/>
                      <w:kern w:val="0"/>
                      <w:sz w:val="21"/>
                      <w:szCs w:val="21"/>
                    </w:rPr>
                  </w:pPr>
                </w:p>
              </w:tc>
              <w:tc>
                <w:tcPr>
                  <w:tcW w:w="1240" w:type="dxa"/>
                  <w:vMerge w:val="continue"/>
                  <w:vAlign w:val="center"/>
                </w:tcPr>
                <w:p w14:paraId="5778D678">
                  <w:pPr>
                    <w:adjustRightInd w:val="0"/>
                    <w:snapToGrid w:val="0"/>
                    <w:jc w:val="center"/>
                    <w:rPr>
                      <w:rFonts w:hint="default" w:ascii="Times New Roman" w:hAnsi="Times New Roman" w:eastAsia="宋体" w:cs="Times New Roman"/>
                      <w:b/>
                      <w:color w:val="auto"/>
                      <w:kern w:val="0"/>
                      <w:sz w:val="21"/>
                      <w:szCs w:val="21"/>
                    </w:rPr>
                  </w:pPr>
                </w:p>
              </w:tc>
              <w:tc>
                <w:tcPr>
                  <w:tcW w:w="725" w:type="dxa"/>
                  <w:vAlign w:val="center"/>
                </w:tcPr>
                <w:p w14:paraId="3534F0D3">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排放</w:t>
                  </w:r>
                </w:p>
                <w:p w14:paraId="38FB2D78">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量t/a</w:t>
                  </w:r>
                </w:p>
              </w:tc>
              <w:tc>
                <w:tcPr>
                  <w:tcW w:w="705" w:type="dxa"/>
                  <w:vAlign w:val="center"/>
                </w:tcPr>
                <w:p w14:paraId="3BC99391">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速率</w:t>
                  </w:r>
                </w:p>
                <w:p w14:paraId="72530B5A">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kg/h</w:t>
                  </w:r>
                </w:p>
              </w:tc>
              <w:tc>
                <w:tcPr>
                  <w:tcW w:w="717" w:type="dxa"/>
                  <w:tcBorders>
                    <w:right w:val="single" w:color="auto" w:sz="4" w:space="0"/>
                  </w:tcBorders>
                  <w:vAlign w:val="center"/>
                </w:tcPr>
                <w:p w14:paraId="04236E4B">
                  <w:pPr>
                    <w:adjustRightInd w:val="0"/>
                    <w:snapToGrid w:val="0"/>
                    <w:jc w:val="center"/>
                    <w:rPr>
                      <w:rFonts w:hint="default" w:ascii="Times New Roman" w:hAnsi="Times New Roman" w:eastAsia="宋体" w:cs="Times New Roman"/>
                      <w:b/>
                      <w:color w:val="auto"/>
                      <w:kern w:val="0"/>
                      <w:sz w:val="21"/>
                      <w:szCs w:val="21"/>
                    </w:rPr>
                  </w:pPr>
                  <w:r>
                    <w:rPr>
                      <w:rFonts w:hint="default" w:ascii="Times New Roman" w:hAnsi="Times New Roman" w:eastAsia="宋体" w:cs="Times New Roman"/>
                      <w:b/>
                      <w:color w:val="auto"/>
                      <w:kern w:val="0"/>
                      <w:sz w:val="21"/>
                      <w:szCs w:val="21"/>
                    </w:rPr>
                    <w:t>浓度</w:t>
                  </w:r>
                </w:p>
                <w:p w14:paraId="1386C59C">
                  <w:pPr>
                    <w:adjustRightInd w:val="0"/>
                    <w:snapToGrid w:val="0"/>
                    <w:jc w:val="center"/>
                    <w:rPr>
                      <w:rFonts w:hint="default" w:ascii="Times New Roman" w:hAnsi="Times New Roman" w:eastAsia="宋体" w:cs="Times New Roman"/>
                      <w:b/>
                      <w:color w:val="auto"/>
                      <w:kern w:val="0"/>
                      <w:sz w:val="21"/>
                      <w:szCs w:val="21"/>
                      <w:lang w:eastAsia="zh-CN"/>
                    </w:rPr>
                  </w:pPr>
                  <w:r>
                    <w:rPr>
                      <w:rFonts w:hint="default" w:ascii="Times New Roman" w:hAnsi="Times New Roman" w:eastAsia="宋体" w:cs="Times New Roman"/>
                      <w:b/>
                      <w:color w:val="auto"/>
                      <w:kern w:val="0"/>
                      <w:sz w:val="21"/>
                      <w:szCs w:val="21"/>
                      <w:lang w:eastAsia="zh-CN"/>
                    </w:rPr>
                    <w:t>m</w:t>
                  </w:r>
                  <w:r>
                    <w:rPr>
                      <w:rFonts w:hint="default" w:ascii="Times New Roman" w:hAnsi="Times New Roman" w:eastAsia="宋体" w:cs="Times New Roman"/>
                      <w:b/>
                      <w:color w:val="auto"/>
                      <w:kern w:val="0"/>
                      <w:sz w:val="21"/>
                      <w:szCs w:val="21"/>
                    </w:rPr>
                    <w:t>g/</w:t>
                  </w:r>
                  <w:r>
                    <w:rPr>
                      <w:rFonts w:hint="default" w:ascii="Times New Roman" w:hAnsi="Times New Roman" w:eastAsia="宋体" w:cs="Times New Roman"/>
                      <w:b/>
                      <w:color w:val="auto"/>
                      <w:kern w:val="0"/>
                      <w:sz w:val="21"/>
                      <w:szCs w:val="21"/>
                      <w:vertAlign w:val="baseline"/>
                      <w:lang w:eastAsia="zh-CN"/>
                    </w:rPr>
                    <w:t>m</w:t>
                  </w:r>
                  <w:r>
                    <w:rPr>
                      <w:rFonts w:hint="default" w:ascii="Times New Roman" w:hAnsi="Times New Roman" w:eastAsia="宋体" w:cs="Times New Roman"/>
                      <w:b/>
                      <w:color w:val="auto"/>
                      <w:kern w:val="0"/>
                      <w:sz w:val="21"/>
                      <w:szCs w:val="21"/>
                      <w:vertAlign w:val="superscript"/>
                      <w:lang w:eastAsia="zh-CN"/>
                    </w:rPr>
                    <w:t>3</w:t>
                  </w:r>
                </w:p>
              </w:tc>
            </w:tr>
            <w:tr w14:paraId="7E86BE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67" w:type="dxa"/>
                  <w:vMerge w:val="restart"/>
                  <w:tcBorders>
                    <w:left w:val="single" w:color="auto" w:sz="4" w:space="0"/>
                  </w:tcBorders>
                  <w:vAlign w:val="center"/>
                </w:tcPr>
                <w:p w14:paraId="11504B9C">
                  <w:pPr>
                    <w:adjustRightInd w:val="0"/>
                    <w:snapToGrid w:val="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sz w:val="21"/>
                      <w:szCs w:val="21"/>
                    </w:rPr>
                    <w:t>G</w:t>
                  </w:r>
                  <w:r>
                    <w:rPr>
                      <w:rFonts w:hint="default" w:ascii="Times New Roman" w:hAnsi="Times New Roman" w:eastAsia="宋体" w:cs="Times New Roman"/>
                      <w:color w:val="auto"/>
                      <w:sz w:val="21"/>
                      <w:szCs w:val="21"/>
                      <w:vertAlign w:val="subscript"/>
                    </w:rPr>
                    <w:t>1</w:t>
                  </w:r>
                </w:p>
              </w:tc>
              <w:tc>
                <w:tcPr>
                  <w:tcW w:w="730" w:type="dxa"/>
                  <w:vMerge w:val="restart"/>
                  <w:vAlign w:val="center"/>
                </w:tcPr>
                <w:p w14:paraId="0517B41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燃气锅炉</w:t>
                  </w:r>
                </w:p>
              </w:tc>
              <w:tc>
                <w:tcPr>
                  <w:tcW w:w="868" w:type="dxa"/>
                  <w:vAlign w:val="center"/>
                </w:tcPr>
                <w:p w14:paraId="7114612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氮氧化物</w:t>
                  </w:r>
                </w:p>
              </w:tc>
              <w:tc>
                <w:tcPr>
                  <w:tcW w:w="803" w:type="dxa"/>
                  <w:vMerge w:val="restart"/>
                  <w:shd w:val="clear" w:color="auto" w:fill="auto"/>
                  <w:vAlign w:val="center"/>
                </w:tcPr>
                <w:p w14:paraId="470B9B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4654.9</w:t>
                  </w:r>
                </w:p>
              </w:tc>
              <w:tc>
                <w:tcPr>
                  <w:tcW w:w="623" w:type="dxa"/>
                  <w:shd w:val="clear" w:color="auto" w:fill="auto"/>
                  <w:vAlign w:val="center"/>
                </w:tcPr>
                <w:p w14:paraId="23D924D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1.309</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640" w:type="dxa"/>
                  <w:shd w:val="clear" w:color="auto" w:fill="auto"/>
                  <w:vAlign w:val="center"/>
                </w:tcPr>
                <w:p w14:paraId="5FEDB3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28.12</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386" w:type="dxa"/>
                  <w:vMerge w:val="restart"/>
                  <w:vAlign w:val="center"/>
                </w:tcPr>
                <w:p w14:paraId="4328A0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有组织</w:t>
                  </w:r>
                </w:p>
              </w:tc>
              <w:tc>
                <w:tcPr>
                  <w:tcW w:w="418" w:type="dxa"/>
                  <w:vMerge w:val="restart"/>
                  <w:vAlign w:val="center"/>
                </w:tcPr>
                <w:p w14:paraId="567847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DA001</w:t>
                  </w:r>
                </w:p>
              </w:tc>
              <w:tc>
                <w:tcPr>
                  <w:tcW w:w="1240" w:type="dxa"/>
                  <w:vMerge w:val="restart"/>
                  <w:vAlign w:val="center"/>
                </w:tcPr>
                <w:p w14:paraId="3EAAEED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低氮燃烧+8m高排气筒</w:t>
                  </w:r>
                </w:p>
              </w:tc>
              <w:tc>
                <w:tcPr>
                  <w:tcW w:w="725" w:type="dxa"/>
                  <w:shd w:val="clear" w:color="auto" w:fill="auto"/>
                  <w:vAlign w:val="center"/>
                </w:tcPr>
                <w:p w14:paraId="69CA2F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1.309</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705" w:type="dxa"/>
                  <w:shd w:val="clear" w:color="auto" w:fill="auto"/>
                  <w:vAlign w:val="center"/>
                </w:tcPr>
                <w:p w14:paraId="49F45AD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0.182</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717" w:type="dxa"/>
                  <w:tcBorders>
                    <w:right w:val="single" w:color="auto" w:sz="4" w:space="0"/>
                  </w:tcBorders>
                  <w:shd w:val="clear" w:color="auto" w:fill="auto"/>
                  <w:vAlign w:val="center"/>
                </w:tcPr>
                <w:p w14:paraId="6B9688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28.12</w:t>
                  </w:r>
                </w:p>
              </w:tc>
            </w:tr>
            <w:tr w14:paraId="226E06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67" w:type="dxa"/>
                  <w:vMerge w:val="continue"/>
                  <w:tcBorders>
                    <w:left w:val="single" w:color="auto" w:sz="4" w:space="0"/>
                  </w:tcBorders>
                  <w:vAlign w:val="center"/>
                </w:tcPr>
                <w:p w14:paraId="1F0A8D7F">
                  <w:pPr>
                    <w:adjustRightInd w:val="0"/>
                    <w:snapToGrid w:val="0"/>
                    <w:jc w:val="center"/>
                    <w:rPr>
                      <w:rFonts w:hint="default" w:ascii="Times New Roman" w:hAnsi="Times New Roman" w:eastAsia="宋体" w:cs="Times New Roman"/>
                      <w:color w:val="auto"/>
                      <w:sz w:val="21"/>
                      <w:szCs w:val="21"/>
                    </w:rPr>
                  </w:pPr>
                </w:p>
              </w:tc>
              <w:tc>
                <w:tcPr>
                  <w:tcW w:w="730" w:type="dxa"/>
                  <w:vMerge w:val="continue"/>
                  <w:vAlign w:val="center"/>
                </w:tcPr>
                <w:p w14:paraId="2237538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868" w:type="dxa"/>
                  <w:shd w:val="clear" w:color="auto" w:fill="auto"/>
                  <w:vAlign w:val="center"/>
                </w:tcPr>
                <w:p w14:paraId="708B71C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二氧化硫</w:t>
                  </w:r>
                </w:p>
              </w:tc>
              <w:tc>
                <w:tcPr>
                  <w:tcW w:w="803" w:type="dxa"/>
                  <w:vMerge w:val="continue"/>
                  <w:shd w:val="clear" w:color="auto" w:fill="auto"/>
                  <w:vAlign w:val="center"/>
                </w:tcPr>
                <w:p w14:paraId="2D3439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623" w:type="dxa"/>
                  <w:shd w:val="clear" w:color="auto" w:fill="auto"/>
                  <w:vAlign w:val="center"/>
                </w:tcPr>
                <w:p w14:paraId="05FEB6E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0.518 </w:t>
                  </w:r>
                </w:p>
              </w:tc>
              <w:tc>
                <w:tcPr>
                  <w:tcW w:w="640" w:type="dxa"/>
                  <w:shd w:val="clear" w:color="auto" w:fill="auto"/>
                  <w:vAlign w:val="center"/>
                </w:tcPr>
                <w:p w14:paraId="6903A1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11.14 </w:t>
                  </w:r>
                </w:p>
              </w:tc>
              <w:tc>
                <w:tcPr>
                  <w:tcW w:w="386" w:type="dxa"/>
                  <w:vMerge w:val="continue"/>
                  <w:shd w:val="clear" w:color="auto" w:fill="auto"/>
                  <w:vAlign w:val="center"/>
                </w:tcPr>
                <w:p w14:paraId="6810E07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418" w:type="dxa"/>
                  <w:vMerge w:val="continue"/>
                  <w:shd w:val="clear" w:color="auto" w:fill="auto"/>
                  <w:vAlign w:val="center"/>
                </w:tcPr>
                <w:p w14:paraId="2423072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40" w:type="dxa"/>
                  <w:vMerge w:val="continue"/>
                  <w:shd w:val="clear" w:color="auto" w:fill="auto"/>
                  <w:vAlign w:val="center"/>
                </w:tcPr>
                <w:p w14:paraId="21367D8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25" w:type="dxa"/>
                  <w:shd w:val="clear" w:color="auto" w:fill="auto"/>
                  <w:vAlign w:val="center"/>
                </w:tcPr>
                <w:p w14:paraId="750E038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0.518 </w:t>
                  </w:r>
                </w:p>
              </w:tc>
              <w:tc>
                <w:tcPr>
                  <w:tcW w:w="705" w:type="dxa"/>
                  <w:shd w:val="clear" w:color="auto" w:fill="auto"/>
                  <w:vAlign w:val="center"/>
                </w:tcPr>
                <w:p w14:paraId="399FDC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0.072 </w:t>
                  </w:r>
                </w:p>
              </w:tc>
              <w:tc>
                <w:tcPr>
                  <w:tcW w:w="717" w:type="dxa"/>
                  <w:tcBorders>
                    <w:right w:val="single" w:color="auto" w:sz="4" w:space="0"/>
                  </w:tcBorders>
                  <w:shd w:val="clear" w:color="auto" w:fill="auto"/>
                  <w:vAlign w:val="center"/>
                </w:tcPr>
                <w:p w14:paraId="15C0B7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11.14</w:t>
                  </w:r>
                </w:p>
              </w:tc>
            </w:tr>
            <w:tr w14:paraId="05EB26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67" w:type="dxa"/>
                  <w:vMerge w:val="continue"/>
                  <w:tcBorders>
                    <w:left w:val="single" w:color="auto" w:sz="4" w:space="0"/>
                    <w:bottom w:val="single" w:color="auto" w:sz="4" w:space="0"/>
                  </w:tcBorders>
                  <w:vAlign w:val="center"/>
                </w:tcPr>
                <w:p w14:paraId="56C2EBEC">
                  <w:pPr>
                    <w:adjustRightInd w:val="0"/>
                    <w:snapToGrid w:val="0"/>
                    <w:jc w:val="center"/>
                    <w:rPr>
                      <w:rFonts w:hint="default" w:ascii="Times New Roman" w:hAnsi="Times New Roman" w:eastAsia="宋体" w:cs="Times New Roman"/>
                      <w:color w:val="auto"/>
                      <w:sz w:val="21"/>
                      <w:szCs w:val="21"/>
                    </w:rPr>
                  </w:pPr>
                </w:p>
              </w:tc>
              <w:tc>
                <w:tcPr>
                  <w:tcW w:w="730" w:type="dxa"/>
                  <w:vMerge w:val="continue"/>
                  <w:tcBorders>
                    <w:bottom w:val="single" w:color="auto" w:sz="4" w:space="0"/>
                  </w:tcBorders>
                  <w:vAlign w:val="center"/>
                </w:tcPr>
                <w:p w14:paraId="482CB45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868" w:type="dxa"/>
                  <w:tcBorders>
                    <w:bottom w:val="single" w:color="auto" w:sz="4" w:space="0"/>
                  </w:tcBorders>
                  <w:shd w:val="clear" w:color="auto" w:fill="auto"/>
                  <w:vAlign w:val="center"/>
                </w:tcPr>
                <w:p w14:paraId="07C42C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803" w:type="dxa"/>
                  <w:vMerge w:val="continue"/>
                  <w:tcBorders>
                    <w:bottom w:val="single" w:color="auto" w:sz="4" w:space="0"/>
                  </w:tcBorders>
                  <w:shd w:val="clear" w:color="auto" w:fill="auto"/>
                  <w:vAlign w:val="center"/>
                </w:tcPr>
                <w:p w14:paraId="0AEE1AC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623" w:type="dxa"/>
                  <w:tcBorders>
                    <w:bottom w:val="single" w:color="auto" w:sz="4" w:space="0"/>
                  </w:tcBorders>
                  <w:shd w:val="clear" w:color="auto" w:fill="auto"/>
                  <w:vAlign w:val="center"/>
                </w:tcPr>
                <w:p w14:paraId="4FF7E0E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0.432 </w:t>
                  </w:r>
                </w:p>
              </w:tc>
              <w:tc>
                <w:tcPr>
                  <w:tcW w:w="640" w:type="dxa"/>
                  <w:tcBorders>
                    <w:bottom w:val="single" w:color="auto" w:sz="4" w:space="0"/>
                  </w:tcBorders>
                  <w:shd w:val="clear" w:color="auto" w:fill="auto"/>
                  <w:vAlign w:val="center"/>
                </w:tcPr>
                <w:p w14:paraId="16E0EE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9.28 </w:t>
                  </w:r>
                </w:p>
              </w:tc>
              <w:tc>
                <w:tcPr>
                  <w:tcW w:w="386" w:type="dxa"/>
                  <w:vMerge w:val="continue"/>
                  <w:tcBorders>
                    <w:bottom w:val="single" w:color="auto" w:sz="4" w:space="0"/>
                  </w:tcBorders>
                  <w:shd w:val="clear" w:color="auto" w:fill="auto"/>
                  <w:vAlign w:val="center"/>
                </w:tcPr>
                <w:p w14:paraId="50563A2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418" w:type="dxa"/>
                  <w:vMerge w:val="continue"/>
                  <w:tcBorders>
                    <w:bottom w:val="single" w:color="auto" w:sz="4" w:space="0"/>
                  </w:tcBorders>
                  <w:shd w:val="clear" w:color="auto" w:fill="auto"/>
                  <w:vAlign w:val="center"/>
                </w:tcPr>
                <w:p w14:paraId="42F2736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240" w:type="dxa"/>
                  <w:vMerge w:val="continue"/>
                  <w:tcBorders>
                    <w:bottom w:val="single" w:color="auto" w:sz="4" w:space="0"/>
                  </w:tcBorders>
                  <w:shd w:val="clear" w:color="auto" w:fill="auto"/>
                  <w:vAlign w:val="center"/>
                </w:tcPr>
                <w:p w14:paraId="13D398F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725" w:type="dxa"/>
                  <w:tcBorders>
                    <w:bottom w:val="single" w:color="auto" w:sz="4" w:space="0"/>
                  </w:tcBorders>
                  <w:shd w:val="clear" w:color="auto" w:fill="auto"/>
                  <w:vAlign w:val="center"/>
                </w:tcPr>
                <w:p w14:paraId="65687E1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0.432 </w:t>
                  </w:r>
                </w:p>
              </w:tc>
              <w:tc>
                <w:tcPr>
                  <w:tcW w:w="705" w:type="dxa"/>
                  <w:tcBorders>
                    <w:bottom w:val="single" w:color="auto" w:sz="4" w:space="0"/>
                  </w:tcBorders>
                  <w:shd w:val="clear" w:color="auto" w:fill="auto"/>
                  <w:vAlign w:val="center"/>
                </w:tcPr>
                <w:p w14:paraId="490C3E3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0.060 </w:t>
                  </w:r>
                </w:p>
              </w:tc>
              <w:tc>
                <w:tcPr>
                  <w:tcW w:w="717" w:type="dxa"/>
                  <w:tcBorders>
                    <w:bottom w:val="single" w:color="auto" w:sz="4" w:space="0"/>
                    <w:right w:val="single" w:color="auto" w:sz="4" w:space="0"/>
                  </w:tcBorders>
                  <w:shd w:val="clear" w:color="auto" w:fill="auto"/>
                  <w:vAlign w:val="center"/>
                </w:tcPr>
                <w:p w14:paraId="4BCBE48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9.28</w:t>
                  </w:r>
                </w:p>
              </w:tc>
            </w:tr>
          </w:tbl>
          <w:p w14:paraId="600780AF">
            <w:pPr>
              <w:pStyle w:val="14"/>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表4-3 大气排放口设置情况一览表</w:t>
            </w:r>
          </w:p>
          <w:tbl>
            <w:tblPr>
              <w:tblStyle w:val="7"/>
              <w:tblW w:w="5000" w:type="pct"/>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14"/>
              <w:gridCol w:w="1108"/>
              <w:gridCol w:w="1740"/>
              <w:gridCol w:w="1170"/>
              <w:gridCol w:w="870"/>
              <w:gridCol w:w="855"/>
              <w:gridCol w:w="795"/>
              <w:gridCol w:w="856"/>
            </w:tblGrid>
            <w:tr w14:paraId="264BAA1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03" w:hRule="atLeast"/>
                <w:jc w:val="center"/>
              </w:trPr>
              <w:tc>
                <w:tcPr>
                  <w:tcW w:w="814" w:type="dxa"/>
                  <w:tcBorders>
                    <w:top w:val="single" w:color="auto" w:sz="4" w:space="0"/>
                    <w:left w:val="single" w:color="auto" w:sz="0" w:space="0"/>
                    <w:bottom w:val="single" w:color="auto" w:sz="4" w:space="0"/>
                    <w:right w:val="single" w:color="auto" w:sz="4" w:space="0"/>
                    <w:tl2br w:val="nil"/>
                    <w:tr2bl w:val="nil"/>
                  </w:tcBorders>
                  <w:shd w:val="clear" w:color="auto" w:fill="auto"/>
                  <w:vAlign w:val="center"/>
                </w:tcPr>
                <w:p w14:paraId="3C456E1F">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排放口编号</w:t>
                  </w:r>
                </w:p>
              </w:tc>
              <w:tc>
                <w:tcPr>
                  <w:tcW w:w="110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553690F">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排放口名称</w:t>
                  </w:r>
                </w:p>
              </w:tc>
              <w:tc>
                <w:tcPr>
                  <w:tcW w:w="17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1D7ACAC">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eastAsia" w:cs="Times New Roman"/>
                      <w:b/>
                      <w:bCs/>
                      <w:i w:val="0"/>
                      <w:iCs w:val="0"/>
                      <w:color w:val="auto"/>
                      <w:kern w:val="0"/>
                      <w:sz w:val="21"/>
                      <w:szCs w:val="21"/>
                      <w:u w:val="none"/>
                      <w:lang w:val="en-US" w:eastAsia="zh-CN" w:bidi="ar"/>
                    </w:rPr>
                    <w:t>坐标</w:t>
                  </w:r>
                </w:p>
              </w:tc>
              <w:tc>
                <w:tcPr>
                  <w:tcW w:w="117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B3B5074">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污染物种类</w:t>
                  </w:r>
                </w:p>
              </w:tc>
              <w:tc>
                <w:tcPr>
                  <w:tcW w:w="87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99A7357">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排气筒高度/m</w:t>
                  </w:r>
                </w:p>
              </w:tc>
              <w:tc>
                <w:tcPr>
                  <w:tcW w:w="8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0D6BFE4">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排气筒内径/m</w:t>
                  </w:r>
                </w:p>
              </w:tc>
              <w:tc>
                <w:tcPr>
                  <w:tcW w:w="79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FA2A943">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排气温度/℃</w:t>
                  </w:r>
                </w:p>
              </w:tc>
              <w:tc>
                <w:tcPr>
                  <w:tcW w:w="8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1998D4E">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排放口类型</w:t>
                  </w:r>
                </w:p>
              </w:tc>
            </w:tr>
            <w:tr w14:paraId="4F3C3BEB">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jc w:val="center"/>
              </w:trPr>
              <w:tc>
                <w:tcPr>
                  <w:tcW w:w="814"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AD9F9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P1</w:t>
                  </w:r>
                </w:p>
              </w:tc>
              <w:tc>
                <w:tcPr>
                  <w:tcW w:w="1108"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8DF181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天然气锅炉废气排放口</w:t>
                  </w:r>
                </w:p>
              </w:tc>
              <w:tc>
                <w:tcPr>
                  <w:tcW w:w="174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7CFEA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E</w:t>
                  </w:r>
                  <w:r>
                    <w:rPr>
                      <w:rFonts w:hint="default" w:ascii="Times New Roman" w:hAnsi="Times New Roman" w:eastAsia="宋体" w:cs="Times New Roman"/>
                      <w:i w:val="0"/>
                      <w:iCs w:val="0"/>
                      <w:color w:val="auto"/>
                      <w:kern w:val="0"/>
                      <w:sz w:val="21"/>
                      <w:szCs w:val="21"/>
                      <w:u w:val="none"/>
                      <w:lang w:val="en-US" w:eastAsia="zh-CN" w:bidi="ar"/>
                    </w:rPr>
                    <w:t>108°44′6.191″</w:t>
                  </w:r>
                </w:p>
                <w:p w14:paraId="656AFAA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N</w:t>
                  </w:r>
                  <w:r>
                    <w:rPr>
                      <w:rFonts w:hint="default" w:ascii="Times New Roman" w:hAnsi="Times New Roman" w:eastAsia="宋体" w:cs="Times New Roman"/>
                      <w:i w:val="0"/>
                      <w:iCs w:val="0"/>
                      <w:color w:val="auto"/>
                      <w:kern w:val="0"/>
                      <w:sz w:val="21"/>
                      <w:szCs w:val="21"/>
                      <w:u w:val="none"/>
                      <w:lang w:val="en-US" w:eastAsia="zh-CN" w:bidi="ar"/>
                    </w:rPr>
                    <w:t>39°48′52.569″</w:t>
                  </w:r>
                </w:p>
              </w:tc>
              <w:tc>
                <w:tcPr>
                  <w:tcW w:w="117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65E16F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氮氧化物</w:t>
                  </w:r>
                </w:p>
              </w:tc>
              <w:tc>
                <w:tcPr>
                  <w:tcW w:w="87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18123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w:t>
                  </w:r>
                </w:p>
              </w:tc>
              <w:tc>
                <w:tcPr>
                  <w:tcW w:w="855"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BE12D1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w:t>
                  </w:r>
                </w:p>
              </w:tc>
              <w:tc>
                <w:tcPr>
                  <w:tcW w:w="795"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E74276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80</w:t>
                  </w:r>
                </w:p>
              </w:tc>
              <w:tc>
                <w:tcPr>
                  <w:tcW w:w="856"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510E5CA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主要排放口</w:t>
                  </w:r>
                </w:p>
              </w:tc>
            </w:tr>
            <w:tr w14:paraId="6D9F4ECC">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jc w:val="center"/>
              </w:trPr>
              <w:tc>
                <w:tcPr>
                  <w:tcW w:w="814" w:type="dxa"/>
                  <w:vMerge w:val="continue"/>
                  <w:tcBorders>
                    <w:top w:val="single" w:color="auto" w:sz="4" w:space="0"/>
                    <w:left w:val="single" w:color="auto" w:sz="4" w:space="0"/>
                    <w:tl2br w:val="nil"/>
                    <w:tr2bl w:val="nil"/>
                  </w:tcBorders>
                  <w:shd w:val="clear" w:color="auto" w:fill="auto"/>
                  <w:vAlign w:val="center"/>
                </w:tcPr>
                <w:p w14:paraId="404B67F4">
                  <w:pPr>
                    <w:jc w:val="center"/>
                    <w:rPr>
                      <w:rFonts w:hint="default" w:ascii="Times New Roman" w:hAnsi="Times New Roman" w:eastAsia="宋体" w:cs="Times New Roman"/>
                      <w:i w:val="0"/>
                      <w:iCs w:val="0"/>
                      <w:color w:val="auto"/>
                      <w:sz w:val="20"/>
                      <w:szCs w:val="20"/>
                      <w:u w:val="none"/>
                    </w:rPr>
                  </w:pPr>
                </w:p>
              </w:tc>
              <w:tc>
                <w:tcPr>
                  <w:tcW w:w="1108" w:type="dxa"/>
                  <w:vMerge w:val="continue"/>
                  <w:tcBorders>
                    <w:top w:val="single" w:color="auto" w:sz="4" w:space="0"/>
                    <w:tl2br w:val="nil"/>
                    <w:tr2bl w:val="nil"/>
                  </w:tcBorders>
                  <w:shd w:val="clear" w:color="auto" w:fill="auto"/>
                  <w:vAlign w:val="center"/>
                </w:tcPr>
                <w:p w14:paraId="30541ADF">
                  <w:pPr>
                    <w:jc w:val="center"/>
                    <w:rPr>
                      <w:rFonts w:hint="default" w:ascii="Times New Roman" w:hAnsi="Times New Roman" w:eastAsia="宋体" w:cs="Times New Roman"/>
                      <w:i w:val="0"/>
                      <w:iCs w:val="0"/>
                      <w:color w:val="auto"/>
                      <w:sz w:val="20"/>
                      <w:szCs w:val="20"/>
                      <w:u w:val="none"/>
                    </w:rPr>
                  </w:pPr>
                </w:p>
              </w:tc>
              <w:tc>
                <w:tcPr>
                  <w:tcW w:w="1740" w:type="dxa"/>
                  <w:vMerge w:val="continue"/>
                  <w:tcBorders>
                    <w:top w:val="single" w:color="auto" w:sz="4" w:space="0"/>
                    <w:tl2br w:val="nil"/>
                    <w:tr2bl w:val="nil"/>
                  </w:tcBorders>
                  <w:shd w:val="clear" w:color="auto" w:fill="auto"/>
                  <w:vAlign w:val="center"/>
                </w:tcPr>
                <w:p w14:paraId="7F9EBC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170" w:type="dxa"/>
                  <w:tcBorders>
                    <w:top w:val="single" w:color="auto" w:sz="4" w:space="0"/>
                    <w:tl2br w:val="nil"/>
                    <w:tr2bl w:val="nil"/>
                  </w:tcBorders>
                  <w:shd w:val="clear" w:color="auto" w:fill="auto"/>
                  <w:vAlign w:val="center"/>
                </w:tcPr>
                <w:p w14:paraId="0D3E3A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二氧化硫</w:t>
                  </w:r>
                </w:p>
              </w:tc>
              <w:tc>
                <w:tcPr>
                  <w:tcW w:w="870" w:type="dxa"/>
                  <w:vMerge w:val="continue"/>
                  <w:tcBorders>
                    <w:top w:val="single" w:color="auto" w:sz="4" w:space="0"/>
                    <w:tl2br w:val="nil"/>
                    <w:tr2bl w:val="nil"/>
                  </w:tcBorders>
                  <w:shd w:val="clear" w:color="auto" w:fill="auto"/>
                  <w:vAlign w:val="center"/>
                </w:tcPr>
                <w:p w14:paraId="1F125AFD">
                  <w:pPr>
                    <w:jc w:val="center"/>
                    <w:rPr>
                      <w:rFonts w:hint="default" w:ascii="Times New Roman" w:hAnsi="Times New Roman" w:eastAsia="宋体" w:cs="Times New Roman"/>
                      <w:i w:val="0"/>
                      <w:iCs w:val="0"/>
                      <w:color w:val="auto"/>
                      <w:sz w:val="20"/>
                      <w:szCs w:val="20"/>
                      <w:u w:val="none"/>
                    </w:rPr>
                  </w:pPr>
                </w:p>
              </w:tc>
              <w:tc>
                <w:tcPr>
                  <w:tcW w:w="855" w:type="dxa"/>
                  <w:vMerge w:val="continue"/>
                  <w:tcBorders>
                    <w:top w:val="single" w:color="auto" w:sz="4" w:space="0"/>
                    <w:tl2br w:val="nil"/>
                    <w:tr2bl w:val="nil"/>
                  </w:tcBorders>
                  <w:shd w:val="clear" w:color="auto" w:fill="auto"/>
                  <w:vAlign w:val="center"/>
                </w:tcPr>
                <w:p w14:paraId="6DF45A73">
                  <w:pPr>
                    <w:jc w:val="center"/>
                    <w:rPr>
                      <w:rFonts w:hint="default" w:ascii="Times New Roman" w:hAnsi="Times New Roman" w:eastAsia="宋体" w:cs="Times New Roman"/>
                      <w:i w:val="0"/>
                      <w:iCs w:val="0"/>
                      <w:color w:val="auto"/>
                      <w:sz w:val="20"/>
                      <w:szCs w:val="20"/>
                      <w:u w:val="none"/>
                    </w:rPr>
                  </w:pPr>
                </w:p>
              </w:tc>
              <w:tc>
                <w:tcPr>
                  <w:tcW w:w="795" w:type="dxa"/>
                  <w:vMerge w:val="continue"/>
                  <w:tcBorders>
                    <w:top w:val="single" w:color="auto" w:sz="4" w:space="0"/>
                    <w:tl2br w:val="nil"/>
                    <w:tr2bl w:val="nil"/>
                  </w:tcBorders>
                  <w:shd w:val="clear" w:color="auto" w:fill="auto"/>
                  <w:vAlign w:val="center"/>
                </w:tcPr>
                <w:p w14:paraId="0BD087EC">
                  <w:pPr>
                    <w:jc w:val="center"/>
                    <w:rPr>
                      <w:rFonts w:hint="default" w:ascii="Times New Roman" w:hAnsi="Times New Roman" w:eastAsia="宋体" w:cs="Times New Roman"/>
                      <w:i w:val="0"/>
                      <w:iCs w:val="0"/>
                      <w:color w:val="auto"/>
                      <w:sz w:val="20"/>
                      <w:szCs w:val="20"/>
                      <w:u w:val="none"/>
                    </w:rPr>
                  </w:pPr>
                </w:p>
              </w:tc>
              <w:tc>
                <w:tcPr>
                  <w:tcW w:w="856" w:type="dxa"/>
                  <w:vMerge w:val="continue"/>
                  <w:tcBorders>
                    <w:top w:val="single" w:color="auto" w:sz="4" w:space="0"/>
                    <w:right w:val="single" w:color="auto" w:sz="4" w:space="0"/>
                    <w:tl2br w:val="nil"/>
                    <w:tr2bl w:val="nil"/>
                  </w:tcBorders>
                  <w:shd w:val="clear" w:color="auto" w:fill="auto"/>
                  <w:vAlign w:val="center"/>
                </w:tcPr>
                <w:p w14:paraId="6CA238E5">
                  <w:pPr>
                    <w:jc w:val="left"/>
                    <w:rPr>
                      <w:rFonts w:hint="default" w:ascii="Times New Roman" w:hAnsi="Times New Roman" w:eastAsia="宋体" w:cs="Times New Roman"/>
                      <w:i w:val="0"/>
                      <w:iCs w:val="0"/>
                      <w:color w:val="auto"/>
                      <w:sz w:val="20"/>
                      <w:szCs w:val="20"/>
                      <w:u w:val="none"/>
                    </w:rPr>
                  </w:pPr>
                </w:p>
              </w:tc>
            </w:tr>
            <w:tr w14:paraId="4631DD7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45" w:hRule="atLeast"/>
                <w:jc w:val="center"/>
              </w:trPr>
              <w:tc>
                <w:tcPr>
                  <w:tcW w:w="814" w:type="dxa"/>
                  <w:vMerge w:val="continue"/>
                  <w:tcBorders>
                    <w:left w:val="single" w:color="auto" w:sz="4" w:space="0"/>
                    <w:tl2br w:val="nil"/>
                    <w:tr2bl w:val="nil"/>
                  </w:tcBorders>
                  <w:shd w:val="clear" w:color="auto" w:fill="auto"/>
                  <w:vAlign w:val="center"/>
                </w:tcPr>
                <w:p w14:paraId="1B842AF8">
                  <w:pPr>
                    <w:jc w:val="center"/>
                    <w:rPr>
                      <w:rFonts w:hint="default" w:ascii="Times New Roman" w:hAnsi="Times New Roman" w:eastAsia="宋体" w:cs="Times New Roman"/>
                      <w:i w:val="0"/>
                      <w:iCs w:val="0"/>
                      <w:color w:val="auto"/>
                      <w:sz w:val="20"/>
                      <w:szCs w:val="20"/>
                      <w:u w:val="none"/>
                    </w:rPr>
                  </w:pPr>
                </w:p>
              </w:tc>
              <w:tc>
                <w:tcPr>
                  <w:tcW w:w="1108" w:type="dxa"/>
                  <w:vMerge w:val="continue"/>
                  <w:tcBorders>
                    <w:tl2br w:val="nil"/>
                    <w:tr2bl w:val="nil"/>
                  </w:tcBorders>
                  <w:shd w:val="clear" w:color="auto" w:fill="auto"/>
                  <w:vAlign w:val="center"/>
                </w:tcPr>
                <w:p w14:paraId="3689CA6E">
                  <w:pPr>
                    <w:jc w:val="center"/>
                    <w:rPr>
                      <w:rFonts w:hint="default" w:ascii="Times New Roman" w:hAnsi="Times New Roman" w:eastAsia="宋体" w:cs="Times New Roman"/>
                      <w:i w:val="0"/>
                      <w:iCs w:val="0"/>
                      <w:color w:val="auto"/>
                      <w:sz w:val="20"/>
                      <w:szCs w:val="20"/>
                      <w:u w:val="none"/>
                    </w:rPr>
                  </w:pPr>
                </w:p>
              </w:tc>
              <w:tc>
                <w:tcPr>
                  <w:tcW w:w="1740" w:type="dxa"/>
                  <w:vMerge w:val="continue"/>
                  <w:tcBorders>
                    <w:tl2br w:val="nil"/>
                    <w:tr2bl w:val="nil"/>
                  </w:tcBorders>
                  <w:shd w:val="clear" w:color="auto" w:fill="auto"/>
                  <w:vAlign w:val="center"/>
                </w:tcPr>
                <w:p w14:paraId="0170DB6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p>
              </w:tc>
              <w:tc>
                <w:tcPr>
                  <w:tcW w:w="1170" w:type="dxa"/>
                  <w:tcBorders>
                    <w:tl2br w:val="nil"/>
                    <w:tr2bl w:val="nil"/>
                  </w:tcBorders>
                  <w:shd w:val="clear" w:color="auto" w:fill="auto"/>
                  <w:vAlign w:val="center"/>
                </w:tcPr>
                <w:p w14:paraId="34B523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颗粒物</w:t>
                  </w:r>
                </w:p>
              </w:tc>
              <w:tc>
                <w:tcPr>
                  <w:tcW w:w="870" w:type="dxa"/>
                  <w:vMerge w:val="continue"/>
                  <w:tcBorders>
                    <w:tl2br w:val="nil"/>
                    <w:tr2bl w:val="nil"/>
                  </w:tcBorders>
                  <w:shd w:val="clear" w:color="auto" w:fill="auto"/>
                  <w:vAlign w:val="center"/>
                </w:tcPr>
                <w:p w14:paraId="7A66EBB4">
                  <w:pPr>
                    <w:jc w:val="center"/>
                    <w:rPr>
                      <w:rFonts w:hint="default" w:ascii="Times New Roman" w:hAnsi="Times New Roman" w:eastAsia="宋体" w:cs="Times New Roman"/>
                      <w:i w:val="0"/>
                      <w:iCs w:val="0"/>
                      <w:color w:val="auto"/>
                      <w:sz w:val="20"/>
                      <w:szCs w:val="20"/>
                      <w:u w:val="none"/>
                    </w:rPr>
                  </w:pPr>
                </w:p>
              </w:tc>
              <w:tc>
                <w:tcPr>
                  <w:tcW w:w="855" w:type="dxa"/>
                  <w:vMerge w:val="continue"/>
                  <w:tcBorders>
                    <w:tl2br w:val="nil"/>
                    <w:tr2bl w:val="nil"/>
                  </w:tcBorders>
                  <w:shd w:val="clear" w:color="auto" w:fill="auto"/>
                  <w:vAlign w:val="center"/>
                </w:tcPr>
                <w:p w14:paraId="6AD59124">
                  <w:pPr>
                    <w:jc w:val="center"/>
                    <w:rPr>
                      <w:rFonts w:hint="default" w:ascii="Times New Roman" w:hAnsi="Times New Roman" w:eastAsia="宋体" w:cs="Times New Roman"/>
                      <w:i w:val="0"/>
                      <w:iCs w:val="0"/>
                      <w:color w:val="auto"/>
                      <w:sz w:val="20"/>
                      <w:szCs w:val="20"/>
                      <w:u w:val="none"/>
                    </w:rPr>
                  </w:pPr>
                </w:p>
              </w:tc>
              <w:tc>
                <w:tcPr>
                  <w:tcW w:w="795" w:type="dxa"/>
                  <w:vMerge w:val="continue"/>
                  <w:tcBorders>
                    <w:tl2br w:val="nil"/>
                    <w:tr2bl w:val="nil"/>
                  </w:tcBorders>
                  <w:shd w:val="clear" w:color="auto" w:fill="auto"/>
                  <w:vAlign w:val="center"/>
                </w:tcPr>
                <w:p w14:paraId="466CB8CF">
                  <w:pPr>
                    <w:jc w:val="center"/>
                    <w:rPr>
                      <w:rFonts w:hint="default" w:ascii="Times New Roman" w:hAnsi="Times New Roman" w:eastAsia="宋体" w:cs="Times New Roman"/>
                      <w:i w:val="0"/>
                      <w:iCs w:val="0"/>
                      <w:color w:val="auto"/>
                      <w:sz w:val="20"/>
                      <w:szCs w:val="20"/>
                      <w:u w:val="none"/>
                    </w:rPr>
                  </w:pPr>
                </w:p>
              </w:tc>
              <w:tc>
                <w:tcPr>
                  <w:tcW w:w="856" w:type="dxa"/>
                  <w:vMerge w:val="continue"/>
                  <w:tcBorders>
                    <w:right w:val="single" w:color="auto" w:sz="4" w:space="0"/>
                    <w:tl2br w:val="nil"/>
                    <w:tr2bl w:val="nil"/>
                  </w:tcBorders>
                  <w:shd w:val="clear" w:color="auto" w:fill="auto"/>
                  <w:vAlign w:val="center"/>
                </w:tcPr>
                <w:p w14:paraId="6BC58777">
                  <w:pPr>
                    <w:jc w:val="left"/>
                    <w:rPr>
                      <w:rFonts w:hint="default" w:ascii="Times New Roman" w:hAnsi="Times New Roman" w:eastAsia="宋体" w:cs="Times New Roman"/>
                      <w:i w:val="0"/>
                      <w:iCs w:val="0"/>
                      <w:color w:val="auto"/>
                      <w:sz w:val="20"/>
                      <w:szCs w:val="20"/>
                      <w:u w:val="none"/>
                    </w:rPr>
                  </w:pPr>
                </w:p>
              </w:tc>
            </w:tr>
          </w:tbl>
          <w:p w14:paraId="7C2AD78C">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综上，经过排气筒DA001的氮氧化物排放量为</w:t>
            </w:r>
            <w:r>
              <w:rPr>
                <w:rFonts w:hint="eastAsia" w:cs="Times New Roman"/>
                <w:bCs/>
                <w:color w:val="auto"/>
                <w:sz w:val="24"/>
                <w:lang w:val="en-US" w:eastAsia="zh-CN"/>
              </w:rPr>
              <w:t>1.309</w:t>
            </w:r>
            <w:r>
              <w:rPr>
                <w:rFonts w:hint="default" w:ascii="Times New Roman" w:hAnsi="Times New Roman" w:eastAsia="宋体" w:cs="Times New Roman"/>
                <w:bCs/>
                <w:color w:val="auto"/>
                <w:sz w:val="24"/>
                <w:lang w:val="en-US" w:eastAsia="zh-CN"/>
              </w:rPr>
              <w:t>t/a，排放速率为</w:t>
            </w:r>
            <w:r>
              <w:rPr>
                <w:rFonts w:hint="eastAsia" w:cs="Times New Roman"/>
                <w:bCs/>
                <w:color w:val="auto"/>
                <w:sz w:val="24"/>
                <w:lang w:val="en-US" w:eastAsia="zh-CN"/>
              </w:rPr>
              <w:t>0.182</w:t>
            </w:r>
            <w:r>
              <w:rPr>
                <w:rFonts w:hint="default" w:ascii="Times New Roman" w:hAnsi="Times New Roman" w:eastAsia="宋体" w:cs="Times New Roman"/>
                <w:bCs/>
                <w:color w:val="auto"/>
                <w:sz w:val="24"/>
                <w:lang w:val="en-US" w:eastAsia="zh-CN"/>
              </w:rPr>
              <w:t>kg/h，排放浓度为</w:t>
            </w:r>
            <w:r>
              <w:rPr>
                <w:rFonts w:hint="eastAsia" w:cs="Times New Roman"/>
                <w:bCs/>
                <w:color w:val="auto"/>
                <w:sz w:val="24"/>
                <w:lang w:val="en-US" w:eastAsia="zh-CN"/>
              </w:rPr>
              <w:t>28.12</w:t>
            </w:r>
            <w:r>
              <w:rPr>
                <w:rFonts w:hint="default" w:ascii="Times New Roman" w:hAnsi="Times New Roman" w:eastAsia="宋体" w:cs="Times New Roman"/>
                <w:bCs/>
                <w:color w:val="auto"/>
                <w:sz w:val="24"/>
                <w:lang w:val="en-US" w:eastAsia="zh-CN"/>
              </w:rPr>
              <w:t>mg/</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vertAlign w:val="baseline"/>
                <w:lang w:val="en-US" w:eastAsia="zh-CN"/>
              </w:rPr>
              <w:t>；二氧化硫排放量为0.518t/a，排放速率为0.072kg/h，排放浓度为11.14mg/m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vertAlign w:val="baseline"/>
                <w:lang w:val="en-US" w:eastAsia="zh-CN"/>
              </w:rPr>
              <w:t>；</w:t>
            </w:r>
            <w:r>
              <w:rPr>
                <w:rFonts w:hint="default" w:ascii="Times New Roman" w:hAnsi="Times New Roman" w:eastAsia="宋体" w:cs="Times New Roman"/>
                <w:bCs/>
                <w:color w:val="auto"/>
                <w:sz w:val="24"/>
                <w:lang w:val="en-US" w:eastAsia="zh-CN"/>
              </w:rPr>
              <w:t>颗粒物排放量为0.432t/a，排放速率为0.060kg/h，排放浓度为9.28mg/</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w:t>
            </w:r>
          </w:p>
          <w:p w14:paraId="45C2844A">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color w:val="auto"/>
                <w:kern w:val="21"/>
                <w:sz w:val="24"/>
              </w:rPr>
            </w:pPr>
            <w:r>
              <w:rPr>
                <w:rFonts w:hint="default" w:ascii="Times New Roman" w:hAnsi="Times New Roman" w:eastAsia="宋体" w:cs="Times New Roman"/>
                <w:b/>
                <w:color w:val="auto"/>
                <w:kern w:val="21"/>
                <w:sz w:val="24"/>
              </w:rPr>
              <w:t>1.2废气达标排放分析</w:t>
            </w:r>
          </w:p>
          <w:p w14:paraId="09756DD7">
            <w:pPr>
              <w:pStyle w:val="3"/>
              <w:adjustRightInd w:val="0"/>
              <w:snapToGrid w:val="0"/>
              <w:spacing w:before="0" w:beforeAutospacing="0" w:after="0" w:afterAutospacing="0" w:line="360" w:lineRule="auto"/>
              <w:ind w:firstLine="480" w:firstLineChars="200"/>
              <w:jc w:val="both"/>
              <w:rPr>
                <w:rFonts w:hint="default" w:ascii="Times New Roman" w:hAnsi="Times New Roman" w:eastAsia="宋体" w:cs="Times New Roman"/>
                <w:bCs/>
                <w:color w:val="auto"/>
                <w:kern w:val="21"/>
                <w:szCs w:val="24"/>
                <w:lang w:val="en-US"/>
              </w:rPr>
            </w:pPr>
            <w:r>
              <w:rPr>
                <w:rFonts w:hint="default" w:ascii="Times New Roman" w:hAnsi="Times New Roman" w:eastAsia="宋体" w:cs="Times New Roman"/>
                <w:bCs/>
                <w:color w:val="auto"/>
                <w:kern w:val="21"/>
                <w:szCs w:val="24"/>
              </w:rPr>
              <w:t>本项目燃气锅炉所用天然气经低氮燃烧，</w:t>
            </w:r>
            <w:r>
              <w:rPr>
                <w:rFonts w:hint="default" w:ascii="Times New Roman" w:hAnsi="Times New Roman" w:eastAsia="宋体" w:cs="Times New Roman"/>
                <w:bCs/>
                <w:color w:val="auto"/>
                <w:kern w:val="21"/>
                <w:szCs w:val="24"/>
                <w:lang w:val="en-US" w:eastAsia="zh-CN"/>
              </w:rPr>
              <w:t>产生的</w:t>
            </w:r>
            <w:r>
              <w:rPr>
                <w:rFonts w:hint="default" w:ascii="Times New Roman" w:hAnsi="Times New Roman" w:eastAsia="宋体" w:cs="Times New Roman"/>
                <w:bCs/>
                <w:color w:val="auto"/>
                <w:kern w:val="21"/>
                <w:szCs w:val="24"/>
              </w:rPr>
              <w:t>颗粒物、氮氧化物、</w:t>
            </w:r>
            <w:r>
              <w:rPr>
                <w:rFonts w:hint="default" w:ascii="Times New Roman" w:hAnsi="Times New Roman" w:eastAsia="宋体" w:cs="Times New Roman"/>
                <w:bCs/>
                <w:color w:val="auto"/>
                <w:kern w:val="21"/>
                <w:szCs w:val="24"/>
                <w:lang w:val="en-US" w:eastAsia="zh-CN"/>
              </w:rPr>
              <w:t>二氧化硫、</w:t>
            </w:r>
            <w:r>
              <w:rPr>
                <w:rFonts w:hint="default" w:ascii="Times New Roman" w:hAnsi="Times New Roman" w:eastAsia="宋体" w:cs="Times New Roman"/>
                <w:bCs/>
                <w:color w:val="auto"/>
                <w:kern w:val="21"/>
                <w:szCs w:val="24"/>
              </w:rPr>
              <w:t>烟气林格曼黑度</w:t>
            </w:r>
            <w:r>
              <w:rPr>
                <w:rFonts w:hint="eastAsia" w:ascii="Times New Roman" w:hAnsi="Times New Roman" w:cs="Times New Roman"/>
                <w:bCs/>
                <w:color w:val="auto"/>
                <w:kern w:val="21"/>
                <w:szCs w:val="24"/>
                <w:lang w:eastAsia="zh-CN"/>
              </w:rPr>
              <w:t>等</w:t>
            </w:r>
            <w:r>
              <w:rPr>
                <w:rFonts w:hint="default" w:ascii="Times New Roman" w:hAnsi="Times New Roman" w:eastAsia="宋体" w:cs="Times New Roman"/>
                <w:bCs/>
                <w:color w:val="auto"/>
                <w:kern w:val="21"/>
                <w:szCs w:val="24"/>
              </w:rPr>
              <w:t>排放</w:t>
            </w:r>
            <w:r>
              <w:rPr>
                <w:rFonts w:hint="default" w:ascii="Times New Roman" w:hAnsi="Times New Roman" w:eastAsia="宋体" w:cs="Times New Roman"/>
                <w:bCs/>
                <w:color w:val="auto"/>
                <w:kern w:val="21"/>
                <w:szCs w:val="24"/>
                <w:lang w:val="en-US" w:eastAsia="zh-CN"/>
              </w:rPr>
              <w:t>浓度限值</w:t>
            </w:r>
            <w:r>
              <w:rPr>
                <w:rFonts w:hint="default" w:ascii="Times New Roman" w:hAnsi="Times New Roman" w:eastAsia="宋体" w:cs="Times New Roman"/>
                <w:bCs/>
                <w:color w:val="auto"/>
                <w:kern w:val="21"/>
                <w:szCs w:val="24"/>
              </w:rPr>
              <w:t>能够满足《锅炉大气污染物排放标准》（GB13271-2014）新建燃气锅炉标准</w:t>
            </w:r>
            <w:r>
              <w:rPr>
                <w:rFonts w:hint="default" w:ascii="Times New Roman" w:hAnsi="Times New Roman" w:eastAsia="宋体" w:cs="Times New Roman"/>
                <w:bCs/>
                <w:color w:val="auto"/>
                <w:kern w:val="21"/>
                <w:szCs w:val="24"/>
                <w:lang w:eastAsia="zh-CN"/>
              </w:rPr>
              <w:t>，</w:t>
            </w:r>
            <w:r>
              <w:rPr>
                <w:rFonts w:hint="default" w:ascii="Times New Roman" w:hAnsi="Times New Roman" w:eastAsia="宋体" w:cs="Times New Roman"/>
                <w:bCs/>
                <w:color w:val="auto"/>
                <w:kern w:val="21"/>
                <w:szCs w:val="24"/>
                <w:lang w:val="en-US" w:eastAsia="zh-CN"/>
              </w:rPr>
              <w:t>然</w:t>
            </w:r>
            <w:r>
              <w:rPr>
                <w:rFonts w:hint="default" w:ascii="Times New Roman" w:hAnsi="Times New Roman" w:eastAsia="宋体" w:cs="Times New Roman"/>
                <w:bCs/>
                <w:color w:val="auto"/>
                <w:kern w:val="21"/>
                <w:szCs w:val="24"/>
              </w:rPr>
              <w:t>后通过</w:t>
            </w:r>
            <w:r>
              <w:rPr>
                <w:rFonts w:hint="default" w:ascii="Times New Roman" w:hAnsi="Times New Roman" w:eastAsia="宋体" w:cs="Times New Roman"/>
                <w:bCs/>
                <w:color w:val="auto"/>
                <w:kern w:val="21"/>
                <w:szCs w:val="24"/>
                <w:lang w:eastAsia="zh-CN"/>
              </w:rPr>
              <w:t>8m</w:t>
            </w:r>
            <w:r>
              <w:rPr>
                <w:rFonts w:hint="default" w:ascii="Times New Roman" w:hAnsi="Times New Roman" w:eastAsia="宋体" w:cs="Times New Roman"/>
                <w:bCs/>
                <w:color w:val="auto"/>
                <w:kern w:val="21"/>
                <w:szCs w:val="24"/>
              </w:rPr>
              <w:t>排气筒DA00</w:t>
            </w:r>
            <w:r>
              <w:rPr>
                <w:rFonts w:hint="default" w:ascii="Times New Roman" w:hAnsi="Times New Roman" w:eastAsia="宋体" w:cs="Times New Roman"/>
                <w:bCs/>
                <w:color w:val="auto"/>
                <w:kern w:val="21"/>
                <w:szCs w:val="24"/>
                <w:lang w:val="en-US" w:eastAsia="zh-CN"/>
              </w:rPr>
              <w:t>1</w:t>
            </w:r>
            <w:r>
              <w:rPr>
                <w:rFonts w:hint="default" w:ascii="Times New Roman" w:hAnsi="Times New Roman" w:eastAsia="宋体" w:cs="Times New Roman"/>
                <w:bCs/>
                <w:color w:val="auto"/>
                <w:kern w:val="21"/>
                <w:szCs w:val="24"/>
              </w:rPr>
              <w:t>达标排放。</w:t>
            </w:r>
          </w:p>
          <w:p w14:paraId="4EE3EA5F">
            <w:pPr>
              <w:spacing w:line="360" w:lineRule="auto"/>
              <w:ind w:firstLine="482" w:firstLineChars="200"/>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1.3监测计划</w:t>
            </w:r>
          </w:p>
          <w:p w14:paraId="18A31787">
            <w:pPr>
              <w:spacing w:line="360" w:lineRule="auto"/>
              <w:ind w:firstLine="480" w:firstLineChars="200"/>
              <w:rPr>
                <w:rFonts w:hint="default" w:ascii="Times New Roman" w:hAnsi="Times New Roman" w:eastAsia="宋体" w:cs="Times New Roman"/>
                <w:color w:val="auto"/>
                <w:kern w:val="0"/>
                <w:sz w:val="24"/>
                <w:szCs w:val="20"/>
              </w:rPr>
            </w:pPr>
            <w:r>
              <w:rPr>
                <w:rFonts w:hint="default" w:ascii="Times New Roman" w:hAnsi="Times New Roman" w:eastAsia="宋体" w:cs="Times New Roman"/>
                <w:color w:val="auto"/>
                <w:kern w:val="0"/>
                <w:sz w:val="24"/>
                <w:szCs w:val="20"/>
              </w:rPr>
              <w:t>废气自行监测计划参照《排污单位自行监测技术指南火力发电及锅炉》</w:t>
            </w: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rPr>
              <w:t>HJ820-2017</w:t>
            </w: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rPr>
              <w:t>和《排污单位自行监测技术指南 中药、生物药品制品、化学药品制剂制造业》</w:t>
            </w: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rPr>
              <w:t>HJ1256-2022</w:t>
            </w:r>
            <w:r>
              <w:rPr>
                <w:rFonts w:hint="default" w:ascii="Times New Roman" w:hAnsi="Times New Roman" w:eastAsia="宋体" w:cs="Times New Roman"/>
                <w:color w:val="auto"/>
                <w:kern w:val="0"/>
                <w:sz w:val="24"/>
                <w:szCs w:val="20"/>
                <w:lang w:eastAsia="zh-CN"/>
              </w:rPr>
              <w:t>）</w:t>
            </w:r>
            <w:r>
              <w:rPr>
                <w:rFonts w:hint="default" w:ascii="Times New Roman" w:hAnsi="Times New Roman" w:eastAsia="宋体" w:cs="Times New Roman"/>
                <w:color w:val="auto"/>
                <w:kern w:val="0"/>
                <w:sz w:val="24"/>
                <w:szCs w:val="20"/>
              </w:rPr>
              <w:t>中的相关规定进行，本项目大气监测的监测点位、监测因子和频次见表4-</w:t>
            </w:r>
            <w:r>
              <w:rPr>
                <w:rFonts w:hint="default" w:ascii="Times New Roman" w:hAnsi="Times New Roman" w:eastAsia="宋体" w:cs="Times New Roman"/>
                <w:color w:val="auto"/>
                <w:kern w:val="0"/>
                <w:sz w:val="24"/>
                <w:szCs w:val="20"/>
                <w:lang w:val="en-US" w:eastAsia="zh-CN"/>
              </w:rPr>
              <w:t>4</w:t>
            </w:r>
            <w:r>
              <w:rPr>
                <w:rFonts w:hint="default" w:ascii="Times New Roman" w:hAnsi="Times New Roman" w:eastAsia="宋体" w:cs="Times New Roman"/>
                <w:color w:val="auto"/>
                <w:kern w:val="0"/>
                <w:sz w:val="24"/>
                <w:szCs w:val="20"/>
              </w:rPr>
              <w:t>。</w:t>
            </w:r>
          </w:p>
          <w:p w14:paraId="1963713A">
            <w:pPr>
              <w:adjustRightInd w:val="0"/>
              <w:snapToGrid w:val="0"/>
              <w:jc w:val="center"/>
              <w:rPr>
                <w:rFonts w:hint="default" w:ascii="Times New Roman" w:hAnsi="Times New Roman" w:eastAsia="宋体" w:cs="Times New Roman"/>
                <w:b/>
                <w:bCs/>
                <w:color w:val="auto"/>
                <w:sz w:val="24"/>
              </w:rPr>
            </w:pPr>
          </w:p>
          <w:p w14:paraId="4ED2059A">
            <w:pPr>
              <w:adjustRightInd w:val="0"/>
              <w:snapToGrid w:val="0"/>
              <w:jc w:val="center"/>
              <w:rPr>
                <w:rFonts w:hint="default" w:ascii="Times New Roman" w:hAnsi="Times New Roman" w:eastAsia="宋体" w:cs="Times New Roman"/>
                <w:b/>
                <w:bCs/>
                <w:color w:val="auto"/>
                <w:sz w:val="24"/>
              </w:rPr>
            </w:pPr>
          </w:p>
          <w:p w14:paraId="52A8EFA3">
            <w:pPr>
              <w:adjustRightInd w:val="0"/>
              <w:snapToGrid w:val="0"/>
              <w:jc w:val="center"/>
              <w:rPr>
                <w:rFonts w:hint="default" w:ascii="Times New Roman" w:hAnsi="Times New Roman" w:eastAsia="宋体" w:cs="Times New Roman"/>
                <w:b/>
                <w:bCs/>
                <w:color w:val="auto"/>
                <w:sz w:val="24"/>
              </w:rPr>
            </w:pPr>
          </w:p>
          <w:p w14:paraId="133A07F2">
            <w:pPr>
              <w:adjustRightInd w:val="0"/>
              <w:snapToGrid w:val="0"/>
              <w:jc w:val="center"/>
              <w:rPr>
                <w:rFonts w:hint="default" w:ascii="Times New Roman" w:hAnsi="Times New Roman" w:eastAsia="宋体" w:cs="Times New Roman"/>
                <w:b/>
                <w:bCs/>
                <w:color w:val="auto"/>
                <w:sz w:val="24"/>
              </w:rPr>
            </w:pPr>
          </w:p>
          <w:p w14:paraId="59CD3B33">
            <w:pPr>
              <w:adjustRightInd w:val="0"/>
              <w:snapToGrid w:val="0"/>
              <w:jc w:val="center"/>
              <w:rPr>
                <w:rFonts w:hint="default" w:ascii="Times New Roman" w:hAnsi="Times New Roman" w:eastAsia="宋体" w:cs="Times New Roman"/>
                <w:b/>
                <w:bCs/>
                <w:color w:val="auto"/>
                <w:sz w:val="24"/>
              </w:rPr>
            </w:pPr>
          </w:p>
          <w:p w14:paraId="43CA67CA">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 xml:space="preserve"> 大气环境监测内容一览表</w:t>
            </w:r>
          </w:p>
          <w:tbl>
            <w:tblPr>
              <w:tblStyle w:val="7"/>
              <w:tblW w:w="8220" w:type="dxa"/>
              <w:jc w:val="center"/>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fixed"/>
              <w:tblCellMar>
                <w:top w:w="0" w:type="dxa"/>
                <w:left w:w="0" w:type="dxa"/>
                <w:bottom w:w="0" w:type="dxa"/>
                <w:right w:w="0" w:type="dxa"/>
              </w:tblCellMar>
            </w:tblPr>
            <w:tblGrid>
              <w:gridCol w:w="1091"/>
              <w:gridCol w:w="982"/>
              <w:gridCol w:w="1025"/>
              <w:gridCol w:w="1530"/>
              <w:gridCol w:w="1130"/>
              <w:gridCol w:w="2462"/>
            </w:tblGrid>
            <w:tr w14:paraId="5A752540">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jc w:val="center"/>
              </w:trPr>
              <w:tc>
                <w:tcPr>
                  <w:tcW w:w="663" w:type="pct"/>
                  <w:tcBorders>
                    <w:top w:val="single" w:color="auto" w:sz="4" w:space="0"/>
                    <w:left w:val="single" w:color="auto" w:sz="0" w:space="0"/>
                    <w:bottom w:val="single" w:color="auto" w:sz="4" w:space="0"/>
                    <w:right w:val="single" w:color="auto" w:sz="4" w:space="0"/>
                  </w:tcBorders>
                  <w:vAlign w:val="center"/>
                </w:tcPr>
                <w:p w14:paraId="46FC90BE">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类别</w:t>
                  </w:r>
                </w:p>
              </w:tc>
              <w:tc>
                <w:tcPr>
                  <w:tcW w:w="597" w:type="pct"/>
                  <w:tcBorders>
                    <w:top w:val="single" w:color="auto" w:sz="4" w:space="0"/>
                    <w:left w:val="single" w:color="auto" w:sz="4" w:space="0"/>
                    <w:bottom w:val="single" w:color="auto" w:sz="4" w:space="0"/>
                    <w:right w:val="single" w:color="auto" w:sz="4" w:space="0"/>
                  </w:tcBorders>
                  <w:vAlign w:val="center"/>
                </w:tcPr>
                <w:p w14:paraId="62499320">
                  <w:pPr>
                    <w:adjustRightInd w:val="0"/>
                    <w:snapToGrid w:val="0"/>
                    <w:jc w:val="center"/>
                    <w:rPr>
                      <w:rFonts w:hint="default" w:ascii="Times New Roman" w:hAnsi="Times New Roman" w:eastAsia="宋体" w:cs="Times New Roman"/>
                      <w:b/>
                      <w:color w:val="auto"/>
                      <w:szCs w:val="21"/>
                      <w:lang w:val="en-US" w:eastAsia="zh-CN"/>
                    </w:rPr>
                  </w:pPr>
                  <w:r>
                    <w:rPr>
                      <w:rFonts w:hint="default" w:ascii="Times New Roman" w:hAnsi="Times New Roman" w:eastAsia="宋体" w:cs="Times New Roman"/>
                      <w:b/>
                      <w:color w:val="auto"/>
                      <w:szCs w:val="21"/>
                      <w:lang w:val="en-US" w:eastAsia="zh-CN"/>
                    </w:rPr>
                    <w:t>排放口编号</w:t>
                  </w:r>
                </w:p>
              </w:tc>
              <w:tc>
                <w:tcPr>
                  <w:tcW w:w="623" w:type="pct"/>
                  <w:tcBorders>
                    <w:top w:val="single" w:color="auto" w:sz="4" w:space="0"/>
                    <w:left w:val="single" w:color="auto" w:sz="4" w:space="0"/>
                    <w:bottom w:val="single" w:color="auto" w:sz="4" w:space="0"/>
                    <w:right w:val="single" w:color="auto" w:sz="4" w:space="0"/>
                  </w:tcBorders>
                  <w:vAlign w:val="center"/>
                </w:tcPr>
                <w:p w14:paraId="34B67600">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监测位置</w:t>
                  </w:r>
                </w:p>
              </w:tc>
              <w:tc>
                <w:tcPr>
                  <w:tcW w:w="930" w:type="pct"/>
                  <w:tcBorders>
                    <w:top w:val="single" w:color="auto" w:sz="4" w:space="0"/>
                    <w:left w:val="single" w:color="auto" w:sz="4" w:space="0"/>
                    <w:bottom w:val="single" w:color="auto" w:sz="4" w:space="0"/>
                    <w:right w:val="single" w:color="auto" w:sz="4" w:space="0"/>
                  </w:tcBorders>
                  <w:vAlign w:val="center"/>
                </w:tcPr>
                <w:p w14:paraId="3D02B85B">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监测项目</w:t>
                  </w:r>
                </w:p>
              </w:tc>
              <w:tc>
                <w:tcPr>
                  <w:tcW w:w="687" w:type="pct"/>
                  <w:tcBorders>
                    <w:top w:val="single" w:color="auto" w:sz="4" w:space="0"/>
                    <w:left w:val="single" w:color="auto" w:sz="4" w:space="0"/>
                    <w:bottom w:val="single" w:color="auto" w:sz="4" w:space="0"/>
                    <w:right w:val="single" w:color="auto" w:sz="4" w:space="0"/>
                  </w:tcBorders>
                  <w:vAlign w:val="center"/>
                </w:tcPr>
                <w:p w14:paraId="2C674756">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监测频次</w:t>
                  </w:r>
                </w:p>
              </w:tc>
              <w:tc>
                <w:tcPr>
                  <w:tcW w:w="1497" w:type="pct"/>
                  <w:tcBorders>
                    <w:top w:val="single" w:color="auto" w:sz="4" w:space="0"/>
                    <w:left w:val="single" w:color="auto" w:sz="4" w:space="0"/>
                    <w:bottom w:val="single" w:color="auto" w:sz="4" w:space="0"/>
                    <w:right w:val="single" w:color="auto" w:sz="4" w:space="0"/>
                  </w:tcBorders>
                  <w:vAlign w:val="center"/>
                </w:tcPr>
                <w:p w14:paraId="112884A3">
                  <w:pPr>
                    <w:adjustRightInd w:val="0"/>
                    <w:snapToGrid w:val="0"/>
                    <w:jc w:val="center"/>
                    <w:rPr>
                      <w:rFonts w:hint="default" w:ascii="Times New Roman" w:hAnsi="Times New Roman" w:eastAsia="宋体" w:cs="Times New Roman"/>
                      <w:b/>
                      <w:color w:val="auto"/>
                      <w:szCs w:val="21"/>
                    </w:rPr>
                  </w:pPr>
                  <w:r>
                    <w:rPr>
                      <w:rFonts w:hint="default" w:ascii="Times New Roman" w:hAnsi="Times New Roman" w:eastAsia="宋体" w:cs="Times New Roman"/>
                      <w:b/>
                      <w:color w:val="auto"/>
                      <w:szCs w:val="21"/>
                    </w:rPr>
                    <w:t>控制指标</w:t>
                  </w:r>
                </w:p>
              </w:tc>
            </w:tr>
            <w:tr w14:paraId="2E4AA03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63" w:type="pct"/>
                  <w:vMerge w:val="restart"/>
                  <w:tcBorders>
                    <w:top w:val="single" w:color="auto" w:sz="4" w:space="0"/>
                    <w:left w:val="single" w:color="auto" w:sz="4" w:space="0"/>
                    <w:bottom w:val="single" w:color="auto" w:sz="4" w:space="0"/>
                    <w:right w:val="single" w:color="auto" w:sz="4" w:space="0"/>
                  </w:tcBorders>
                  <w:vAlign w:val="center"/>
                </w:tcPr>
                <w:p w14:paraId="43DD8110">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val="en-US" w:eastAsia="zh-CN"/>
                    </w:rPr>
                    <w:t>有</w:t>
                  </w:r>
                  <w:r>
                    <w:rPr>
                      <w:rFonts w:hint="default" w:ascii="Times New Roman" w:hAnsi="Times New Roman" w:eastAsia="宋体" w:cs="Times New Roman"/>
                      <w:bCs/>
                      <w:color w:val="auto"/>
                      <w:szCs w:val="21"/>
                    </w:rPr>
                    <w:t>组织废气</w:t>
                  </w:r>
                </w:p>
              </w:tc>
              <w:tc>
                <w:tcPr>
                  <w:tcW w:w="597" w:type="pct"/>
                  <w:vMerge w:val="restart"/>
                  <w:tcBorders>
                    <w:top w:val="single" w:color="auto" w:sz="4" w:space="0"/>
                    <w:left w:val="single" w:color="auto" w:sz="4" w:space="0"/>
                    <w:bottom w:val="single" w:color="auto" w:sz="4" w:space="0"/>
                    <w:right w:val="single" w:color="auto" w:sz="4" w:space="0"/>
                  </w:tcBorders>
                  <w:vAlign w:val="center"/>
                </w:tcPr>
                <w:p w14:paraId="23AD0C2B">
                  <w:pPr>
                    <w:adjustRightInd w:val="0"/>
                    <w:snapToGrid w:val="0"/>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DA001</w:t>
                  </w:r>
                </w:p>
              </w:tc>
              <w:tc>
                <w:tcPr>
                  <w:tcW w:w="623" w:type="pct"/>
                  <w:vMerge w:val="restart"/>
                  <w:tcBorders>
                    <w:top w:val="single" w:color="auto" w:sz="4" w:space="0"/>
                    <w:left w:val="single" w:color="auto" w:sz="4" w:space="0"/>
                    <w:bottom w:val="single" w:color="auto" w:sz="4" w:space="0"/>
                    <w:right w:val="single" w:color="auto" w:sz="4" w:space="0"/>
                  </w:tcBorders>
                  <w:vAlign w:val="center"/>
                </w:tcPr>
                <w:p w14:paraId="231B2058">
                  <w:pPr>
                    <w:adjustRightInd w:val="0"/>
                    <w:snapToGrid w:val="0"/>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锅炉排放口</w:t>
                  </w:r>
                </w:p>
              </w:tc>
              <w:tc>
                <w:tcPr>
                  <w:tcW w:w="930" w:type="pct"/>
                  <w:tcBorders>
                    <w:top w:val="single" w:color="auto" w:sz="4" w:space="0"/>
                    <w:left w:val="single" w:color="auto" w:sz="4" w:space="0"/>
                    <w:bottom w:val="single" w:color="auto" w:sz="4" w:space="0"/>
                    <w:right w:val="single" w:color="auto" w:sz="4" w:space="0"/>
                  </w:tcBorders>
                  <w:vAlign w:val="center"/>
                </w:tcPr>
                <w:p w14:paraId="05FD570E">
                  <w:pPr>
                    <w:adjustRightInd w:val="0"/>
                    <w:snapToGrid w:val="0"/>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颗粒物、二氧化硫、烟气林格曼黑度</w:t>
                  </w:r>
                </w:p>
              </w:tc>
              <w:tc>
                <w:tcPr>
                  <w:tcW w:w="687" w:type="pct"/>
                  <w:tcBorders>
                    <w:top w:val="single" w:color="auto" w:sz="4" w:space="0"/>
                    <w:left w:val="single" w:color="auto" w:sz="4" w:space="0"/>
                    <w:bottom w:val="single" w:color="auto" w:sz="4" w:space="0"/>
                    <w:right w:val="single" w:color="auto" w:sz="4" w:space="0"/>
                  </w:tcBorders>
                  <w:vAlign w:val="center"/>
                </w:tcPr>
                <w:p w14:paraId="63015640">
                  <w:pPr>
                    <w:adjustRightInd w:val="0"/>
                    <w:snapToGrid w:val="0"/>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rPr>
                    <w:t>1次/</w:t>
                  </w:r>
                  <w:r>
                    <w:rPr>
                      <w:rFonts w:hint="default" w:ascii="Times New Roman" w:hAnsi="Times New Roman" w:eastAsia="宋体" w:cs="Times New Roman"/>
                      <w:bCs/>
                      <w:color w:val="auto"/>
                      <w:szCs w:val="21"/>
                      <w:lang w:val="en-US" w:eastAsia="zh-CN"/>
                    </w:rPr>
                    <w:t>季度</w:t>
                  </w:r>
                </w:p>
              </w:tc>
              <w:tc>
                <w:tcPr>
                  <w:tcW w:w="1497" w:type="pct"/>
                  <w:vMerge w:val="restart"/>
                  <w:tcBorders>
                    <w:top w:val="single" w:color="auto" w:sz="4" w:space="0"/>
                    <w:left w:val="single" w:color="auto" w:sz="4" w:space="0"/>
                    <w:bottom w:val="single" w:color="auto" w:sz="4" w:space="0"/>
                    <w:right w:val="single" w:color="auto" w:sz="4" w:space="0"/>
                  </w:tcBorders>
                  <w:vAlign w:val="center"/>
                </w:tcPr>
                <w:p w14:paraId="4556CEDC">
                  <w:pPr>
                    <w:adjustRightInd w:val="0"/>
                    <w:snapToGrid w:val="0"/>
                    <w:jc w:val="center"/>
                    <w:rPr>
                      <w:rFonts w:hint="eastAsia" w:ascii="Times New Roman" w:hAnsi="Times New Roman" w:eastAsia="宋体" w:cs="Times New Roman"/>
                      <w:bCs/>
                      <w:color w:val="auto"/>
                      <w:szCs w:val="21"/>
                      <w:lang w:eastAsia="zh-CN"/>
                    </w:rPr>
                  </w:pPr>
                  <w:r>
                    <w:rPr>
                      <w:rFonts w:hint="default" w:ascii="Times New Roman" w:hAnsi="Times New Roman" w:eastAsia="宋体" w:cs="Times New Roman"/>
                      <w:bCs/>
                      <w:color w:val="auto"/>
                      <w:szCs w:val="21"/>
                    </w:rPr>
                    <w:t>《锅炉大气污染物排放标准》（GB13271-2014）新建燃气锅炉标准</w:t>
                  </w:r>
                  <w:r>
                    <w:rPr>
                      <w:rFonts w:hint="eastAsia" w:cs="Times New Roman"/>
                      <w:bCs/>
                      <w:color w:val="auto"/>
                      <w:szCs w:val="21"/>
                      <w:lang w:eastAsia="zh-CN"/>
                    </w:rPr>
                    <w:t>。</w:t>
                  </w:r>
                </w:p>
              </w:tc>
            </w:tr>
            <w:tr w14:paraId="246D7248">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663" w:type="pct"/>
                  <w:vMerge w:val="continue"/>
                  <w:tcBorders>
                    <w:top w:val="single" w:color="auto" w:sz="4" w:space="0"/>
                    <w:left w:val="single" w:color="auto" w:sz="4" w:space="0"/>
                  </w:tcBorders>
                  <w:vAlign w:val="center"/>
                </w:tcPr>
                <w:p w14:paraId="5B846E88">
                  <w:pPr>
                    <w:adjustRightInd w:val="0"/>
                    <w:snapToGrid w:val="0"/>
                    <w:jc w:val="center"/>
                    <w:rPr>
                      <w:rFonts w:hint="default" w:ascii="Times New Roman" w:hAnsi="Times New Roman" w:eastAsia="宋体" w:cs="Times New Roman"/>
                      <w:bCs/>
                      <w:color w:val="auto"/>
                      <w:szCs w:val="21"/>
                      <w:lang w:val="en-US" w:eastAsia="zh-CN"/>
                    </w:rPr>
                  </w:pPr>
                </w:p>
              </w:tc>
              <w:tc>
                <w:tcPr>
                  <w:tcW w:w="597" w:type="pct"/>
                  <w:vMerge w:val="continue"/>
                  <w:tcBorders>
                    <w:top w:val="single" w:color="auto" w:sz="4" w:space="0"/>
                  </w:tcBorders>
                  <w:vAlign w:val="center"/>
                </w:tcPr>
                <w:p w14:paraId="32E0CD6A">
                  <w:pPr>
                    <w:adjustRightInd w:val="0"/>
                    <w:snapToGrid w:val="0"/>
                    <w:jc w:val="center"/>
                    <w:rPr>
                      <w:rFonts w:hint="default" w:ascii="Times New Roman" w:hAnsi="Times New Roman" w:eastAsia="宋体" w:cs="Times New Roman"/>
                      <w:bCs/>
                      <w:color w:val="auto"/>
                      <w:szCs w:val="21"/>
                      <w:lang w:val="en-US" w:eastAsia="zh-CN"/>
                    </w:rPr>
                  </w:pPr>
                </w:p>
              </w:tc>
              <w:tc>
                <w:tcPr>
                  <w:tcW w:w="623" w:type="pct"/>
                  <w:vMerge w:val="continue"/>
                  <w:tcBorders>
                    <w:top w:val="single" w:color="auto" w:sz="4" w:space="0"/>
                  </w:tcBorders>
                  <w:vAlign w:val="center"/>
                </w:tcPr>
                <w:p w14:paraId="050A80B1">
                  <w:pPr>
                    <w:adjustRightInd w:val="0"/>
                    <w:snapToGrid w:val="0"/>
                    <w:jc w:val="center"/>
                    <w:rPr>
                      <w:rFonts w:hint="default" w:ascii="Times New Roman" w:hAnsi="Times New Roman" w:eastAsia="宋体" w:cs="Times New Roman"/>
                      <w:bCs/>
                      <w:color w:val="auto"/>
                      <w:szCs w:val="21"/>
                      <w:lang w:val="en-US" w:eastAsia="zh-CN"/>
                    </w:rPr>
                  </w:pPr>
                </w:p>
              </w:tc>
              <w:tc>
                <w:tcPr>
                  <w:tcW w:w="930" w:type="pct"/>
                  <w:tcBorders>
                    <w:top w:val="single" w:color="auto" w:sz="4" w:space="0"/>
                  </w:tcBorders>
                  <w:vAlign w:val="center"/>
                </w:tcPr>
                <w:p w14:paraId="4BB17F52">
                  <w:pPr>
                    <w:adjustRightInd w:val="0"/>
                    <w:snapToGrid w:val="0"/>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氮氧化物</w:t>
                  </w:r>
                </w:p>
              </w:tc>
              <w:tc>
                <w:tcPr>
                  <w:tcW w:w="687" w:type="pct"/>
                  <w:tcBorders>
                    <w:top w:val="single" w:color="auto" w:sz="4" w:space="0"/>
                  </w:tcBorders>
                  <w:vAlign w:val="center"/>
                </w:tcPr>
                <w:p w14:paraId="70B5A988">
                  <w:pPr>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val="en-US" w:eastAsia="zh-CN"/>
                    </w:rPr>
                    <w:t>1次/月</w:t>
                  </w:r>
                </w:p>
              </w:tc>
              <w:tc>
                <w:tcPr>
                  <w:tcW w:w="1497" w:type="pct"/>
                  <w:vMerge w:val="continue"/>
                  <w:tcBorders>
                    <w:top w:val="single" w:color="auto" w:sz="4" w:space="0"/>
                    <w:right w:val="single" w:color="auto" w:sz="4" w:space="0"/>
                  </w:tcBorders>
                  <w:vAlign w:val="center"/>
                </w:tcPr>
                <w:p w14:paraId="69F9A30B">
                  <w:pPr>
                    <w:adjustRightInd w:val="0"/>
                    <w:snapToGrid w:val="0"/>
                    <w:jc w:val="center"/>
                    <w:rPr>
                      <w:rFonts w:hint="default" w:ascii="Times New Roman" w:hAnsi="Times New Roman" w:eastAsia="宋体" w:cs="Times New Roman"/>
                      <w:bCs/>
                      <w:color w:val="auto"/>
                      <w:szCs w:val="21"/>
                    </w:rPr>
                  </w:pPr>
                </w:p>
              </w:tc>
            </w:tr>
          </w:tbl>
          <w:p w14:paraId="44027506">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color w:val="auto"/>
                <w:kern w:val="21"/>
                <w:sz w:val="24"/>
              </w:rPr>
            </w:pPr>
            <w:r>
              <w:rPr>
                <w:rFonts w:hint="default" w:ascii="Times New Roman" w:hAnsi="Times New Roman" w:eastAsia="宋体" w:cs="Times New Roman"/>
                <w:b/>
                <w:color w:val="auto"/>
                <w:kern w:val="21"/>
                <w:sz w:val="24"/>
              </w:rPr>
              <w:t>2.废水</w:t>
            </w:r>
          </w:p>
          <w:p w14:paraId="2554DFF1">
            <w:pPr>
              <w:spacing w:line="360" w:lineRule="auto"/>
              <w:ind w:firstLine="42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lang w:val="en-US" w:eastAsia="zh-CN"/>
              </w:rPr>
              <w:t>本项目产生的废水主要为生活污水和生产废水。</w:t>
            </w:r>
          </w:p>
          <w:p w14:paraId="1AB9841A">
            <w:pPr>
              <w:spacing w:line="360" w:lineRule="auto"/>
              <w:ind w:firstLine="42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项目运营期</w:t>
            </w:r>
            <w:r>
              <w:rPr>
                <w:rFonts w:hint="default" w:ascii="Times New Roman" w:hAnsi="Times New Roman" w:eastAsia="宋体" w:cs="Times New Roman"/>
                <w:bCs/>
                <w:color w:val="auto"/>
                <w:sz w:val="24"/>
              </w:rPr>
              <w:t>生活污水产生量为</w:t>
            </w:r>
            <w:r>
              <w:rPr>
                <w:rFonts w:hint="default" w:ascii="Times New Roman" w:hAnsi="Times New Roman" w:eastAsia="宋体" w:cs="Times New Roman"/>
                <w:bCs/>
                <w:color w:val="auto"/>
                <w:sz w:val="24"/>
                <w:lang w:val="en-US" w:eastAsia="zh-CN"/>
              </w:rPr>
              <w:t>480</w:t>
            </w:r>
            <w:r>
              <w:rPr>
                <w:rFonts w:hint="default" w:ascii="Times New Roman" w:hAnsi="Times New Roman" w:eastAsia="宋体" w:cs="Times New Roman"/>
                <w:bCs/>
                <w:color w:val="auto"/>
                <w:sz w:val="24"/>
                <w:vertAlign w:val="baseline"/>
                <w:lang w:eastAsia="zh-CN"/>
              </w:rPr>
              <w:t>m</w:t>
            </w:r>
            <w:r>
              <w:rPr>
                <w:rFonts w:hint="default" w:ascii="Times New Roman" w:hAnsi="Times New Roman" w:eastAsia="宋体" w:cs="Times New Roman"/>
                <w:bCs/>
                <w:color w:val="auto"/>
                <w:sz w:val="24"/>
                <w:vertAlign w:val="superscript"/>
                <w:lang w:eastAsia="zh-CN"/>
              </w:rPr>
              <w:t>3</w:t>
            </w:r>
            <w:r>
              <w:rPr>
                <w:rFonts w:hint="default" w:ascii="Times New Roman" w:hAnsi="Times New Roman" w:eastAsia="宋体" w:cs="Times New Roman"/>
                <w:bCs/>
                <w:color w:val="auto"/>
                <w:sz w:val="24"/>
              </w:rPr>
              <w:t>/a</w:t>
            </w:r>
            <w:r>
              <w:rPr>
                <w:rFonts w:hint="default" w:ascii="Times New Roman" w:hAnsi="Times New Roman" w:eastAsia="宋体" w:cs="Times New Roman"/>
                <w:bCs/>
                <w:color w:val="auto"/>
                <w:sz w:val="24"/>
                <w:lang w:eastAsia="zh-CN"/>
              </w:rPr>
              <w:t>，经化粪池收集后，</w:t>
            </w:r>
            <w:r>
              <w:rPr>
                <w:rFonts w:hint="default" w:ascii="Times New Roman" w:hAnsi="Times New Roman" w:eastAsia="宋体" w:cs="Times New Roman"/>
                <w:bCs/>
                <w:color w:val="auto"/>
                <w:sz w:val="24"/>
                <w:lang w:val="en-US" w:eastAsia="zh-CN"/>
              </w:rPr>
              <w:t>通过市政污水管网，排至杭锦旗锡尼镇污水处理厂。生活污水污染物产生浓度为COD350mg/L，BOD</w:t>
            </w:r>
            <w:r>
              <w:rPr>
                <w:rFonts w:hint="default" w:ascii="Times New Roman" w:hAnsi="Times New Roman" w:eastAsia="宋体" w:cs="Times New Roman"/>
                <w:bCs/>
                <w:color w:val="auto"/>
                <w:sz w:val="24"/>
                <w:vertAlign w:val="subscript"/>
                <w:lang w:val="en-US" w:eastAsia="zh-CN"/>
              </w:rPr>
              <w:t>5</w:t>
            </w:r>
            <w:r>
              <w:rPr>
                <w:rFonts w:hint="default" w:ascii="Times New Roman" w:hAnsi="Times New Roman" w:eastAsia="宋体" w:cs="Times New Roman"/>
                <w:bCs/>
                <w:color w:val="auto"/>
                <w:sz w:val="24"/>
                <w:lang w:val="en-US" w:eastAsia="zh-CN"/>
              </w:rPr>
              <w:t>200mg/L，SS300mg/L，氨氮35mg/L。</w:t>
            </w:r>
          </w:p>
          <w:p w14:paraId="61F4221A">
            <w:pPr>
              <w:spacing w:line="360" w:lineRule="auto"/>
              <w:ind w:firstLine="42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甘草清洗水液进行沉降分离，上清液回用于甘草清洗，不外排；蒸汽冷凝水本质是软水，水质指标均可达到《城市污水再生利用 工业用水水质》（GB-T19923-2024）要求</w:t>
            </w:r>
            <w:r>
              <w:rPr>
                <w:rFonts w:hint="eastAsia" w:cs="Times New Roman"/>
                <w:bCs/>
                <w:color w:val="auto"/>
                <w:sz w:val="24"/>
                <w:lang w:val="en-US" w:eastAsia="zh-CN"/>
              </w:rPr>
              <w:t>，可</w:t>
            </w:r>
            <w:r>
              <w:rPr>
                <w:rFonts w:hint="default" w:ascii="Times New Roman" w:hAnsi="Times New Roman" w:eastAsia="宋体" w:cs="Times New Roman"/>
                <w:bCs/>
                <w:color w:val="auto"/>
                <w:sz w:val="24"/>
                <w:lang w:val="en-US" w:eastAsia="zh-CN"/>
              </w:rPr>
              <w:t>回用于生产工艺，不外排；锅炉排水产生量为5858</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w:t>
            </w:r>
            <w:r>
              <w:rPr>
                <w:rFonts w:hint="eastAsia" w:eastAsia="宋体" w:cs="Times New Roman"/>
                <w:bCs/>
                <w:color w:val="auto"/>
                <w:sz w:val="24"/>
                <w:lang w:val="en-US" w:eastAsia="zh-CN"/>
              </w:rPr>
              <w:t>、</w:t>
            </w:r>
            <w:r>
              <w:rPr>
                <w:rFonts w:hint="default" w:ascii="Times New Roman" w:hAnsi="Times New Roman" w:eastAsia="宋体" w:cs="Times New Roman"/>
                <w:bCs/>
                <w:color w:val="auto"/>
                <w:sz w:val="24"/>
                <w:lang w:val="en-US" w:eastAsia="zh-CN"/>
              </w:rPr>
              <w:t>设备清洗废水产生量为360</w:t>
            </w:r>
            <w:r>
              <w:rPr>
                <w:rFonts w:hint="default" w:ascii="Times New Roman" w:hAnsi="Times New Roman" w:eastAsia="宋体" w:cs="Times New Roman"/>
                <w:bCs/>
                <w:color w:val="auto"/>
                <w:sz w:val="24"/>
                <w:vertAlign w:val="baseline"/>
                <w:lang w:val="en-US" w:eastAsia="zh-CN"/>
              </w:rPr>
              <w:t>m</w:t>
            </w:r>
            <w:r>
              <w:rPr>
                <w:rFonts w:hint="default" w:ascii="Times New Roman" w:hAnsi="Times New Roman" w:eastAsia="宋体" w:cs="Times New Roman"/>
                <w:bCs/>
                <w:color w:val="auto"/>
                <w:sz w:val="24"/>
                <w:vertAlign w:val="superscript"/>
                <w:lang w:val="en-US" w:eastAsia="zh-CN"/>
              </w:rPr>
              <w:t>3</w:t>
            </w:r>
            <w:r>
              <w:rPr>
                <w:rFonts w:hint="default" w:ascii="Times New Roman" w:hAnsi="Times New Roman" w:eastAsia="宋体" w:cs="Times New Roman"/>
                <w:bCs/>
                <w:color w:val="auto"/>
                <w:sz w:val="24"/>
                <w:lang w:val="en-US" w:eastAsia="zh-CN"/>
              </w:rPr>
              <w:t>/a，通过市政污水管网，排至杭锦旗锡尼镇污水处理厂。锅炉排水</w:t>
            </w:r>
            <w:r>
              <w:rPr>
                <w:rFonts w:hint="eastAsia" w:cs="Times New Roman"/>
                <w:bCs/>
                <w:color w:val="auto"/>
                <w:sz w:val="24"/>
                <w:lang w:val="en-US" w:eastAsia="zh-CN"/>
              </w:rPr>
              <w:t>、</w:t>
            </w:r>
            <w:r>
              <w:rPr>
                <w:rFonts w:hint="default" w:ascii="Times New Roman" w:hAnsi="Times New Roman" w:eastAsia="宋体" w:cs="Times New Roman"/>
                <w:bCs/>
                <w:color w:val="auto"/>
                <w:sz w:val="24"/>
                <w:lang w:val="en-US" w:eastAsia="zh-CN"/>
              </w:rPr>
              <w:t>设备清洗废水中主要污染物为SS、TDS等，SS浓度为200mg/L～35000mg/L，TDS浓度为1000mg/L～1500mg/L。</w:t>
            </w:r>
          </w:p>
          <w:p w14:paraId="658F2A28">
            <w:pPr>
              <w:spacing w:line="360" w:lineRule="auto"/>
              <w:ind w:firstLine="42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本项目生活污水</w:t>
            </w:r>
            <w:r>
              <w:rPr>
                <w:rFonts w:hint="eastAsia" w:cs="Times New Roman"/>
                <w:bCs/>
                <w:color w:val="auto"/>
                <w:sz w:val="24"/>
                <w:lang w:val="en-US" w:eastAsia="zh-CN"/>
              </w:rPr>
              <w:t>、锅炉排水、</w:t>
            </w:r>
            <w:r>
              <w:rPr>
                <w:rFonts w:hint="default" w:ascii="Times New Roman" w:hAnsi="Times New Roman" w:eastAsia="宋体" w:cs="Times New Roman"/>
                <w:bCs/>
                <w:color w:val="auto"/>
                <w:sz w:val="24"/>
                <w:lang w:val="en-US" w:eastAsia="zh-CN"/>
              </w:rPr>
              <w:t>设备清洗废水经市政污水管网排入锡尼镇污水处理厂处理，废水执行《污水排入城镇下水道水质标准》（GB/T 31962-2015）B级标准。</w:t>
            </w:r>
          </w:p>
          <w:p w14:paraId="7461E4FE">
            <w:pPr>
              <w:spacing w:line="360" w:lineRule="auto"/>
              <w:ind w:firstLine="42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lang w:val="en-US" w:eastAsia="zh-CN"/>
              </w:rPr>
              <w:t>综上所述，项目建成后对周围地表水环境影响不大。</w:t>
            </w:r>
          </w:p>
          <w:p w14:paraId="46A6EC91">
            <w:pPr>
              <w:adjustRightInd w:val="0"/>
              <w:snapToGrid w:val="0"/>
              <w:spacing w:line="360" w:lineRule="auto"/>
              <w:ind w:firstLine="482" w:firstLineChars="200"/>
              <w:rPr>
                <w:rFonts w:hint="default" w:ascii="Times New Roman" w:hAnsi="Times New Roman" w:eastAsia="宋体" w:cs="Times New Roman"/>
                <w:b/>
                <w:color w:val="auto"/>
                <w:kern w:val="0"/>
                <w:sz w:val="24"/>
              </w:rPr>
            </w:pPr>
            <w:r>
              <w:rPr>
                <w:rFonts w:hint="default" w:ascii="Times New Roman" w:hAnsi="Times New Roman" w:eastAsia="宋体" w:cs="Times New Roman"/>
                <w:b/>
                <w:color w:val="auto"/>
                <w:kern w:val="0"/>
                <w:sz w:val="24"/>
              </w:rPr>
              <w:t>3.噪声</w:t>
            </w:r>
          </w:p>
          <w:p w14:paraId="0CCE497A">
            <w:pPr>
              <w:adjustRightInd w:val="0"/>
              <w:snapToGrid w:val="0"/>
              <w:spacing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3.1噪声源强及治理措施</w:t>
            </w:r>
          </w:p>
          <w:p w14:paraId="60E575C8">
            <w:pPr>
              <w:spacing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bCs/>
                <w:color w:val="auto"/>
                <w:sz w:val="24"/>
              </w:rPr>
              <w:t>项目噪声主要来源于</w:t>
            </w:r>
            <w:r>
              <w:rPr>
                <w:rFonts w:hint="default" w:ascii="Times New Roman" w:hAnsi="Times New Roman" w:eastAsia="宋体" w:cs="Times New Roman"/>
                <w:bCs/>
                <w:color w:val="auto"/>
                <w:sz w:val="24"/>
                <w:lang w:val="en-US" w:eastAsia="zh-CN"/>
              </w:rPr>
              <w:t>离心机、水泵</w:t>
            </w:r>
            <w:r>
              <w:rPr>
                <w:rFonts w:hint="default" w:ascii="Times New Roman" w:hAnsi="Times New Roman" w:eastAsia="宋体" w:cs="Times New Roman"/>
                <w:bCs/>
                <w:color w:val="auto"/>
                <w:sz w:val="24"/>
              </w:rPr>
              <w:t>等</w:t>
            </w:r>
            <w:r>
              <w:rPr>
                <w:rFonts w:hint="default" w:ascii="Times New Roman" w:hAnsi="Times New Roman" w:eastAsia="宋体" w:cs="Times New Roman"/>
                <w:bCs/>
                <w:color w:val="auto"/>
                <w:sz w:val="24"/>
                <w:lang w:val="en-US" w:eastAsia="zh-CN"/>
              </w:rPr>
              <w:t>设备</w:t>
            </w:r>
            <w:r>
              <w:rPr>
                <w:rFonts w:hint="default" w:ascii="Times New Roman" w:hAnsi="Times New Roman" w:eastAsia="宋体" w:cs="Times New Roman"/>
                <w:bCs/>
                <w:color w:val="auto"/>
                <w:sz w:val="24"/>
              </w:rPr>
              <w:t>产生的噪声。根据设计，项目各噪声设备采取的降噪措施，对噪声有一定衰减</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详见表4-</w:t>
            </w:r>
            <w:r>
              <w:rPr>
                <w:rFonts w:hint="default" w:ascii="Times New Roman" w:hAnsi="Times New Roman" w:eastAsia="宋体" w:cs="Times New Roman"/>
                <w:bCs/>
                <w:color w:val="auto"/>
                <w:sz w:val="24"/>
                <w:lang w:val="en-US" w:eastAsia="zh-CN"/>
              </w:rPr>
              <w:t>5</w:t>
            </w:r>
            <w:r>
              <w:rPr>
                <w:rFonts w:hint="default" w:ascii="Times New Roman" w:hAnsi="Times New Roman" w:eastAsia="宋体" w:cs="Times New Roman"/>
                <w:bCs/>
                <w:color w:val="auto"/>
                <w:sz w:val="24"/>
              </w:rPr>
              <w:t>。</w:t>
            </w:r>
          </w:p>
          <w:p w14:paraId="5A9A11C7">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rPr>
              <w:t>各声源设备的噪声级</w:t>
            </w:r>
          </w:p>
          <w:tbl>
            <w:tblPr>
              <w:tblStyle w:val="7"/>
              <w:tblW w:w="807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1"/>
              <w:gridCol w:w="1577"/>
              <w:gridCol w:w="1577"/>
              <w:gridCol w:w="1746"/>
              <w:gridCol w:w="1767"/>
            </w:tblGrid>
            <w:tr w14:paraId="3934E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11" w:type="dxa"/>
                  <w:tcBorders>
                    <w:top w:val="single" w:color="auto" w:sz="4" w:space="0"/>
                    <w:left w:val="single" w:color="auto" w:sz="0" w:space="0"/>
                  </w:tcBorders>
                  <w:vAlign w:val="center"/>
                </w:tcPr>
                <w:p w14:paraId="63A8DE00">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设备名称</w:t>
                  </w:r>
                </w:p>
              </w:tc>
              <w:tc>
                <w:tcPr>
                  <w:tcW w:w="1577" w:type="dxa"/>
                  <w:tcBorders>
                    <w:top w:val="single" w:color="auto" w:sz="4" w:space="0"/>
                  </w:tcBorders>
                  <w:shd w:val="clear" w:color="auto" w:fill="auto"/>
                  <w:vAlign w:val="center"/>
                </w:tcPr>
                <w:p w14:paraId="76164A53">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数量/台</w:t>
                  </w:r>
                </w:p>
              </w:tc>
              <w:tc>
                <w:tcPr>
                  <w:tcW w:w="1577" w:type="dxa"/>
                  <w:tcBorders>
                    <w:top w:val="single" w:color="auto" w:sz="4" w:space="0"/>
                  </w:tcBorders>
                  <w:shd w:val="clear" w:color="auto" w:fill="auto"/>
                  <w:vAlign w:val="center"/>
                </w:tcPr>
                <w:p w14:paraId="09CC1A0C">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声级值</w:t>
                  </w:r>
                </w:p>
                <w:p w14:paraId="63D82B12">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Cs w:val="21"/>
                    </w:rPr>
                    <w:t>dB（A）</w:t>
                  </w:r>
                </w:p>
              </w:tc>
              <w:tc>
                <w:tcPr>
                  <w:tcW w:w="1746" w:type="dxa"/>
                  <w:tcBorders>
                    <w:top w:val="single" w:color="auto" w:sz="4" w:space="0"/>
                  </w:tcBorders>
                  <w:vAlign w:val="center"/>
                </w:tcPr>
                <w:p w14:paraId="17826672">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降噪措施</w:t>
                  </w:r>
                </w:p>
              </w:tc>
              <w:tc>
                <w:tcPr>
                  <w:tcW w:w="1767" w:type="dxa"/>
                  <w:tcBorders>
                    <w:top w:val="single" w:color="auto" w:sz="4" w:space="0"/>
                    <w:right w:val="single" w:color="auto" w:sz="4" w:space="0"/>
                  </w:tcBorders>
                  <w:vAlign w:val="center"/>
                </w:tcPr>
                <w:p w14:paraId="00A0F072">
                  <w:pPr>
                    <w:keepNext w:val="0"/>
                    <w:keepLines w:val="0"/>
                    <w:pageBreakBefore w:val="0"/>
                    <w:widowControl w:val="0"/>
                    <w:kinsoku/>
                    <w:wordWrap/>
                    <w:overflowPunct/>
                    <w:topLinePunct w:val="0"/>
                    <w:autoSpaceDE/>
                    <w:autoSpaceDN/>
                    <w:bidi w:val="0"/>
                    <w:adjustRightInd w:val="0"/>
                    <w:snapToGrid w:val="0"/>
                    <w:jc w:val="center"/>
                    <w:textAlignment w:val="baseline"/>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采取措施后源强dB（A）</w:t>
                  </w:r>
                </w:p>
              </w:tc>
            </w:tr>
            <w:tr w14:paraId="29D52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tcBorders>
                    <w:left w:val="single" w:color="auto" w:sz="4" w:space="0"/>
                  </w:tcBorders>
                  <w:vAlign w:val="center"/>
                </w:tcPr>
                <w:p w14:paraId="3EAAA69B">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离心机</w:t>
                  </w:r>
                </w:p>
              </w:tc>
              <w:tc>
                <w:tcPr>
                  <w:tcW w:w="1577" w:type="dxa"/>
                  <w:shd w:val="clear" w:color="auto" w:fill="auto"/>
                  <w:vAlign w:val="center"/>
                </w:tcPr>
                <w:p w14:paraId="25D30878">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w:t>
                  </w:r>
                </w:p>
              </w:tc>
              <w:tc>
                <w:tcPr>
                  <w:tcW w:w="1577" w:type="dxa"/>
                  <w:shd w:val="clear" w:color="auto" w:fill="auto"/>
                  <w:vAlign w:val="center"/>
                </w:tcPr>
                <w:p w14:paraId="2DD4C6F4">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90</w:t>
                  </w:r>
                </w:p>
              </w:tc>
              <w:tc>
                <w:tcPr>
                  <w:tcW w:w="1746" w:type="dxa"/>
                  <w:vMerge w:val="restart"/>
                  <w:vAlign w:val="center"/>
                </w:tcPr>
                <w:p w14:paraId="5E9027E1">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合理布局，基础减振，选择低噪声设备，建筑隔声</w:t>
                  </w:r>
                </w:p>
              </w:tc>
              <w:tc>
                <w:tcPr>
                  <w:tcW w:w="1767" w:type="dxa"/>
                  <w:tcBorders>
                    <w:right w:val="single" w:color="auto" w:sz="4" w:space="0"/>
                  </w:tcBorders>
                  <w:vAlign w:val="center"/>
                </w:tcPr>
                <w:p w14:paraId="5B56BE73">
                  <w:pPr>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65</w:t>
                  </w:r>
                </w:p>
              </w:tc>
            </w:tr>
            <w:tr w14:paraId="27D190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tcBorders>
                    <w:left w:val="single" w:color="auto" w:sz="4" w:space="0"/>
                  </w:tcBorders>
                  <w:vAlign w:val="center"/>
                </w:tcPr>
                <w:p w14:paraId="30686FA4">
                  <w:pPr>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压榨机</w:t>
                  </w:r>
                </w:p>
              </w:tc>
              <w:tc>
                <w:tcPr>
                  <w:tcW w:w="1577" w:type="dxa"/>
                  <w:shd w:val="clear" w:color="auto" w:fill="auto"/>
                  <w:vAlign w:val="center"/>
                </w:tcPr>
                <w:p w14:paraId="6A26B541">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w:t>
                  </w:r>
                </w:p>
              </w:tc>
              <w:tc>
                <w:tcPr>
                  <w:tcW w:w="1577" w:type="dxa"/>
                  <w:shd w:val="clear" w:color="auto" w:fill="auto"/>
                  <w:vAlign w:val="center"/>
                </w:tcPr>
                <w:p w14:paraId="21D4DE31">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85</w:t>
                  </w:r>
                </w:p>
              </w:tc>
              <w:tc>
                <w:tcPr>
                  <w:tcW w:w="1746" w:type="dxa"/>
                  <w:vMerge w:val="continue"/>
                  <w:vAlign w:val="center"/>
                </w:tcPr>
                <w:p w14:paraId="7EAEEACE">
                  <w:pPr>
                    <w:snapToGrid w:val="0"/>
                    <w:jc w:val="center"/>
                    <w:rPr>
                      <w:rFonts w:hint="default" w:ascii="Times New Roman" w:hAnsi="Times New Roman" w:eastAsia="宋体" w:cs="Times New Roman"/>
                      <w:color w:val="auto"/>
                      <w:szCs w:val="21"/>
                      <w:lang w:val="en-US" w:eastAsia="zh-CN"/>
                    </w:rPr>
                  </w:pPr>
                </w:p>
              </w:tc>
              <w:tc>
                <w:tcPr>
                  <w:tcW w:w="1767" w:type="dxa"/>
                  <w:tcBorders>
                    <w:right w:val="single" w:color="auto" w:sz="4" w:space="0"/>
                  </w:tcBorders>
                  <w:vAlign w:val="center"/>
                </w:tcPr>
                <w:p w14:paraId="42530155">
                  <w:pPr>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60</w:t>
                  </w:r>
                </w:p>
              </w:tc>
            </w:tr>
            <w:tr w14:paraId="6CB4E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tcBorders>
                    <w:left w:val="single" w:color="auto" w:sz="4" w:space="0"/>
                  </w:tcBorders>
                  <w:vAlign w:val="center"/>
                </w:tcPr>
                <w:p w14:paraId="71743857">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药液泵</w:t>
                  </w:r>
                </w:p>
              </w:tc>
              <w:tc>
                <w:tcPr>
                  <w:tcW w:w="1577" w:type="dxa"/>
                  <w:shd w:val="clear" w:color="auto" w:fill="auto"/>
                  <w:vAlign w:val="center"/>
                </w:tcPr>
                <w:p w14:paraId="757A582E">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28</w:t>
                  </w:r>
                </w:p>
              </w:tc>
              <w:tc>
                <w:tcPr>
                  <w:tcW w:w="1577" w:type="dxa"/>
                  <w:shd w:val="clear" w:color="auto" w:fill="auto"/>
                  <w:vAlign w:val="center"/>
                </w:tcPr>
                <w:p w14:paraId="6AC681C0">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85</w:t>
                  </w:r>
                </w:p>
              </w:tc>
              <w:tc>
                <w:tcPr>
                  <w:tcW w:w="1746" w:type="dxa"/>
                  <w:vMerge w:val="continue"/>
                  <w:vAlign w:val="center"/>
                </w:tcPr>
                <w:p w14:paraId="55176520">
                  <w:pPr>
                    <w:snapToGrid w:val="0"/>
                    <w:jc w:val="center"/>
                    <w:rPr>
                      <w:rFonts w:hint="default" w:ascii="Times New Roman" w:hAnsi="Times New Roman" w:eastAsia="宋体" w:cs="Times New Roman"/>
                      <w:color w:val="auto"/>
                      <w:szCs w:val="21"/>
                    </w:rPr>
                  </w:pPr>
                </w:p>
              </w:tc>
              <w:tc>
                <w:tcPr>
                  <w:tcW w:w="1767" w:type="dxa"/>
                  <w:tcBorders>
                    <w:right w:val="single" w:color="auto" w:sz="4" w:space="0"/>
                  </w:tcBorders>
                  <w:vAlign w:val="center"/>
                </w:tcPr>
                <w:p w14:paraId="71BCA28D">
                  <w:pPr>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60</w:t>
                  </w:r>
                </w:p>
              </w:tc>
            </w:tr>
            <w:tr w14:paraId="230B2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tcBorders>
                    <w:left w:val="single" w:color="auto" w:sz="4" w:space="0"/>
                  </w:tcBorders>
                  <w:vAlign w:val="center"/>
                </w:tcPr>
                <w:p w14:paraId="721384E6">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真空泵</w:t>
                  </w:r>
                </w:p>
              </w:tc>
              <w:tc>
                <w:tcPr>
                  <w:tcW w:w="1577" w:type="dxa"/>
                  <w:shd w:val="clear" w:color="auto" w:fill="auto"/>
                  <w:vAlign w:val="center"/>
                </w:tcPr>
                <w:p w14:paraId="735D84D6">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4</w:t>
                  </w:r>
                </w:p>
              </w:tc>
              <w:tc>
                <w:tcPr>
                  <w:tcW w:w="1577" w:type="dxa"/>
                  <w:shd w:val="clear" w:color="auto" w:fill="auto"/>
                  <w:vAlign w:val="center"/>
                </w:tcPr>
                <w:p w14:paraId="7D97999D">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85</w:t>
                  </w:r>
                </w:p>
              </w:tc>
              <w:tc>
                <w:tcPr>
                  <w:tcW w:w="1746" w:type="dxa"/>
                  <w:vMerge w:val="continue"/>
                  <w:vAlign w:val="center"/>
                </w:tcPr>
                <w:p w14:paraId="041213A1">
                  <w:pPr>
                    <w:snapToGrid w:val="0"/>
                    <w:jc w:val="center"/>
                    <w:rPr>
                      <w:rFonts w:hint="default" w:ascii="Times New Roman" w:hAnsi="Times New Roman" w:eastAsia="宋体" w:cs="Times New Roman"/>
                      <w:color w:val="auto"/>
                      <w:szCs w:val="21"/>
                    </w:rPr>
                  </w:pPr>
                </w:p>
              </w:tc>
              <w:tc>
                <w:tcPr>
                  <w:tcW w:w="1767" w:type="dxa"/>
                  <w:tcBorders>
                    <w:right w:val="single" w:color="auto" w:sz="4" w:space="0"/>
                  </w:tcBorders>
                  <w:vAlign w:val="center"/>
                </w:tcPr>
                <w:p w14:paraId="2CC52AE3">
                  <w:pPr>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60</w:t>
                  </w:r>
                </w:p>
              </w:tc>
            </w:tr>
            <w:tr w14:paraId="0A1663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tcBorders>
                    <w:left w:val="single" w:color="auto" w:sz="4" w:space="0"/>
                  </w:tcBorders>
                  <w:vAlign w:val="center"/>
                </w:tcPr>
                <w:p w14:paraId="7CD7A286">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空压机</w:t>
                  </w:r>
                </w:p>
              </w:tc>
              <w:tc>
                <w:tcPr>
                  <w:tcW w:w="1577" w:type="dxa"/>
                  <w:shd w:val="clear" w:color="auto" w:fill="auto"/>
                  <w:vAlign w:val="center"/>
                </w:tcPr>
                <w:p w14:paraId="148856E8">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1577" w:type="dxa"/>
                  <w:shd w:val="clear" w:color="auto" w:fill="auto"/>
                  <w:vAlign w:val="center"/>
                </w:tcPr>
                <w:p w14:paraId="1DFE61AE">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85</w:t>
                  </w:r>
                </w:p>
              </w:tc>
              <w:tc>
                <w:tcPr>
                  <w:tcW w:w="1746" w:type="dxa"/>
                  <w:vMerge w:val="continue"/>
                  <w:vAlign w:val="center"/>
                </w:tcPr>
                <w:p w14:paraId="4F2A32E7">
                  <w:pPr>
                    <w:snapToGrid w:val="0"/>
                    <w:jc w:val="center"/>
                    <w:rPr>
                      <w:rFonts w:hint="default" w:ascii="Times New Roman" w:hAnsi="Times New Roman" w:eastAsia="宋体" w:cs="Times New Roman"/>
                      <w:color w:val="auto"/>
                      <w:szCs w:val="21"/>
                    </w:rPr>
                  </w:pPr>
                </w:p>
              </w:tc>
              <w:tc>
                <w:tcPr>
                  <w:tcW w:w="1767" w:type="dxa"/>
                  <w:tcBorders>
                    <w:right w:val="single" w:color="auto" w:sz="4" w:space="0"/>
                  </w:tcBorders>
                  <w:vAlign w:val="center"/>
                </w:tcPr>
                <w:p w14:paraId="1CA892DA">
                  <w:pPr>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60</w:t>
                  </w:r>
                </w:p>
              </w:tc>
            </w:tr>
            <w:tr w14:paraId="5ED08B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tcBorders>
                    <w:left w:val="single" w:color="auto" w:sz="4" w:space="0"/>
                    <w:bottom w:val="single" w:color="auto" w:sz="4" w:space="0"/>
                  </w:tcBorders>
                  <w:vAlign w:val="center"/>
                </w:tcPr>
                <w:p w14:paraId="1C3C6D8E">
                  <w:pPr>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水泵</w:t>
                  </w:r>
                </w:p>
              </w:tc>
              <w:tc>
                <w:tcPr>
                  <w:tcW w:w="1577" w:type="dxa"/>
                  <w:tcBorders>
                    <w:bottom w:val="single" w:color="auto" w:sz="4" w:space="0"/>
                  </w:tcBorders>
                  <w:shd w:val="clear" w:color="auto" w:fill="auto"/>
                  <w:vAlign w:val="center"/>
                </w:tcPr>
                <w:p w14:paraId="0A506FF1">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w:t>
                  </w:r>
                </w:p>
              </w:tc>
              <w:tc>
                <w:tcPr>
                  <w:tcW w:w="1577" w:type="dxa"/>
                  <w:tcBorders>
                    <w:bottom w:val="single" w:color="auto" w:sz="4" w:space="0"/>
                  </w:tcBorders>
                  <w:shd w:val="clear" w:color="auto" w:fill="auto"/>
                  <w:vAlign w:val="center"/>
                </w:tcPr>
                <w:p w14:paraId="732FDC1E">
                  <w:pPr>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85</w:t>
                  </w:r>
                </w:p>
              </w:tc>
              <w:tc>
                <w:tcPr>
                  <w:tcW w:w="1746" w:type="dxa"/>
                  <w:vMerge w:val="continue"/>
                  <w:tcBorders>
                    <w:bottom w:val="single" w:color="auto" w:sz="4" w:space="0"/>
                  </w:tcBorders>
                  <w:vAlign w:val="center"/>
                </w:tcPr>
                <w:p w14:paraId="43D8F0C1">
                  <w:pPr>
                    <w:snapToGrid w:val="0"/>
                    <w:jc w:val="center"/>
                    <w:rPr>
                      <w:rFonts w:hint="default" w:ascii="Times New Roman" w:hAnsi="Times New Roman" w:eastAsia="宋体" w:cs="Times New Roman"/>
                      <w:color w:val="auto"/>
                      <w:szCs w:val="21"/>
                    </w:rPr>
                  </w:pPr>
                </w:p>
              </w:tc>
              <w:tc>
                <w:tcPr>
                  <w:tcW w:w="1767" w:type="dxa"/>
                  <w:tcBorders>
                    <w:bottom w:val="single" w:color="auto" w:sz="4" w:space="0"/>
                    <w:right w:val="single" w:color="auto" w:sz="4" w:space="0"/>
                  </w:tcBorders>
                  <w:vAlign w:val="center"/>
                </w:tcPr>
                <w:p w14:paraId="1106466A">
                  <w:pPr>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60</w:t>
                  </w:r>
                </w:p>
              </w:tc>
            </w:tr>
          </w:tbl>
          <w:p w14:paraId="1C9BD3E3">
            <w:pPr>
              <w:spacing w:line="360" w:lineRule="auto"/>
              <w:ind w:firstLine="420" w:firstLineChars="200"/>
              <w:rPr>
                <w:rFonts w:hint="default" w:ascii="Times New Roman" w:hAnsi="Times New Roman" w:eastAsia="宋体" w:cs="Times New Roman"/>
                <w:bCs/>
                <w:color w:val="auto"/>
                <w:szCs w:val="21"/>
              </w:rPr>
            </w:pPr>
          </w:p>
          <w:p w14:paraId="19C6C394">
            <w:pPr>
              <w:adjustRightInd w:val="0"/>
              <w:snapToGrid w:val="0"/>
              <w:spacing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3.2噪声预测及达标情况</w:t>
            </w:r>
          </w:p>
          <w:p w14:paraId="59B53962">
            <w:pPr>
              <w:snapToGrid w:val="0"/>
              <w:spacing w:line="360" w:lineRule="auto"/>
              <w:ind w:firstLine="480" w:firstLineChars="2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声源在预测位置的声压级计算公式为：</w:t>
            </w:r>
          </w:p>
          <w:p w14:paraId="1867457D">
            <w:pPr>
              <w:snapToGrid w:val="0"/>
              <w:spacing w:line="360" w:lineRule="auto"/>
              <w:jc w:val="center"/>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L</w:t>
            </w:r>
            <w:r>
              <w:rPr>
                <w:rFonts w:hint="default" w:ascii="Times New Roman" w:hAnsi="Times New Roman" w:eastAsia="宋体" w:cs="Times New Roman"/>
                <w:snapToGrid w:val="0"/>
                <w:color w:val="auto"/>
                <w:sz w:val="24"/>
                <w:vertAlign w:val="subscript"/>
              </w:rPr>
              <w:t>p</w:t>
            </w:r>
            <w:r>
              <w:rPr>
                <w:rFonts w:hint="default" w:ascii="Times New Roman" w:hAnsi="Times New Roman" w:eastAsia="宋体" w:cs="Times New Roman"/>
                <w:snapToGrid w:val="0"/>
                <w:color w:val="auto"/>
                <w:sz w:val="24"/>
              </w:rPr>
              <w:t>（r）=L</w:t>
            </w:r>
            <w:r>
              <w:rPr>
                <w:rFonts w:hint="default" w:ascii="Times New Roman" w:hAnsi="Times New Roman" w:eastAsia="宋体" w:cs="Times New Roman"/>
                <w:snapToGrid w:val="0"/>
                <w:color w:val="auto"/>
                <w:sz w:val="24"/>
                <w:vertAlign w:val="subscript"/>
              </w:rPr>
              <w:t>w</w:t>
            </w:r>
            <w:r>
              <w:rPr>
                <w:rFonts w:hint="default" w:ascii="Times New Roman" w:hAnsi="Times New Roman" w:eastAsia="宋体" w:cs="Times New Roman"/>
                <w:snapToGrid w:val="0"/>
                <w:color w:val="auto"/>
                <w:sz w:val="24"/>
              </w:rPr>
              <w:t>+Dc-（A</w:t>
            </w:r>
            <w:r>
              <w:rPr>
                <w:rFonts w:hint="default" w:ascii="Times New Roman" w:hAnsi="Times New Roman" w:eastAsia="宋体" w:cs="Times New Roman"/>
                <w:snapToGrid w:val="0"/>
                <w:color w:val="auto"/>
                <w:sz w:val="24"/>
                <w:vertAlign w:val="subscript"/>
              </w:rPr>
              <w:t>div</w:t>
            </w:r>
            <w:r>
              <w:rPr>
                <w:rFonts w:hint="default" w:ascii="Times New Roman" w:hAnsi="Times New Roman" w:eastAsia="宋体" w:cs="Times New Roman"/>
                <w:snapToGrid w:val="0"/>
                <w:color w:val="auto"/>
                <w:sz w:val="24"/>
              </w:rPr>
              <w:t>+A</w:t>
            </w:r>
            <w:r>
              <w:rPr>
                <w:rFonts w:hint="default" w:ascii="Times New Roman" w:hAnsi="Times New Roman" w:eastAsia="宋体" w:cs="Times New Roman"/>
                <w:snapToGrid w:val="0"/>
                <w:color w:val="auto"/>
                <w:sz w:val="24"/>
                <w:vertAlign w:val="subscript"/>
              </w:rPr>
              <w:t>at</w:t>
            </w:r>
            <w:r>
              <w:rPr>
                <w:rFonts w:hint="default" w:ascii="Times New Roman" w:hAnsi="Times New Roman" w:eastAsia="宋体" w:cs="Times New Roman"/>
                <w:snapToGrid w:val="0"/>
                <w:color w:val="auto"/>
                <w:sz w:val="24"/>
                <w:vertAlign w:val="baseline"/>
                <w:lang w:eastAsia="zh-CN"/>
              </w:rPr>
              <w:t>m</w:t>
            </w:r>
            <w:r>
              <w:rPr>
                <w:rFonts w:hint="default" w:ascii="Times New Roman" w:hAnsi="Times New Roman" w:eastAsia="宋体" w:cs="Times New Roman"/>
                <w:snapToGrid w:val="0"/>
                <w:color w:val="auto"/>
                <w:sz w:val="24"/>
              </w:rPr>
              <w:t>+A</w:t>
            </w:r>
            <w:r>
              <w:rPr>
                <w:rFonts w:hint="default" w:ascii="Times New Roman" w:hAnsi="Times New Roman" w:eastAsia="宋体" w:cs="Times New Roman"/>
                <w:snapToGrid w:val="0"/>
                <w:color w:val="auto"/>
                <w:sz w:val="24"/>
                <w:vertAlign w:val="subscript"/>
              </w:rPr>
              <w:t>gr</w:t>
            </w:r>
            <w:r>
              <w:rPr>
                <w:rFonts w:hint="default" w:ascii="Times New Roman" w:hAnsi="Times New Roman" w:eastAsia="宋体" w:cs="Times New Roman"/>
                <w:snapToGrid w:val="0"/>
                <w:color w:val="auto"/>
                <w:sz w:val="24"/>
              </w:rPr>
              <w:t>+A</w:t>
            </w:r>
            <w:r>
              <w:rPr>
                <w:rFonts w:hint="default" w:ascii="Times New Roman" w:hAnsi="Times New Roman" w:eastAsia="宋体" w:cs="Times New Roman"/>
                <w:snapToGrid w:val="0"/>
                <w:color w:val="auto"/>
                <w:sz w:val="24"/>
                <w:vertAlign w:val="subscript"/>
              </w:rPr>
              <w:t>bar</w:t>
            </w:r>
            <w:r>
              <w:rPr>
                <w:rFonts w:hint="default" w:ascii="Times New Roman" w:hAnsi="Times New Roman" w:eastAsia="宋体" w:cs="Times New Roman"/>
                <w:snapToGrid w:val="0"/>
                <w:color w:val="auto"/>
                <w:sz w:val="24"/>
              </w:rPr>
              <w:t>+A</w:t>
            </w:r>
            <w:r>
              <w:rPr>
                <w:rFonts w:hint="default" w:ascii="Times New Roman" w:hAnsi="Times New Roman" w:eastAsia="宋体" w:cs="Times New Roman"/>
                <w:snapToGrid w:val="0"/>
                <w:color w:val="auto"/>
                <w:sz w:val="24"/>
                <w:vertAlign w:val="baseline"/>
                <w:lang w:eastAsia="zh-CN"/>
              </w:rPr>
              <w:t>m</w:t>
            </w:r>
            <w:r>
              <w:rPr>
                <w:rFonts w:hint="default" w:ascii="Times New Roman" w:hAnsi="Times New Roman" w:eastAsia="宋体" w:cs="Times New Roman"/>
                <w:snapToGrid w:val="0"/>
                <w:color w:val="auto"/>
                <w:sz w:val="24"/>
                <w:vertAlign w:val="subscript"/>
              </w:rPr>
              <w:t>isc</w:t>
            </w:r>
            <w:r>
              <w:rPr>
                <w:rFonts w:hint="default" w:ascii="Times New Roman" w:hAnsi="Times New Roman" w:eastAsia="宋体" w:cs="Times New Roman"/>
                <w:snapToGrid w:val="0"/>
                <w:color w:val="auto"/>
                <w:sz w:val="24"/>
              </w:rPr>
              <w:t>）</w:t>
            </w:r>
          </w:p>
          <w:p w14:paraId="4CE17A91">
            <w:pPr>
              <w:snapToGrid w:val="0"/>
              <w:spacing w:line="360" w:lineRule="auto"/>
              <w:ind w:firstLine="480" w:firstLineChars="2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式中：L</w:t>
            </w:r>
            <w:r>
              <w:rPr>
                <w:rFonts w:hint="default" w:ascii="Times New Roman" w:hAnsi="Times New Roman" w:eastAsia="宋体" w:cs="Times New Roman"/>
                <w:snapToGrid w:val="0"/>
                <w:color w:val="auto"/>
                <w:sz w:val="24"/>
                <w:vertAlign w:val="subscript"/>
              </w:rPr>
              <w:t>p</w:t>
            </w:r>
            <w:r>
              <w:rPr>
                <w:rFonts w:hint="default" w:ascii="Times New Roman" w:hAnsi="Times New Roman" w:eastAsia="宋体" w:cs="Times New Roman"/>
                <w:snapToGrid w:val="0"/>
                <w:color w:val="auto"/>
                <w:sz w:val="24"/>
              </w:rPr>
              <w:t>（r）----预测点处声压级，dB;</w:t>
            </w:r>
          </w:p>
          <w:p w14:paraId="0127E253">
            <w:pPr>
              <w:snapToGrid w:val="0"/>
              <w:spacing w:line="360" w:lineRule="auto"/>
              <w:ind w:firstLine="1200" w:firstLineChars="5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Lw----由点声源产生的声功率级（A计权或倍频带），dB；</w:t>
            </w:r>
          </w:p>
          <w:p w14:paraId="72222EDD">
            <w:pPr>
              <w:snapToGrid w:val="0"/>
              <w:spacing w:line="360" w:lineRule="auto"/>
              <w:ind w:firstLine="1200" w:firstLineChars="5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Dc----指向性校正，它描述点声源的等效连续声压级与产生声功率级Lw的全向点声源在规定方向的声级的偏差程度</w:t>
            </w:r>
            <w:r>
              <w:rPr>
                <w:rFonts w:hint="default" w:ascii="Times New Roman" w:hAnsi="Times New Roman" w:eastAsia="宋体" w:cs="Times New Roman"/>
                <w:snapToGrid w:val="0"/>
                <w:color w:val="auto"/>
                <w:sz w:val="24"/>
                <w:lang w:eastAsia="zh-CN"/>
              </w:rPr>
              <w:t>；</w:t>
            </w:r>
            <w:r>
              <w:rPr>
                <w:rFonts w:hint="default" w:ascii="Times New Roman" w:hAnsi="Times New Roman" w:eastAsia="宋体" w:cs="Times New Roman"/>
                <w:snapToGrid w:val="0"/>
                <w:color w:val="auto"/>
                <w:sz w:val="24"/>
              </w:rPr>
              <w:t>dB；</w:t>
            </w:r>
          </w:p>
          <w:p w14:paraId="246CD4A4">
            <w:pPr>
              <w:snapToGrid w:val="0"/>
              <w:spacing w:line="360" w:lineRule="auto"/>
              <w:ind w:firstLine="1200" w:firstLineChars="5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A</w:t>
            </w:r>
            <w:r>
              <w:rPr>
                <w:rFonts w:hint="default" w:ascii="Times New Roman" w:hAnsi="Times New Roman" w:eastAsia="宋体" w:cs="Times New Roman"/>
                <w:snapToGrid w:val="0"/>
                <w:color w:val="auto"/>
                <w:sz w:val="24"/>
                <w:vertAlign w:val="subscript"/>
              </w:rPr>
              <w:t>div</w:t>
            </w:r>
            <w:r>
              <w:rPr>
                <w:rFonts w:hint="default" w:ascii="Times New Roman" w:hAnsi="Times New Roman" w:eastAsia="宋体" w:cs="Times New Roman"/>
                <w:snapToGrid w:val="0"/>
                <w:color w:val="auto"/>
                <w:sz w:val="24"/>
              </w:rPr>
              <w:t>----几何发散引起的衰减</w:t>
            </w:r>
            <w:r>
              <w:rPr>
                <w:rFonts w:hint="default" w:ascii="Times New Roman" w:hAnsi="Times New Roman" w:eastAsia="宋体" w:cs="Times New Roman"/>
                <w:snapToGrid w:val="0"/>
                <w:color w:val="auto"/>
                <w:sz w:val="24"/>
                <w:lang w:eastAsia="zh-CN"/>
              </w:rPr>
              <w:t>；</w:t>
            </w:r>
            <w:r>
              <w:rPr>
                <w:rFonts w:hint="default" w:ascii="Times New Roman" w:hAnsi="Times New Roman" w:eastAsia="宋体" w:cs="Times New Roman"/>
                <w:snapToGrid w:val="0"/>
                <w:color w:val="auto"/>
                <w:sz w:val="24"/>
              </w:rPr>
              <w:t>dB；</w:t>
            </w:r>
          </w:p>
          <w:p w14:paraId="7E265C6F">
            <w:pPr>
              <w:snapToGrid w:val="0"/>
              <w:spacing w:line="360" w:lineRule="auto"/>
              <w:ind w:firstLine="1200" w:firstLineChars="5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A</w:t>
            </w:r>
            <w:r>
              <w:rPr>
                <w:rFonts w:hint="default" w:ascii="Times New Roman" w:hAnsi="Times New Roman" w:eastAsia="宋体" w:cs="Times New Roman"/>
                <w:snapToGrid w:val="0"/>
                <w:color w:val="auto"/>
                <w:sz w:val="24"/>
                <w:vertAlign w:val="subscript"/>
              </w:rPr>
              <w:t>at</w:t>
            </w:r>
            <w:r>
              <w:rPr>
                <w:rFonts w:hint="default" w:ascii="Times New Roman" w:hAnsi="Times New Roman" w:eastAsia="宋体" w:cs="Times New Roman"/>
                <w:snapToGrid w:val="0"/>
                <w:color w:val="auto"/>
                <w:sz w:val="24"/>
                <w:vertAlign w:val="baseline"/>
                <w:lang w:eastAsia="zh-CN"/>
              </w:rPr>
              <w:t>m</w:t>
            </w:r>
            <w:r>
              <w:rPr>
                <w:rFonts w:hint="default" w:ascii="Times New Roman" w:hAnsi="Times New Roman" w:eastAsia="宋体" w:cs="Times New Roman"/>
                <w:b/>
                <w:bCs/>
                <w:snapToGrid w:val="0"/>
                <w:color w:val="auto"/>
                <w:sz w:val="24"/>
              </w:rPr>
              <w:t>---</w:t>
            </w:r>
            <w:r>
              <w:rPr>
                <w:rFonts w:hint="default" w:ascii="Times New Roman" w:hAnsi="Times New Roman" w:eastAsia="宋体" w:cs="Times New Roman"/>
                <w:snapToGrid w:val="0"/>
                <w:color w:val="auto"/>
                <w:sz w:val="24"/>
              </w:rPr>
              <w:t>-大气吸收引起的衰减</w:t>
            </w:r>
            <w:r>
              <w:rPr>
                <w:rFonts w:hint="default" w:ascii="Times New Roman" w:hAnsi="Times New Roman" w:eastAsia="宋体" w:cs="Times New Roman"/>
                <w:snapToGrid w:val="0"/>
                <w:color w:val="auto"/>
                <w:sz w:val="24"/>
                <w:lang w:eastAsia="zh-CN"/>
              </w:rPr>
              <w:t>；</w:t>
            </w:r>
            <w:r>
              <w:rPr>
                <w:rFonts w:hint="default" w:ascii="Times New Roman" w:hAnsi="Times New Roman" w:eastAsia="宋体" w:cs="Times New Roman"/>
                <w:snapToGrid w:val="0"/>
                <w:color w:val="auto"/>
                <w:sz w:val="24"/>
              </w:rPr>
              <w:t>dB；</w:t>
            </w:r>
          </w:p>
          <w:p w14:paraId="20B50BC2">
            <w:pPr>
              <w:snapToGrid w:val="0"/>
              <w:spacing w:line="360" w:lineRule="auto"/>
              <w:ind w:firstLine="1200" w:firstLineChars="5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A</w:t>
            </w:r>
            <w:r>
              <w:rPr>
                <w:rFonts w:hint="default" w:ascii="Times New Roman" w:hAnsi="Times New Roman" w:eastAsia="宋体" w:cs="Times New Roman"/>
                <w:snapToGrid w:val="0"/>
                <w:color w:val="auto"/>
                <w:sz w:val="24"/>
                <w:vertAlign w:val="subscript"/>
              </w:rPr>
              <w:t>gr</w:t>
            </w:r>
            <w:r>
              <w:rPr>
                <w:rFonts w:hint="default" w:ascii="Times New Roman" w:hAnsi="Times New Roman" w:eastAsia="宋体" w:cs="Times New Roman"/>
                <w:snapToGrid w:val="0"/>
                <w:color w:val="auto"/>
                <w:sz w:val="24"/>
              </w:rPr>
              <w:t>-----地面效应引起的衰减</w:t>
            </w:r>
            <w:r>
              <w:rPr>
                <w:rFonts w:hint="default" w:ascii="Times New Roman" w:hAnsi="Times New Roman" w:eastAsia="宋体" w:cs="Times New Roman"/>
                <w:snapToGrid w:val="0"/>
                <w:color w:val="auto"/>
                <w:sz w:val="24"/>
                <w:lang w:eastAsia="zh-CN"/>
              </w:rPr>
              <w:t>；</w:t>
            </w:r>
            <w:r>
              <w:rPr>
                <w:rFonts w:hint="default" w:ascii="Times New Roman" w:hAnsi="Times New Roman" w:eastAsia="宋体" w:cs="Times New Roman"/>
                <w:snapToGrid w:val="0"/>
                <w:color w:val="auto"/>
                <w:sz w:val="24"/>
              </w:rPr>
              <w:t>dB；</w:t>
            </w:r>
          </w:p>
          <w:p w14:paraId="5C90C7A6">
            <w:pPr>
              <w:snapToGrid w:val="0"/>
              <w:spacing w:line="360" w:lineRule="auto"/>
              <w:ind w:firstLine="1200" w:firstLineChars="5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A</w:t>
            </w:r>
            <w:r>
              <w:rPr>
                <w:rFonts w:hint="default" w:ascii="Times New Roman" w:hAnsi="Times New Roman" w:eastAsia="宋体" w:cs="Times New Roman"/>
                <w:snapToGrid w:val="0"/>
                <w:color w:val="auto"/>
                <w:sz w:val="24"/>
                <w:vertAlign w:val="subscript"/>
              </w:rPr>
              <w:t>bar</w:t>
            </w:r>
            <w:r>
              <w:rPr>
                <w:rFonts w:hint="default" w:ascii="Times New Roman" w:hAnsi="Times New Roman" w:eastAsia="宋体" w:cs="Times New Roman"/>
                <w:snapToGrid w:val="0"/>
                <w:color w:val="auto"/>
                <w:sz w:val="24"/>
              </w:rPr>
              <w:t>----障碍物屏蔽引起的衰减</w:t>
            </w:r>
            <w:r>
              <w:rPr>
                <w:rFonts w:hint="default" w:ascii="Times New Roman" w:hAnsi="Times New Roman" w:eastAsia="宋体" w:cs="Times New Roman"/>
                <w:snapToGrid w:val="0"/>
                <w:color w:val="auto"/>
                <w:sz w:val="24"/>
                <w:lang w:eastAsia="zh-CN"/>
              </w:rPr>
              <w:t>；</w:t>
            </w:r>
            <w:r>
              <w:rPr>
                <w:rFonts w:hint="default" w:ascii="Times New Roman" w:hAnsi="Times New Roman" w:eastAsia="宋体" w:cs="Times New Roman"/>
                <w:snapToGrid w:val="0"/>
                <w:color w:val="auto"/>
                <w:sz w:val="24"/>
              </w:rPr>
              <w:t>dB；</w:t>
            </w:r>
          </w:p>
          <w:p w14:paraId="394811A8">
            <w:pPr>
              <w:snapToGrid w:val="0"/>
              <w:spacing w:line="360" w:lineRule="auto"/>
              <w:ind w:firstLine="1200" w:firstLineChars="5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A</w:t>
            </w:r>
            <w:r>
              <w:rPr>
                <w:rFonts w:hint="default" w:ascii="Times New Roman" w:hAnsi="Times New Roman" w:eastAsia="宋体" w:cs="Times New Roman"/>
                <w:snapToGrid w:val="0"/>
                <w:color w:val="auto"/>
                <w:sz w:val="24"/>
                <w:vertAlign w:val="baseline"/>
                <w:lang w:eastAsia="zh-CN"/>
              </w:rPr>
              <w:t>m</w:t>
            </w:r>
            <w:r>
              <w:rPr>
                <w:rFonts w:hint="default" w:ascii="Times New Roman" w:hAnsi="Times New Roman" w:eastAsia="宋体" w:cs="Times New Roman"/>
                <w:snapToGrid w:val="0"/>
                <w:color w:val="auto"/>
                <w:sz w:val="24"/>
                <w:vertAlign w:val="subscript"/>
              </w:rPr>
              <w:t>isc</w:t>
            </w:r>
            <w:r>
              <w:rPr>
                <w:rFonts w:hint="default" w:ascii="Times New Roman" w:hAnsi="Times New Roman" w:eastAsia="宋体" w:cs="Times New Roman"/>
                <w:snapToGrid w:val="0"/>
                <w:color w:val="auto"/>
                <w:sz w:val="24"/>
              </w:rPr>
              <w:t>----其他多方面</w:t>
            </w:r>
            <w:r>
              <w:rPr>
                <w:rFonts w:hint="eastAsia" w:cs="Times New Roman"/>
                <w:snapToGrid w:val="0"/>
                <w:color w:val="auto"/>
                <w:sz w:val="24"/>
                <w:lang w:eastAsia="zh-CN"/>
              </w:rPr>
              <w:t>因素</w:t>
            </w:r>
            <w:r>
              <w:rPr>
                <w:rFonts w:hint="default" w:ascii="Times New Roman" w:hAnsi="Times New Roman" w:eastAsia="宋体" w:cs="Times New Roman"/>
                <w:snapToGrid w:val="0"/>
                <w:color w:val="auto"/>
                <w:sz w:val="24"/>
              </w:rPr>
              <w:t>引起的衰减</w:t>
            </w:r>
            <w:r>
              <w:rPr>
                <w:rFonts w:hint="default" w:ascii="Times New Roman" w:hAnsi="Times New Roman" w:eastAsia="宋体" w:cs="Times New Roman"/>
                <w:snapToGrid w:val="0"/>
                <w:color w:val="auto"/>
                <w:sz w:val="24"/>
                <w:lang w:eastAsia="zh-CN"/>
              </w:rPr>
              <w:t>；</w:t>
            </w:r>
            <w:r>
              <w:rPr>
                <w:rFonts w:hint="default" w:ascii="Times New Roman" w:hAnsi="Times New Roman" w:eastAsia="宋体" w:cs="Times New Roman"/>
                <w:snapToGrid w:val="0"/>
                <w:color w:val="auto"/>
                <w:sz w:val="24"/>
              </w:rPr>
              <w:t>dB；</w:t>
            </w:r>
          </w:p>
          <w:p w14:paraId="1CDA3885">
            <w:pPr>
              <w:snapToGrid w:val="0"/>
              <w:spacing w:line="360" w:lineRule="auto"/>
              <w:ind w:firstLine="480" w:firstLineChars="2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本项目</w:t>
            </w:r>
            <w:r>
              <w:rPr>
                <w:rFonts w:hint="default" w:ascii="Times New Roman" w:hAnsi="Times New Roman" w:eastAsia="宋体" w:cs="Times New Roman"/>
                <w:snapToGrid w:val="0"/>
                <w:color w:val="auto"/>
                <w:sz w:val="24"/>
                <w:lang w:eastAsia="zh-CN"/>
              </w:rPr>
              <w:t>将</w:t>
            </w:r>
            <w:r>
              <w:rPr>
                <w:rFonts w:hint="default" w:ascii="Times New Roman" w:hAnsi="Times New Roman" w:eastAsia="宋体" w:cs="Times New Roman"/>
                <w:snapToGrid w:val="0"/>
                <w:color w:val="auto"/>
                <w:sz w:val="24"/>
              </w:rPr>
              <w:t>声源概化为点声源进行预测，不考虑指向性校正、大气吸收引起的衰减、地面效应及其他方面引起的衰减，障碍物屏蔽引起的衰减取20dB，几何发散引起的衰减按照30</w:t>
            </w:r>
            <w:r>
              <w:rPr>
                <w:rFonts w:hint="default" w:ascii="Times New Roman" w:hAnsi="Times New Roman" w:eastAsia="宋体" w:cs="Times New Roman"/>
                <w:snapToGrid w:val="0"/>
                <w:color w:val="auto"/>
                <w:sz w:val="24"/>
                <w:vertAlign w:val="baseline"/>
                <w:lang w:eastAsia="zh-CN"/>
              </w:rPr>
              <w:t>m</w:t>
            </w:r>
            <w:r>
              <w:rPr>
                <w:rFonts w:hint="default" w:ascii="Times New Roman" w:hAnsi="Times New Roman" w:eastAsia="宋体" w:cs="Times New Roman"/>
                <w:snapToGrid w:val="0"/>
                <w:color w:val="auto"/>
                <w:sz w:val="24"/>
              </w:rPr>
              <w:t>计算。</w:t>
            </w:r>
          </w:p>
          <w:p w14:paraId="7AB6FBA9">
            <w:pPr>
              <w:snapToGrid w:val="0"/>
              <w:spacing w:line="360" w:lineRule="auto"/>
              <w:ind w:firstLine="480" w:firstLineChars="2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噪声贡献值（Leqg）计算公式为：</w:t>
            </w:r>
          </w:p>
          <w:p w14:paraId="58E18F2F">
            <w:pPr>
              <w:snapToGrid w:val="0"/>
              <w:spacing w:line="360" w:lineRule="auto"/>
              <w:jc w:val="center"/>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drawing>
                <wp:inline distT="0" distB="0" distL="0" distR="0">
                  <wp:extent cx="1943100" cy="542925"/>
                  <wp:effectExtent l="0" t="0" r="0" b="9525"/>
                  <wp:docPr id="15770209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20903"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943100" cy="542925"/>
                          </a:xfrm>
                          <a:prstGeom prst="rect">
                            <a:avLst/>
                          </a:prstGeom>
                          <a:noFill/>
                          <a:ln>
                            <a:noFill/>
                          </a:ln>
                        </pic:spPr>
                      </pic:pic>
                    </a:graphicData>
                  </a:graphic>
                </wp:inline>
              </w:drawing>
            </w:r>
          </w:p>
          <w:p w14:paraId="603EE39A">
            <w:pPr>
              <w:snapToGrid w:val="0"/>
              <w:spacing w:line="360" w:lineRule="auto"/>
              <w:ind w:firstLine="480" w:firstLineChars="2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式中：Leqg----噪声贡献值</w:t>
            </w:r>
            <w:r>
              <w:rPr>
                <w:rFonts w:hint="default" w:ascii="Times New Roman" w:hAnsi="Times New Roman" w:eastAsia="宋体" w:cs="Times New Roman"/>
                <w:snapToGrid w:val="0"/>
                <w:color w:val="auto"/>
                <w:sz w:val="24"/>
                <w:lang w:eastAsia="zh-CN"/>
              </w:rPr>
              <w:t>；</w:t>
            </w:r>
            <w:r>
              <w:rPr>
                <w:rFonts w:hint="default" w:ascii="Times New Roman" w:hAnsi="Times New Roman" w:eastAsia="宋体" w:cs="Times New Roman"/>
                <w:snapToGrid w:val="0"/>
                <w:color w:val="auto"/>
                <w:sz w:val="24"/>
              </w:rPr>
              <w:t>dB；</w:t>
            </w:r>
          </w:p>
          <w:p w14:paraId="67AE6981">
            <w:pPr>
              <w:snapToGrid w:val="0"/>
              <w:spacing w:line="360" w:lineRule="auto"/>
              <w:ind w:firstLine="480" w:firstLineChars="2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 xml:space="preserve">      T----预测计算的时间段</w:t>
            </w:r>
            <w:r>
              <w:rPr>
                <w:rFonts w:hint="default" w:ascii="Times New Roman" w:hAnsi="Times New Roman" w:eastAsia="宋体" w:cs="Times New Roman"/>
                <w:snapToGrid w:val="0"/>
                <w:color w:val="auto"/>
                <w:sz w:val="24"/>
                <w:lang w:eastAsia="zh-CN"/>
              </w:rPr>
              <w:t>；</w:t>
            </w:r>
            <w:r>
              <w:rPr>
                <w:rFonts w:hint="default" w:ascii="Times New Roman" w:hAnsi="Times New Roman" w:eastAsia="宋体" w:cs="Times New Roman"/>
                <w:snapToGrid w:val="0"/>
                <w:color w:val="auto"/>
                <w:sz w:val="24"/>
              </w:rPr>
              <w:t>S；</w:t>
            </w:r>
          </w:p>
          <w:p w14:paraId="29125C8C">
            <w:pPr>
              <w:snapToGrid w:val="0"/>
              <w:spacing w:line="360" w:lineRule="auto"/>
              <w:ind w:firstLine="480" w:firstLineChars="2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 xml:space="preserve">      t</w:t>
            </w:r>
            <w:r>
              <w:rPr>
                <w:rFonts w:hint="default" w:ascii="Times New Roman" w:hAnsi="Times New Roman" w:eastAsia="宋体" w:cs="Times New Roman"/>
                <w:snapToGrid w:val="0"/>
                <w:color w:val="auto"/>
                <w:sz w:val="24"/>
                <w:vertAlign w:val="subscript"/>
              </w:rPr>
              <w:t>i</w:t>
            </w:r>
            <w:r>
              <w:rPr>
                <w:rFonts w:hint="default" w:ascii="Times New Roman" w:hAnsi="Times New Roman" w:eastAsia="宋体" w:cs="Times New Roman"/>
                <w:snapToGrid w:val="0"/>
                <w:color w:val="auto"/>
                <w:sz w:val="24"/>
              </w:rPr>
              <w:t>----i声源在T时段内的运行时间</w:t>
            </w:r>
            <w:r>
              <w:rPr>
                <w:rFonts w:hint="default" w:ascii="Times New Roman" w:hAnsi="Times New Roman" w:eastAsia="宋体" w:cs="Times New Roman"/>
                <w:snapToGrid w:val="0"/>
                <w:color w:val="auto"/>
                <w:sz w:val="24"/>
                <w:lang w:eastAsia="zh-CN"/>
              </w:rPr>
              <w:t>；</w:t>
            </w:r>
            <w:r>
              <w:rPr>
                <w:rFonts w:hint="default" w:ascii="Times New Roman" w:hAnsi="Times New Roman" w:eastAsia="宋体" w:cs="Times New Roman"/>
                <w:snapToGrid w:val="0"/>
                <w:color w:val="auto"/>
                <w:sz w:val="24"/>
              </w:rPr>
              <w:t>S；</w:t>
            </w:r>
          </w:p>
          <w:p w14:paraId="407522CD">
            <w:pPr>
              <w:snapToGrid w:val="0"/>
              <w:spacing w:line="360" w:lineRule="auto"/>
              <w:ind w:firstLine="480" w:firstLineChars="200"/>
              <w:rPr>
                <w:rFonts w:hint="default" w:ascii="Times New Roman" w:hAnsi="Times New Roman" w:eastAsia="宋体" w:cs="Times New Roman"/>
                <w:snapToGrid w:val="0"/>
                <w:color w:val="auto"/>
                <w:sz w:val="24"/>
              </w:rPr>
            </w:pPr>
            <w:r>
              <w:rPr>
                <w:rFonts w:hint="default" w:ascii="Times New Roman" w:hAnsi="Times New Roman" w:eastAsia="宋体" w:cs="Times New Roman"/>
                <w:snapToGrid w:val="0"/>
                <w:color w:val="auto"/>
                <w:sz w:val="24"/>
              </w:rPr>
              <w:t xml:space="preserve">      L</w:t>
            </w:r>
            <w:r>
              <w:rPr>
                <w:rFonts w:hint="default" w:ascii="Times New Roman" w:hAnsi="Times New Roman" w:eastAsia="宋体" w:cs="Times New Roman"/>
                <w:snapToGrid w:val="0"/>
                <w:color w:val="auto"/>
                <w:sz w:val="24"/>
                <w:vertAlign w:val="subscript"/>
              </w:rPr>
              <w:t>Ai</w:t>
            </w:r>
            <w:r>
              <w:rPr>
                <w:rFonts w:hint="default" w:ascii="Times New Roman" w:hAnsi="Times New Roman" w:eastAsia="宋体" w:cs="Times New Roman"/>
                <w:snapToGrid w:val="0"/>
                <w:color w:val="auto"/>
                <w:sz w:val="24"/>
              </w:rPr>
              <w:t>----i声源在预测点产生的等效连续A声级</w:t>
            </w:r>
            <w:r>
              <w:rPr>
                <w:rFonts w:hint="default" w:ascii="Times New Roman" w:hAnsi="Times New Roman" w:eastAsia="宋体" w:cs="Times New Roman"/>
                <w:snapToGrid w:val="0"/>
                <w:color w:val="auto"/>
                <w:sz w:val="24"/>
                <w:lang w:eastAsia="zh-CN"/>
              </w:rPr>
              <w:t>；</w:t>
            </w:r>
            <w:r>
              <w:rPr>
                <w:rFonts w:hint="default" w:ascii="Times New Roman" w:hAnsi="Times New Roman" w:eastAsia="宋体" w:cs="Times New Roman"/>
                <w:snapToGrid w:val="0"/>
                <w:color w:val="auto"/>
                <w:sz w:val="24"/>
              </w:rPr>
              <w:t>dB。</w:t>
            </w:r>
          </w:p>
          <w:p w14:paraId="6210F8C9">
            <w:pPr>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根据《环境影响评价技术导则声环境》（HJ2.4-2021）规定，结合项目</w:t>
            </w:r>
            <w:r>
              <w:rPr>
                <w:rFonts w:hint="default" w:ascii="Times New Roman" w:hAnsi="Times New Roman" w:eastAsia="宋体" w:cs="Times New Roman"/>
                <w:bCs/>
                <w:color w:val="auto"/>
                <w:sz w:val="24"/>
                <w:lang w:eastAsia="zh-CN"/>
              </w:rPr>
              <w:t>厂区</w:t>
            </w:r>
            <w:r>
              <w:rPr>
                <w:rFonts w:hint="default" w:ascii="Times New Roman" w:hAnsi="Times New Roman" w:eastAsia="宋体" w:cs="Times New Roman"/>
                <w:bCs/>
                <w:color w:val="auto"/>
                <w:sz w:val="24"/>
              </w:rPr>
              <w:t>平面布置图，经噪声衰减，运营期项目主要产噪设备对厂界噪声贡献值的预测结果见表4-</w:t>
            </w:r>
            <w:r>
              <w:rPr>
                <w:rFonts w:hint="default" w:ascii="Times New Roman" w:hAnsi="Times New Roman" w:eastAsia="宋体" w:cs="Times New Roman"/>
                <w:bCs/>
                <w:color w:val="auto"/>
                <w:sz w:val="24"/>
                <w:lang w:val="en-US" w:eastAsia="zh-CN"/>
              </w:rPr>
              <w:t>6</w:t>
            </w:r>
            <w:r>
              <w:rPr>
                <w:rFonts w:hint="default" w:ascii="Times New Roman" w:hAnsi="Times New Roman" w:eastAsia="宋体" w:cs="Times New Roman"/>
                <w:bCs/>
                <w:color w:val="auto"/>
                <w:sz w:val="24"/>
              </w:rPr>
              <w:t>。</w:t>
            </w:r>
          </w:p>
          <w:p w14:paraId="402532F4">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 xml:space="preserve"> 主要产噪设备对厂界噪声的预测结果一览表</w:t>
            </w:r>
          </w:p>
          <w:tbl>
            <w:tblPr>
              <w:tblStyle w:val="7"/>
              <w:tblW w:w="500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927"/>
              <w:gridCol w:w="1860"/>
              <w:gridCol w:w="2605"/>
              <w:gridCol w:w="1830"/>
            </w:tblGrid>
            <w:tr w14:paraId="7759E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tcBorders>
                    <w:top w:val="single" w:color="auto" w:sz="4" w:space="0"/>
                    <w:left w:val="single" w:color="auto" w:sz="0" w:space="0"/>
                  </w:tcBorders>
                  <w:vAlign w:val="center"/>
                </w:tcPr>
                <w:p w14:paraId="6E207EBF">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预测点位</w:t>
                  </w:r>
                </w:p>
              </w:tc>
              <w:tc>
                <w:tcPr>
                  <w:tcW w:w="1131" w:type="pct"/>
                  <w:tcBorders>
                    <w:top w:val="single" w:color="auto" w:sz="4" w:space="0"/>
                  </w:tcBorders>
                  <w:vAlign w:val="center"/>
                </w:tcPr>
                <w:p w14:paraId="6FAB69DB">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贡献值/dB（A）</w:t>
                  </w:r>
                </w:p>
              </w:tc>
              <w:tc>
                <w:tcPr>
                  <w:tcW w:w="1584" w:type="pct"/>
                  <w:tcBorders>
                    <w:top w:val="single" w:color="auto" w:sz="4" w:space="0"/>
                  </w:tcBorders>
                  <w:vAlign w:val="center"/>
                </w:tcPr>
                <w:p w14:paraId="1E08FC28">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标准值/dB（A）</w:t>
                  </w:r>
                </w:p>
              </w:tc>
              <w:tc>
                <w:tcPr>
                  <w:tcW w:w="1112" w:type="pct"/>
                  <w:tcBorders>
                    <w:top w:val="single" w:color="auto" w:sz="4" w:space="0"/>
                    <w:right w:val="single" w:color="auto" w:sz="4" w:space="0"/>
                  </w:tcBorders>
                  <w:vAlign w:val="center"/>
                </w:tcPr>
                <w:p w14:paraId="59BE5F46">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达标情况</w:t>
                  </w:r>
                </w:p>
              </w:tc>
            </w:tr>
            <w:tr w14:paraId="747EA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tcBorders>
                    <w:left w:val="single" w:color="auto" w:sz="4" w:space="0"/>
                  </w:tcBorders>
                  <w:vAlign w:val="center"/>
                </w:tcPr>
                <w:p w14:paraId="4F985DE6">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东厂界</w:t>
                  </w:r>
                </w:p>
              </w:tc>
              <w:tc>
                <w:tcPr>
                  <w:tcW w:w="1131" w:type="pct"/>
                  <w:vAlign w:val="center"/>
                </w:tcPr>
                <w:p w14:paraId="23571BBF">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lang w:val="en-US" w:eastAsia="zh-CN"/>
                    </w:rPr>
                    <w:t>39.4</w:t>
                  </w:r>
                </w:p>
              </w:tc>
              <w:tc>
                <w:tcPr>
                  <w:tcW w:w="1584" w:type="pct"/>
                  <w:vMerge w:val="restart"/>
                  <w:vAlign w:val="center"/>
                </w:tcPr>
                <w:p w14:paraId="6E3C107E">
                  <w:pPr>
                    <w:spacing w:line="0" w:lineRule="atLeast"/>
                    <w:jc w:val="center"/>
                    <w:rPr>
                      <w:rFonts w:hint="default" w:ascii="Times New Roman" w:hAnsi="Times New Roman" w:eastAsia="宋体" w:cs="Times New Roman"/>
                      <w:color w:val="auto"/>
                      <w:spacing w:val="-10"/>
                      <w:szCs w:val="21"/>
                      <w:lang w:val="en-US" w:eastAsia="zh-CN"/>
                    </w:rPr>
                  </w:pPr>
                  <w:r>
                    <w:rPr>
                      <w:rFonts w:hint="default" w:ascii="Times New Roman" w:hAnsi="Times New Roman" w:eastAsia="宋体" w:cs="Times New Roman"/>
                      <w:color w:val="auto"/>
                      <w:spacing w:val="-10"/>
                      <w:szCs w:val="21"/>
                    </w:rPr>
                    <w:t>昼间：</w:t>
                  </w:r>
                  <w:r>
                    <w:rPr>
                      <w:rFonts w:hint="default" w:ascii="Times New Roman" w:hAnsi="Times New Roman" w:eastAsia="宋体" w:cs="Times New Roman"/>
                      <w:color w:val="auto"/>
                      <w:spacing w:val="-10"/>
                      <w:szCs w:val="21"/>
                      <w:lang w:val="en-US" w:eastAsia="zh-CN"/>
                    </w:rPr>
                    <w:t>60</w:t>
                  </w:r>
                </w:p>
                <w:p w14:paraId="4F034935">
                  <w:pPr>
                    <w:spacing w:line="0" w:lineRule="atLeast"/>
                    <w:jc w:val="center"/>
                    <w:rPr>
                      <w:rFonts w:hint="default" w:ascii="Times New Roman" w:hAnsi="Times New Roman" w:eastAsia="宋体" w:cs="Times New Roman"/>
                      <w:color w:val="auto"/>
                      <w:spacing w:val="-10"/>
                      <w:szCs w:val="21"/>
                      <w:lang w:val="en-US" w:eastAsia="zh-CN"/>
                    </w:rPr>
                  </w:pPr>
                  <w:r>
                    <w:rPr>
                      <w:rFonts w:hint="default" w:ascii="Times New Roman" w:hAnsi="Times New Roman" w:eastAsia="宋体" w:cs="Times New Roman"/>
                      <w:color w:val="auto"/>
                      <w:spacing w:val="-10"/>
                      <w:szCs w:val="21"/>
                      <w:lang w:val="en-US" w:eastAsia="zh-CN"/>
                    </w:rPr>
                    <w:t>夜间：50</w:t>
                  </w:r>
                </w:p>
              </w:tc>
              <w:tc>
                <w:tcPr>
                  <w:tcW w:w="1112" w:type="pct"/>
                  <w:tcBorders>
                    <w:right w:val="single" w:color="auto" w:sz="4" w:space="0"/>
                  </w:tcBorders>
                  <w:vAlign w:val="center"/>
                </w:tcPr>
                <w:p w14:paraId="4C1C4B39">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达标</w:t>
                  </w:r>
                </w:p>
              </w:tc>
            </w:tr>
            <w:tr w14:paraId="17DD90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tcBorders>
                    <w:left w:val="single" w:color="auto" w:sz="4" w:space="0"/>
                  </w:tcBorders>
                  <w:vAlign w:val="center"/>
                </w:tcPr>
                <w:p w14:paraId="393844D3">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南厂界</w:t>
                  </w:r>
                </w:p>
              </w:tc>
              <w:tc>
                <w:tcPr>
                  <w:tcW w:w="1131" w:type="pct"/>
                  <w:vAlign w:val="center"/>
                </w:tcPr>
                <w:p w14:paraId="3EB52EE4">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lang w:val="en-US" w:eastAsia="zh-CN"/>
                    </w:rPr>
                    <w:t>36</w:t>
                  </w:r>
                  <w:r>
                    <w:rPr>
                      <w:rFonts w:hint="default" w:ascii="Times New Roman" w:hAnsi="Times New Roman" w:eastAsia="宋体" w:cs="Times New Roman"/>
                      <w:color w:val="auto"/>
                      <w:spacing w:val="-10"/>
                      <w:szCs w:val="21"/>
                    </w:rPr>
                    <w:t>.6</w:t>
                  </w:r>
                </w:p>
              </w:tc>
              <w:tc>
                <w:tcPr>
                  <w:tcW w:w="1584" w:type="pct"/>
                  <w:vMerge w:val="continue"/>
                  <w:vAlign w:val="center"/>
                </w:tcPr>
                <w:p w14:paraId="47D4AB4F">
                  <w:pPr>
                    <w:spacing w:line="0" w:lineRule="atLeast"/>
                    <w:jc w:val="center"/>
                    <w:rPr>
                      <w:rFonts w:hint="default" w:ascii="Times New Roman" w:hAnsi="Times New Roman" w:eastAsia="宋体" w:cs="Times New Roman"/>
                      <w:color w:val="auto"/>
                      <w:spacing w:val="-10"/>
                      <w:szCs w:val="21"/>
                    </w:rPr>
                  </w:pPr>
                </w:p>
              </w:tc>
              <w:tc>
                <w:tcPr>
                  <w:tcW w:w="1112" w:type="pct"/>
                  <w:tcBorders>
                    <w:right w:val="single" w:color="auto" w:sz="4" w:space="0"/>
                  </w:tcBorders>
                  <w:vAlign w:val="center"/>
                </w:tcPr>
                <w:p w14:paraId="44BCBE4E">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达标</w:t>
                  </w:r>
                </w:p>
              </w:tc>
            </w:tr>
            <w:tr w14:paraId="00F0C9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tcBorders>
                    <w:left w:val="single" w:color="auto" w:sz="4" w:space="0"/>
                  </w:tcBorders>
                  <w:vAlign w:val="center"/>
                </w:tcPr>
                <w:p w14:paraId="29FF3F60">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西厂界</w:t>
                  </w:r>
                </w:p>
              </w:tc>
              <w:tc>
                <w:tcPr>
                  <w:tcW w:w="1131" w:type="pct"/>
                  <w:vAlign w:val="center"/>
                </w:tcPr>
                <w:p w14:paraId="402F0AA9">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3</w:t>
                  </w:r>
                  <w:r>
                    <w:rPr>
                      <w:rFonts w:hint="default" w:ascii="Times New Roman" w:hAnsi="Times New Roman" w:eastAsia="宋体" w:cs="Times New Roman"/>
                      <w:color w:val="auto"/>
                      <w:spacing w:val="-10"/>
                      <w:szCs w:val="21"/>
                      <w:lang w:val="en-US" w:eastAsia="zh-CN"/>
                    </w:rPr>
                    <w:t>6</w:t>
                  </w:r>
                  <w:r>
                    <w:rPr>
                      <w:rFonts w:hint="default" w:ascii="Times New Roman" w:hAnsi="Times New Roman" w:eastAsia="宋体" w:cs="Times New Roman"/>
                      <w:color w:val="auto"/>
                      <w:spacing w:val="-10"/>
                      <w:szCs w:val="21"/>
                    </w:rPr>
                    <w:t>.4</w:t>
                  </w:r>
                </w:p>
              </w:tc>
              <w:tc>
                <w:tcPr>
                  <w:tcW w:w="1584" w:type="pct"/>
                  <w:vMerge w:val="continue"/>
                  <w:vAlign w:val="center"/>
                </w:tcPr>
                <w:p w14:paraId="67B8C57E">
                  <w:pPr>
                    <w:spacing w:line="0" w:lineRule="atLeast"/>
                    <w:jc w:val="center"/>
                    <w:rPr>
                      <w:rFonts w:hint="default" w:ascii="Times New Roman" w:hAnsi="Times New Roman" w:eastAsia="宋体" w:cs="Times New Roman"/>
                      <w:color w:val="auto"/>
                      <w:spacing w:val="-10"/>
                      <w:szCs w:val="21"/>
                    </w:rPr>
                  </w:pPr>
                </w:p>
              </w:tc>
              <w:tc>
                <w:tcPr>
                  <w:tcW w:w="1112" w:type="pct"/>
                  <w:tcBorders>
                    <w:right w:val="single" w:color="auto" w:sz="4" w:space="0"/>
                  </w:tcBorders>
                  <w:vAlign w:val="center"/>
                </w:tcPr>
                <w:p w14:paraId="367D5348">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达标</w:t>
                  </w:r>
                </w:p>
              </w:tc>
            </w:tr>
            <w:tr w14:paraId="1F50CF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1" w:type="pct"/>
                  <w:tcBorders>
                    <w:left w:val="single" w:color="auto" w:sz="4" w:space="0"/>
                    <w:bottom w:val="single" w:color="auto" w:sz="4" w:space="0"/>
                  </w:tcBorders>
                  <w:vAlign w:val="center"/>
                </w:tcPr>
                <w:p w14:paraId="30636D6A">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北厂界</w:t>
                  </w:r>
                </w:p>
              </w:tc>
              <w:tc>
                <w:tcPr>
                  <w:tcW w:w="1131" w:type="pct"/>
                  <w:tcBorders>
                    <w:bottom w:val="single" w:color="auto" w:sz="4" w:space="0"/>
                  </w:tcBorders>
                  <w:vAlign w:val="center"/>
                </w:tcPr>
                <w:p w14:paraId="716944B6">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lang w:val="en-US" w:eastAsia="zh-CN"/>
                    </w:rPr>
                    <w:t>32</w:t>
                  </w:r>
                  <w:r>
                    <w:rPr>
                      <w:rFonts w:hint="default" w:ascii="Times New Roman" w:hAnsi="Times New Roman" w:eastAsia="宋体" w:cs="Times New Roman"/>
                      <w:color w:val="auto"/>
                      <w:spacing w:val="-10"/>
                      <w:szCs w:val="21"/>
                    </w:rPr>
                    <w:t>.5</w:t>
                  </w:r>
                </w:p>
              </w:tc>
              <w:tc>
                <w:tcPr>
                  <w:tcW w:w="1584" w:type="pct"/>
                  <w:vMerge w:val="continue"/>
                  <w:tcBorders>
                    <w:bottom w:val="single" w:color="auto" w:sz="4" w:space="0"/>
                  </w:tcBorders>
                  <w:vAlign w:val="center"/>
                </w:tcPr>
                <w:p w14:paraId="6E7DF137">
                  <w:pPr>
                    <w:spacing w:line="0" w:lineRule="atLeast"/>
                    <w:jc w:val="center"/>
                    <w:rPr>
                      <w:rFonts w:hint="default" w:ascii="Times New Roman" w:hAnsi="Times New Roman" w:eastAsia="宋体" w:cs="Times New Roman"/>
                      <w:color w:val="auto"/>
                      <w:spacing w:val="-10"/>
                      <w:szCs w:val="21"/>
                    </w:rPr>
                  </w:pPr>
                </w:p>
              </w:tc>
              <w:tc>
                <w:tcPr>
                  <w:tcW w:w="1112" w:type="pct"/>
                  <w:tcBorders>
                    <w:bottom w:val="single" w:color="auto" w:sz="4" w:space="0"/>
                    <w:right w:val="single" w:color="auto" w:sz="4" w:space="0"/>
                  </w:tcBorders>
                  <w:vAlign w:val="center"/>
                </w:tcPr>
                <w:p w14:paraId="709BAD35">
                  <w:pPr>
                    <w:spacing w:line="0" w:lineRule="atLeast"/>
                    <w:jc w:val="center"/>
                    <w:rPr>
                      <w:rFonts w:hint="default" w:ascii="Times New Roman" w:hAnsi="Times New Roman" w:eastAsia="宋体" w:cs="Times New Roman"/>
                      <w:color w:val="auto"/>
                      <w:spacing w:val="-10"/>
                      <w:szCs w:val="21"/>
                    </w:rPr>
                  </w:pPr>
                  <w:r>
                    <w:rPr>
                      <w:rFonts w:hint="default" w:ascii="Times New Roman" w:hAnsi="Times New Roman" w:eastAsia="宋体" w:cs="Times New Roman"/>
                      <w:color w:val="auto"/>
                      <w:spacing w:val="-10"/>
                      <w:szCs w:val="21"/>
                    </w:rPr>
                    <w:t>达标</w:t>
                  </w:r>
                </w:p>
              </w:tc>
            </w:tr>
          </w:tbl>
          <w:p w14:paraId="2AA73D47">
            <w:pPr>
              <w:spacing w:line="360" w:lineRule="auto"/>
              <w:ind w:firstLine="480" w:firstLineChars="200"/>
              <w:rPr>
                <w:rFonts w:hint="default" w:ascii="Times New Roman" w:hAnsi="Times New Roman" w:eastAsia="宋体" w:cs="Times New Roman"/>
                <w:bCs/>
                <w:color w:val="auto"/>
                <w:sz w:val="24"/>
              </w:rPr>
            </w:pPr>
          </w:p>
          <w:p w14:paraId="32BDE42D">
            <w:pPr>
              <w:spacing w:line="360" w:lineRule="auto"/>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eastAsia="宋体" w:cs="Times New Roman"/>
                <w:bCs/>
                <w:color w:val="auto"/>
                <w:sz w:val="24"/>
              </w:rPr>
              <w:t>设备噪声采取减振、隔声处理等措施后，对厂区各厂界噪声贡献值为</w:t>
            </w:r>
            <w:r>
              <w:rPr>
                <w:rFonts w:hint="default" w:ascii="Times New Roman" w:hAnsi="Times New Roman" w:eastAsia="宋体" w:cs="Times New Roman"/>
                <w:bCs/>
                <w:color w:val="auto"/>
                <w:sz w:val="24"/>
                <w:lang w:val="en-US" w:eastAsia="zh-CN"/>
              </w:rPr>
              <w:t>32.5</w:t>
            </w:r>
            <w:r>
              <w:rPr>
                <w:rFonts w:hint="default" w:ascii="Times New Roman" w:hAnsi="Times New Roman" w:eastAsia="宋体" w:cs="Times New Roman"/>
                <w:bCs/>
                <w:color w:val="auto"/>
                <w:sz w:val="24"/>
              </w:rPr>
              <w:t>～</w:t>
            </w:r>
            <w:r>
              <w:rPr>
                <w:rFonts w:hint="default" w:ascii="Times New Roman" w:hAnsi="Times New Roman" w:eastAsia="宋体" w:cs="Times New Roman"/>
                <w:bCs/>
                <w:color w:val="auto"/>
                <w:sz w:val="24"/>
                <w:lang w:val="en-US" w:eastAsia="zh-CN"/>
              </w:rPr>
              <w:t>39.4</w:t>
            </w:r>
            <w:r>
              <w:rPr>
                <w:rFonts w:hint="default" w:ascii="Times New Roman" w:hAnsi="Times New Roman" w:eastAsia="宋体" w:cs="Times New Roman"/>
                <w:bCs/>
                <w:color w:val="auto"/>
                <w:sz w:val="24"/>
              </w:rPr>
              <w:t>dB</w:t>
            </w:r>
            <w:r>
              <w:rPr>
                <w:rFonts w:hint="eastAsia" w:cs="Times New Roman"/>
                <w:bCs/>
                <w:color w:val="auto"/>
                <w:sz w:val="24"/>
                <w:lang w:eastAsia="zh-CN"/>
              </w:rPr>
              <w:t>（</w:t>
            </w:r>
            <w:r>
              <w:rPr>
                <w:rFonts w:hint="default" w:ascii="Times New Roman" w:hAnsi="Times New Roman" w:eastAsia="宋体" w:cs="Times New Roman"/>
                <w:bCs/>
                <w:color w:val="auto"/>
                <w:sz w:val="24"/>
              </w:rPr>
              <w:t>A</w:t>
            </w:r>
            <w:r>
              <w:rPr>
                <w:rFonts w:hint="eastAsia" w:cs="Times New Roman"/>
                <w:bCs/>
                <w:color w:val="auto"/>
                <w:sz w:val="24"/>
                <w:lang w:eastAsia="zh-CN"/>
              </w:rPr>
              <w:t>）</w:t>
            </w:r>
            <w:r>
              <w:rPr>
                <w:rFonts w:hint="default" w:ascii="Times New Roman" w:hAnsi="Times New Roman" w:eastAsia="宋体" w:cs="Times New Roman"/>
                <w:bCs/>
                <w:color w:val="auto"/>
                <w:sz w:val="24"/>
                <w:lang w:val="en-US" w:eastAsia="zh-CN"/>
              </w:rPr>
              <w:t>，均</w:t>
            </w:r>
            <w:r>
              <w:rPr>
                <w:rFonts w:hint="default" w:ascii="Times New Roman" w:hAnsi="Times New Roman" w:eastAsia="宋体" w:cs="Times New Roman"/>
                <w:bCs/>
                <w:color w:val="auto"/>
                <w:sz w:val="24"/>
              </w:rPr>
              <w:t>满足《工业企业厂界环境噪声排放标准》（GB12348-2008）</w:t>
            </w:r>
            <w:r>
              <w:rPr>
                <w:rFonts w:hint="default" w:ascii="Times New Roman" w:hAnsi="Times New Roman" w:eastAsia="宋体" w:cs="Times New Roman"/>
                <w:bCs/>
                <w:color w:val="auto"/>
                <w:sz w:val="24"/>
                <w:lang w:eastAsia="zh-CN"/>
              </w:rPr>
              <w:t>2类标准</w:t>
            </w:r>
            <w:r>
              <w:rPr>
                <w:rFonts w:hint="default" w:ascii="Times New Roman" w:hAnsi="Times New Roman" w:eastAsia="宋体" w:cs="Times New Roman"/>
                <w:bCs/>
                <w:color w:val="auto"/>
                <w:sz w:val="24"/>
              </w:rPr>
              <w:t>，对环境产生影响较小。</w:t>
            </w:r>
          </w:p>
          <w:p w14:paraId="39E74FB7">
            <w:pPr>
              <w:adjustRightInd w:val="0"/>
              <w:snapToGrid w:val="0"/>
              <w:spacing w:line="360" w:lineRule="auto"/>
              <w:ind w:firstLine="482"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3.3 噪声排放环境监测要求</w:t>
            </w:r>
          </w:p>
          <w:p w14:paraId="79E9F040">
            <w:pPr>
              <w:spacing w:line="360" w:lineRule="auto"/>
              <w:ind w:firstLine="480" w:firstLineChars="200"/>
              <w:rPr>
                <w:rFonts w:hint="default" w:ascii="Times New Roman" w:hAnsi="Times New Roman" w:eastAsia="宋体" w:cs="Times New Roman"/>
                <w:bCs/>
                <w:color w:val="auto"/>
                <w:sz w:val="24"/>
              </w:rPr>
            </w:pPr>
            <w:r>
              <w:rPr>
                <w:rFonts w:hint="default" w:ascii="Times New Roman" w:hAnsi="Times New Roman" w:eastAsia="宋体" w:cs="Times New Roman"/>
                <w:bCs/>
                <w:color w:val="auto"/>
                <w:sz w:val="24"/>
              </w:rPr>
              <w:t>噪声自行监测计划参考《排污单位自行监测技术指南总则》（HJ819-2017）和《排污单位自行监测技术指南</w:t>
            </w:r>
            <w:r>
              <w:rPr>
                <w:rFonts w:hint="default" w:ascii="Times New Roman" w:hAnsi="Times New Roman" w:eastAsia="宋体" w:cs="Times New Roman"/>
                <w:bCs/>
                <w:color w:val="auto"/>
                <w:sz w:val="24"/>
                <w:lang w:val="en-US" w:eastAsia="zh-CN"/>
              </w:rPr>
              <w:t xml:space="preserve"> </w:t>
            </w:r>
            <w:r>
              <w:rPr>
                <w:rFonts w:hint="default" w:ascii="Times New Roman" w:hAnsi="Times New Roman" w:eastAsia="宋体" w:cs="Times New Roman"/>
                <w:bCs/>
                <w:color w:val="auto"/>
                <w:sz w:val="24"/>
              </w:rPr>
              <w:t>火力发电及锅炉》（HJ820-2017）中的相关规定</w:t>
            </w:r>
            <w:r>
              <w:rPr>
                <w:rFonts w:hint="default" w:ascii="Times New Roman" w:hAnsi="Times New Roman" w:eastAsia="宋体" w:cs="Times New Roman"/>
                <w:bCs/>
                <w:color w:val="auto"/>
                <w:sz w:val="24"/>
                <w:lang w:eastAsia="zh-CN"/>
              </w:rPr>
              <w:t>，</w:t>
            </w:r>
            <w:r>
              <w:rPr>
                <w:rFonts w:hint="default" w:ascii="Times New Roman" w:hAnsi="Times New Roman" w:eastAsia="宋体" w:cs="Times New Roman"/>
                <w:bCs/>
                <w:color w:val="auto"/>
                <w:sz w:val="24"/>
              </w:rPr>
              <w:t>制定本项目监测计划，具体见下表：</w:t>
            </w:r>
          </w:p>
          <w:p w14:paraId="1EB2C01D">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 xml:space="preserve"> 噪声环境监测计划一览表</w:t>
            </w:r>
          </w:p>
          <w:tbl>
            <w:tblPr>
              <w:tblStyle w:val="7"/>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87"/>
              <w:gridCol w:w="660"/>
              <w:gridCol w:w="1200"/>
              <w:gridCol w:w="1995"/>
              <w:gridCol w:w="1080"/>
              <w:gridCol w:w="2686"/>
            </w:tblGrid>
            <w:tr w14:paraId="270F7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9" w:type="pct"/>
                  <w:gridSpan w:val="2"/>
                  <w:tcBorders>
                    <w:top w:val="single" w:color="auto" w:sz="4" w:space="0"/>
                    <w:left w:val="single" w:color="auto" w:sz="0" w:space="0"/>
                  </w:tcBorders>
                  <w:vAlign w:val="center"/>
                </w:tcPr>
                <w:p w14:paraId="4A80CB90">
                  <w:pPr>
                    <w:adjustRightInd w:val="0"/>
                    <w:snapToGrid w:val="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类别</w:t>
                  </w:r>
                </w:p>
              </w:tc>
              <w:tc>
                <w:tcPr>
                  <w:tcW w:w="730" w:type="pct"/>
                  <w:tcBorders>
                    <w:top w:val="single" w:color="auto" w:sz="4" w:space="0"/>
                  </w:tcBorders>
                  <w:vAlign w:val="center"/>
                </w:tcPr>
                <w:p w14:paraId="4A0E218A">
                  <w:pPr>
                    <w:adjustRightInd w:val="0"/>
                    <w:snapToGrid w:val="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监测项目</w:t>
                  </w:r>
                </w:p>
              </w:tc>
              <w:tc>
                <w:tcPr>
                  <w:tcW w:w="1215" w:type="pct"/>
                  <w:tcBorders>
                    <w:top w:val="single" w:color="auto" w:sz="4" w:space="0"/>
                  </w:tcBorders>
                  <w:vAlign w:val="center"/>
                </w:tcPr>
                <w:p w14:paraId="1B2976E3">
                  <w:pPr>
                    <w:adjustRightInd w:val="0"/>
                    <w:snapToGrid w:val="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监测点位置</w:t>
                  </w:r>
                </w:p>
              </w:tc>
              <w:tc>
                <w:tcPr>
                  <w:tcW w:w="657" w:type="pct"/>
                  <w:tcBorders>
                    <w:top w:val="single" w:color="auto" w:sz="4" w:space="0"/>
                  </w:tcBorders>
                  <w:vAlign w:val="center"/>
                </w:tcPr>
                <w:p w14:paraId="20C2AE72">
                  <w:pPr>
                    <w:adjustRightInd w:val="0"/>
                    <w:snapToGrid w:val="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监测频率</w:t>
                  </w:r>
                </w:p>
              </w:tc>
              <w:tc>
                <w:tcPr>
                  <w:tcW w:w="1636" w:type="pct"/>
                  <w:tcBorders>
                    <w:top w:val="single" w:color="auto" w:sz="4" w:space="0"/>
                    <w:right w:val="single" w:color="auto" w:sz="4" w:space="0"/>
                  </w:tcBorders>
                  <w:vAlign w:val="center"/>
                </w:tcPr>
                <w:p w14:paraId="67AB05EE">
                  <w:pPr>
                    <w:adjustRightInd w:val="0"/>
                    <w:snapToGrid w:val="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执行标准</w:t>
                  </w:r>
                </w:p>
              </w:tc>
            </w:tr>
            <w:tr w14:paraId="16522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357" w:type="pct"/>
                  <w:tcBorders>
                    <w:left w:val="single" w:color="auto" w:sz="4" w:space="0"/>
                    <w:bottom w:val="single" w:color="auto" w:sz="4" w:space="0"/>
                  </w:tcBorders>
                  <w:vAlign w:val="center"/>
                </w:tcPr>
                <w:p w14:paraId="173BE39D">
                  <w:pPr>
                    <w:adjustRightInd w:val="0"/>
                    <w:snapToGrid w:val="0"/>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噪声</w:t>
                  </w:r>
                </w:p>
              </w:tc>
              <w:tc>
                <w:tcPr>
                  <w:tcW w:w="402" w:type="pct"/>
                  <w:tcBorders>
                    <w:bottom w:val="single" w:color="auto" w:sz="4" w:space="0"/>
                  </w:tcBorders>
                  <w:vAlign w:val="center"/>
                </w:tcPr>
                <w:p w14:paraId="6F97C91C">
                  <w:pPr>
                    <w:adjustRightInd w:val="0"/>
                    <w:snapToGrid w:val="0"/>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厂界</w:t>
                  </w:r>
                </w:p>
              </w:tc>
              <w:tc>
                <w:tcPr>
                  <w:tcW w:w="730" w:type="pct"/>
                  <w:tcBorders>
                    <w:bottom w:val="single" w:color="auto" w:sz="4" w:space="0"/>
                  </w:tcBorders>
                  <w:vAlign w:val="center"/>
                </w:tcPr>
                <w:p w14:paraId="2D0B3787">
                  <w:pPr>
                    <w:adjustRightInd w:val="0"/>
                    <w:snapToGrid w:val="0"/>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Leq（A）</w:t>
                  </w:r>
                </w:p>
              </w:tc>
              <w:tc>
                <w:tcPr>
                  <w:tcW w:w="1215" w:type="pct"/>
                  <w:tcBorders>
                    <w:bottom w:val="single" w:color="auto" w:sz="4" w:space="0"/>
                  </w:tcBorders>
                  <w:vAlign w:val="center"/>
                </w:tcPr>
                <w:p w14:paraId="225DEF5E">
                  <w:pPr>
                    <w:adjustRightInd w:val="0"/>
                    <w:snapToGrid w:val="0"/>
                    <w:jc w:val="center"/>
                    <w:rPr>
                      <w:rFonts w:hint="default" w:ascii="Times New Roman" w:hAnsi="Times New Roman" w:eastAsia="宋体" w:cs="Times New Roman"/>
                      <w:bCs/>
                      <w:color w:val="auto"/>
                      <w:kern w:val="0"/>
                      <w:szCs w:val="21"/>
                      <w:lang w:eastAsia="zh-CN"/>
                    </w:rPr>
                  </w:pPr>
                  <w:r>
                    <w:rPr>
                      <w:rFonts w:hint="default" w:ascii="Times New Roman" w:hAnsi="Times New Roman" w:eastAsia="宋体" w:cs="Times New Roman"/>
                      <w:bCs/>
                      <w:color w:val="auto"/>
                      <w:kern w:val="0"/>
                      <w:szCs w:val="21"/>
                    </w:rPr>
                    <w:t>厂界四周</w:t>
                  </w:r>
                </w:p>
              </w:tc>
              <w:tc>
                <w:tcPr>
                  <w:tcW w:w="657" w:type="pct"/>
                  <w:tcBorders>
                    <w:bottom w:val="single" w:color="auto" w:sz="4" w:space="0"/>
                  </w:tcBorders>
                  <w:vAlign w:val="center"/>
                </w:tcPr>
                <w:p w14:paraId="08B49AE8">
                  <w:pPr>
                    <w:adjustRightInd w:val="0"/>
                    <w:snapToGrid w:val="0"/>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rPr>
                    <w:t>1次/季度</w:t>
                  </w:r>
                </w:p>
              </w:tc>
              <w:tc>
                <w:tcPr>
                  <w:tcW w:w="1636" w:type="pct"/>
                  <w:tcBorders>
                    <w:bottom w:val="single" w:color="auto" w:sz="4" w:space="0"/>
                    <w:right w:val="single" w:color="auto" w:sz="4" w:space="0"/>
                  </w:tcBorders>
                  <w:vAlign w:val="center"/>
                </w:tcPr>
                <w:p w14:paraId="13A75AC6">
                  <w:pPr>
                    <w:adjustRightInd w:val="0"/>
                    <w:snapToGrid w:val="0"/>
                    <w:jc w:val="center"/>
                    <w:rPr>
                      <w:rFonts w:hint="default" w:ascii="Times New Roman" w:hAnsi="Times New Roman" w:eastAsia="宋体" w:cs="Times New Roman"/>
                      <w:bCs/>
                      <w:color w:val="auto"/>
                      <w:kern w:val="0"/>
                      <w:szCs w:val="21"/>
                      <w:lang w:eastAsia="zh-CN"/>
                    </w:rPr>
                  </w:pPr>
                  <w:r>
                    <w:rPr>
                      <w:rFonts w:hint="default" w:ascii="Times New Roman" w:hAnsi="Times New Roman" w:eastAsia="宋体" w:cs="Times New Roman"/>
                      <w:bCs/>
                      <w:color w:val="auto"/>
                      <w:kern w:val="0"/>
                      <w:szCs w:val="21"/>
                    </w:rPr>
                    <w:t>《工业企业厂界环境噪声排放标准》（GB12348-2008）</w:t>
                  </w:r>
                  <w:r>
                    <w:rPr>
                      <w:rFonts w:hint="default" w:ascii="Times New Roman" w:hAnsi="Times New Roman" w:eastAsia="宋体" w:cs="Times New Roman"/>
                      <w:bCs/>
                      <w:color w:val="auto"/>
                      <w:kern w:val="0"/>
                      <w:szCs w:val="21"/>
                      <w:lang w:eastAsia="zh-CN"/>
                    </w:rPr>
                    <w:t>2类标准</w:t>
                  </w:r>
                  <w:r>
                    <w:rPr>
                      <w:rFonts w:hint="eastAsia" w:cs="Times New Roman"/>
                      <w:bCs/>
                      <w:color w:val="auto"/>
                      <w:kern w:val="0"/>
                      <w:szCs w:val="21"/>
                      <w:lang w:eastAsia="zh-CN"/>
                    </w:rPr>
                    <w:t>。</w:t>
                  </w:r>
                </w:p>
              </w:tc>
            </w:tr>
          </w:tbl>
          <w:p w14:paraId="6816160F">
            <w:pPr>
              <w:spacing w:before="240" w:line="360" w:lineRule="auto"/>
              <w:ind w:firstLine="482" w:firstLineChars="200"/>
              <w:rPr>
                <w:rFonts w:hint="default" w:ascii="Times New Roman" w:hAnsi="Times New Roman" w:eastAsia="宋体" w:cs="Times New Roman"/>
                <w:bCs/>
                <w:color w:val="auto"/>
                <w:sz w:val="24"/>
              </w:rPr>
            </w:pPr>
            <w:r>
              <w:rPr>
                <w:rFonts w:hint="default" w:ascii="Times New Roman" w:hAnsi="Times New Roman" w:eastAsia="宋体" w:cs="Times New Roman"/>
                <w:b/>
                <w:color w:val="auto"/>
                <w:kern w:val="0"/>
                <w:sz w:val="24"/>
              </w:rPr>
              <w:t>4.固体废物</w:t>
            </w:r>
          </w:p>
          <w:p w14:paraId="38DD161C">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bidi="ar"/>
              </w:rPr>
              <w:t>本项目固体废物主要有：</w:t>
            </w:r>
            <w:r>
              <w:rPr>
                <w:rFonts w:hint="default" w:ascii="Times New Roman" w:hAnsi="Times New Roman" w:eastAsia="宋体" w:cs="Times New Roman"/>
                <w:color w:val="auto"/>
                <w:sz w:val="24"/>
                <w:lang w:val="en-US" w:eastAsia="zh-CN" w:bidi="ar"/>
              </w:rPr>
              <w:t>生活垃圾、甘草清洗泥渣、甘草废渣、不合格产品、软水机废滤膜等。</w:t>
            </w:r>
          </w:p>
          <w:p w14:paraId="30BB4FA1">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（1）生活垃圾</w:t>
            </w:r>
          </w:p>
          <w:p w14:paraId="6469B2AC">
            <w:pPr>
              <w:spacing w:line="360" w:lineRule="auto"/>
              <w:ind w:firstLine="480" w:firstLineChars="200"/>
              <w:rPr>
                <w:rFonts w:hint="default" w:ascii="Times New Roman" w:hAnsi="Times New Roman" w:eastAsia="宋体" w:cs="Times New Roman"/>
                <w:color w:val="auto"/>
                <w:sz w:val="24"/>
                <w:lang w:bidi="ar"/>
              </w:rPr>
            </w:pPr>
            <w:r>
              <w:rPr>
                <w:rFonts w:hint="default" w:ascii="Times New Roman" w:hAnsi="Times New Roman" w:eastAsia="宋体" w:cs="Times New Roman"/>
                <w:color w:val="auto"/>
                <w:sz w:val="24"/>
                <w:lang w:val="en-US" w:eastAsia="zh-CN" w:bidi="ar"/>
              </w:rPr>
              <w:t>本项目劳动定员50人，年工作天数为300天。生活垃圾以0.5kg/人·d计，则本项目员工生活垃圾产生量为7.5t/a</w:t>
            </w:r>
            <w:r>
              <w:rPr>
                <w:rFonts w:hint="eastAsia" w:cs="Times New Roman"/>
                <w:color w:val="auto"/>
                <w:sz w:val="24"/>
                <w:lang w:val="en-US" w:eastAsia="zh-CN" w:bidi="ar"/>
              </w:rPr>
              <w:t>。</w:t>
            </w:r>
            <w:r>
              <w:rPr>
                <w:rFonts w:hint="default" w:ascii="Times New Roman" w:hAnsi="Times New Roman" w:eastAsia="宋体" w:cs="Times New Roman"/>
                <w:color w:val="auto"/>
                <w:sz w:val="24"/>
                <w:lang w:val="en-US" w:eastAsia="zh-CN" w:bidi="ar"/>
              </w:rPr>
              <w:t>生活垃圾经厂内垃圾箱收集后交由当地环卫部门定期清运处理。</w:t>
            </w:r>
          </w:p>
          <w:p w14:paraId="61535985">
            <w:pPr>
              <w:spacing w:line="360" w:lineRule="auto"/>
              <w:ind w:firstLine="480" w:firstLineChars="200"/>
              <w:rPr>
                <w:rFonts w:hint="default" w:ascii="Times New Roman" w:hAnsi="Times New Roman" w:eastAsia="宋体" w:cs="Times New Roman"/>
                <w:color w:val="auto"/>
                <w:sz w:val="24"/>
                <w:highlight w:val="none"/>
                <w:lang w:eastAsia="zh-CN" w:bidi="ar"/>
              </w:rPr>
            </w:pPr>
            <w:r>
              <w:rPr>
                <w:rFonts w:hint="default" w:ascii="Times New Roman" w:hAnsi="Times New Roman" w:eastAsia="宋体" w:cs="Times New Roman"/>
                <w:color w:val="auto"/>
                <w:sz w:val="24"/>
                <w:highlight w:val="none"/>
                <w:lang w:eastAsia="zh-CN" w:bidi="ar"/>
              </w:rPr>
              <w:t>（</w:t>
            </w:r>
            <w:r>
              <w:rPr>
                <w:rFonts w:hint="default" w:ascii="Times New Roman" w:hAnsi="Times New Roman" w:eastAsia="宋体" w:cs="Times New Roman"/>
                <w:color w:val="auto"/>
                <w:sz w:val="24"/>
                <w:highlight w:val="none"/>
                <w:lang w:val="en-US" w:eastAsia="zh-CN" w:bidi="ar"/>
              </w:rPr>
              <w:t>2</w:t>
            </w:r>
            <w:r>
              <w:rPr>
                <w:rFonts w:hint="default" w:ascii="Times New Roman" w:hAnsi="Times New Roman" w:eastAsia="宋体" w:cs="Times New Roman"/>
                <w:color w:val="auto"/>
                <w:sz w:val="24"/>
                <w:highlight w:val="none"/>
                <w:lang w:eastAsia="zh-CN" w:bidi="ar"/>
              </w:rPr>
              <w:t>）</w:t>
            </w:r>
            <w:r>
              <w:rPr>
                <w:rFonts w:hint="default" w:ascii="Times New Roman" w:hAnsi="Times New Roman" w:eastAsia="宋体" w:cs="Times New Roman"/>
                <w:color w:val="auto"/>
                <w:sz w:val="24"/>
                <w:highlight w:val="none"/>
                <w:lang w:val="en-US" w:eastAsia="zh-CN" w:bidi="ar"/>
              </w:rPr>
              <w:t>甘草清洗泥渣</w:t>
            </w:r>
          </w:p>
          <w:p w14:paraId="3B3C1F3C">
            <w:pPr>
              <w:spacing w:line="360" w:lineRule="auto"/>
              <w:ind w:firstLine="480" w:firstLineChars="200"/>
              <w:rPr>
                <w:rFonts w:hint="default" w:ascii="Times New Roman" w:hAnsi="Times New Roman" w:eastAsia="宋体" w:cs="Times New Roman"/>
                <w:color w:val="auto"/>
                <w:sz w:val="24"/>
                <w:highlight w:val="none"/>
                <w:lang w:eastAsia="zh-CN" w:bidi="ar"/>
              </w:rPr>
            </w:pPr>
            <w:r>
              <w:rPr>
                <w:rFonts w:hint="default" w:ascii="Times New Roman" w:hAnsi="Times New Roman" w:eastAsia="宋体" w:cs="Times New Roman"/>
                <w:color w:val="auto"/>
                <w:sz w:val="24"/>
                <w:highlight w:val="none"/>
                <w:lang w:val="en-US" w:eastAsia="zh-CN" w:bidi="ar"/>
              </w:rPr>
              <w:t>甘草清洗泥渣产生量约为10t/a，收集暂存于1#厂房固废隔间，定期送往甘草产地，回用于甘草种植。</w:t>
            </w:r>
          </w:p>
          <w:p w14:paraId="75AF76CD">
            <w:pPr>
              <w:spacing w:line="360" w:lineRule="auto"/>
              <w:ind w:firstLine="480" w:firstLineChars="200"/>
              <w:rPr>
                <w:rFonts w:hint="default" w:ascii="Times New Roman" w:hAnsi="Times New Roman" w:eastAsia="宋体" w:cs="Times New Roman"/>
                <w:color w:val="auto"/>
                <w:sz w:val="24"/>
                <w:highlight w:val="none"/>
                <w:lang w:val="en-US" w:eastAsia="zh-CN" w:bidi="ar"/>
              </w:rPr>
            </w:pPr>
            <w:r>
              <w:rPr>
                <w:rFonts w:hint="default" w:ascii="Times New Roman" w:hAnsi="Times New Roman" w:eastAsia="宋体" w:cs="Times New Roman"/>
                <w:color w:val="auto"/>
                <w:sz w:val="24"/>
                <w:highlight w:val="none"/>
                <w:lang w:val="en-US" w:eastAsia="zh-CN" w:bidi="ar"/>
              </w:rPr>
              <w:t>（3）甘草废渣</w:t>
            </w:r>
          </w:p>
          <w:p w14:paraId="6CC60CF5">
            <w:pPr>
              <w:spacing w:line="360" w:lineRule="auto"/>
              <w:ind w:firstLine="480" w:firstLineChars="200"/>
              <w:rPr>
                <w:rFonts w:hint="default" w:ascii="Times New Roman" w:hAnsi="Times New Roman" w:eastAsia="宋体" w:cs="Times New Roman"/>
                <w:color w:val="auto"/>
                <w:sz w:val="24"/>
                <w:highlight w:val="none"/>
                <w:lang w:val="en-US" w:eastAsia="zh-CN" w:bidi="ar"/>
              </w:rPr>
            </w:pPr>
            <w:r>
              <w:rPr>
                <w:rFonts w:hint="default" w:ascii="Times New Roman" w:hAnsi="Times New Roman" w:eastAsia="宋体" w:cs="Times New Roman"/>
                <w:color w:val="auto"/>
                <w:sz w:val="24"/>
                <w:highlight w:val="none"/>
                <w:lang w:val="en-US" w:eastAsia="zh-CN" w:bidi="ar"/>
              </w:rPr>
              <w:t>离心工序产生的甘草废渣，产生量约为7340t/a（含水率为5%）；属于一般固废，收集暂存于1#厂房固废隔间，外售于牛羊饲料生产的企业，综合利用。</w:t>
            </w:r>
          </w:p>
          <w:p w14:paraId="6EA5A030">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（4）不合格产品</w:t>
            </w:r>
          </w:p>
          <w:p w14:paraId="7D828EB1">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包装前对产品进行检验，不合格产品约为1t/a，混入甘草废渣中外售。</w:t>
            </w:r>
          </w:p>
          <w:p w14:paraId="68853EDA">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（5）软水机废滤膜</w:t>
            </w:r>
          </w:p>
          <w:p w14:paraId="2F821043">
            <w:pPr>
              <w:spacing w:line="360" w:lineRule="auto"/>
              <w:ind w:firstLine="480" w:firstLineChars="200"/>
              <w:rPr>
                <w:rFonts w:hint="default" w:ascii="Times New Roman" w:hAnsi="Times New Roman" w:eastAsia="宋体" w:cs="Times New Roman"/>
                <w:color w:val="auto"/>
                <w:sz w:val="24"/>
                <w:lang w:val="en-US" w:eastAsia="zh-CN" w:bidi="ar"/>
              </w:rPr>
            </w:pPr>
            <w:r>
              <w:rPr>
                <w:rFonts w:hint="default" w:ascii="Times New Roman" w:hAnsi="Times New Roman" w:eastAsia="宋体" w:cs="Times New Roman"/>
                <w:color w:val="auto"/>
                <w:sz w:val="24"/>
                <w:lang w:val="en-US" w:eastAsia="zh-CN" w:bidi="ar"/>
              </w:rPr>
              <w:t>本项目软水机使用过程需定期更换过滤膜，产生量为2t/3年，更换下来的过滤膜由原生产厂家回收利用，不外排。</w:t>
            </w:r>
          </w:p>
          <w:p w14:paraId="65199D19">
            <w:pPr>
              <w:spacing w:line="360" w:lineRule="auto"/>
              <w:ind w:firstLine="480" w:firstLineChars="200"/>
              <w:rPr>
                <w:rFonts w:hint="default" w:ascii="Times New Roman" w:hAnsi="Times New Roman" w:eastAsia="宋体" w:cs="Times New Roman"/>
                <w:bCs/>
                <w:color w:val="auto"/>
                <w:kern w:val="28"/>
                <w:sz w:val="24"/>
              </w:rPr>
            </w:pPr>
            <w:r>
              <w:rPr>
                <w:rFonts w:hint="default" w:ascii="Times New Roman" w:hAnsi="Times New Roman" w:eastAsia="宋体" w:cs="Times New Roman"/>
                <w:bCs/>
                <w:color w:val="auto"/>
                <w:kern w:val="28"/>
                <w:sz w:val="24"/>
              </w:rPr>
              <w:t>采取以上措施后，本项目运营期固体废物得到</w:t>
            </w:r>
            <w:r>
              <w:rPr>
                <w:rFonts w:hint="default" w:ascii="Times New Roman" w:hAnsi="Times New Roman" w:eastAsia="宋体" w:cs="Times New Roman"/>
                <w:bCs/>
                <w:color w:val="auto"/>
                <w:kern w:val="28"/>
                <w:sz w:val="24"/>
                <w:lang w:eastAsia="zh-CN"/>
              </w:rPr>
              <w:t>了</w:t>
            </w:r>
            <w:r>
              <w:rPr>
                <w:rFonts w:hint="default" w:ascii="Times New Roman" w:hAnsi="Times New Roman" w:eastAsia="宋体" w:cs="Times New Roman"/>
                <w:bCs/>
                <w:color w:val="auto"/>
                <w:kern w:val="28"/>
                <w:sz w:val="24"/>
              </w:rPr>
              <w:t>合理处置。</w:t>
            </w:r>
          </w:p>
          <w:p w14:paraId="22ACADC3">
            <w:pPr>
              <w:adjustRightInd w:val="0"/>
              <w:snapToGrid w:val="0"/>
              <w:spacing w:line="360" w:lineRule="auto"/>
              <w:ind w:firstLine="482" w:firstLineChars="200"/>
              <w:jc w:val="left"/>
              <w:rPr>
                <w:rFonts w:hint="default" w:ascii="Times New Roman" w:hAnsi="Times New Roman" w:eastAsia="宋体" w:cs="Times New Roman"/>
                <w:bCs/>
                <w:color w:val="auto"/>
                <w:kern w:val="28"/>
                <w:sz w:val="24"/>
              </w:rPr>
            </w:pPr>
            <w:r>
              <w:rPr>
                <w:rFonts w:hint="default" w:ascii="Times New Roman" w:hAnsi="Times New Roman" w:eastAsia="宋体" w:cs="Times New Roman"/>
                <w:b/>
                <w:bCs/>
                <w:color w:val="auto"/>
                <w:sz w:val="24"/>
              </w:rPr>
              <w:t>5.地下水及土壤环境</w:t>
            </w:r>
          </w:p>
          <w:p w14:paraId="334FB1FF">
            <w:pPr>
              <w:adjustRightInd w:val="0"/>
              <w:snapToGrid w:val="0"/>
              <w:spacing w:line="360" w:lineRule="auto"/>
              <w:ind w:firstLine="482" w:firstLineChars="200"/>
              <w:jc w:val="left"/>
              <w:rPr>
                <w:rFonts w:hint="default" w:ascii="Times New Roman" w:hAnsi="Times New Roman" w:eastAsia="宋体" w:cs="Times New Roman"/>
                <w:bCs/>
                <w:color w:val="auto"/>
                <w:kern w:val="28"/>
                <w:sz w:val="24"/>
              </w:rPr>
            </w:pPr>
            <w:r>
              <w:rPr>
                <w:rFonts w:hint="default" w:ascii="Times New Roman" w:hAnsi="Times New Roman" w:eastAsia="宋体" w:cs="Times New Roman"/>
                <w:b/>
                <w:bCs w:val="0"/>
                <w:color w:val="auto"/>
                <w:kern w:val="28"/>
                <w:sz w:val="24"/>
                <w:lang w:val="en-US" w:eastAsia="zh-CN"/>
              </w:rPr>
              <w:t>5.1污染源、污染物类型和污染途径</w:t>
            </w:r>
            <w:r>
              <w:rPr>
                <w:rFonts w:hint="default" w:ascii="Times New Roman" w:hAnsi="Times New Roman" w:eastAsia="宋体" w:cs="Times New Roman"/>
                <w:bCs/>
                <w:color w:val="auto"/>
                <w:kern w:val="28"/>
                <w:sz w:val="24"/>
                <w:lang w:val="en-US" w:eastAsia="zh-CN"/>
              </w:rPr>
              <w:t xml:space="preserve"> </w:t>
            </w:r>
          </w:p>
          <w:p w14:paraId="500C1FB3">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lang w:val="en-US" w:eastAsia="zh-CN"/>
              </w:rPr>
            </w:pPr>
            <w:r>
              <w:rPr>
                <w:rFonts w:hint="default" w:ascii="Times New Roman" w:hAnsi="Times New Roman" w:eastAsia="宋体" w:cs="Times New Roman"/>
                <w:bCs/>
                <w:color w:val="auto"/>
                <w:kern w:val="28"/>
                <w:sz w:val="24"/>
                <w:lang w:val="en-US" w:eastAsia="zh-CN"/>
              </w:rPr>
              <w:t>本项目主要生产保健食品和饮品，运营期废水主要有生活污水和生产废水</w:t>
            </w:r>
            <w:r>
              <w:rPr>
                <w:rFonts w:hint="default" w:ascii="Times New Roman" w:hAnsi="Times New Roman" w:eastAsia="宋体" w:cs="Times New Roman"/>
                <w:bCs/>
                <w:color w:val="auto"/>
                <w:kern w:val="28"/>
                <w:sz w:val="24"/>
              </w:rPr>
              <w:t>。生活污水经化粪池收集后，</w:t>
            </w:r>
            <w:r>
              <w:rPr>
                <w:rFonts w:hint="default" w:ascii="Times New Roman" w:hAnsi="Times New Roman" w:eastAsia="宋体" w:cs="Times New Roman"/>
                <w:bCs/>
                <w:color w:val="auto"/>
                <w:kern w:val="28"/>
                <w:sz w:val="24"/>
                <w:lang w:val="en-US" w:eastAsia="zh-CN"/>
              </w:rPr>
              <w:t>通过市政污水管网，排至杭锦旗锡尼镇污水处理厂</w:t>
            </w:r>
            <w:r>
              <w:rPr>
                <w:rFonts w:hint="default" w:ascii="Times New Roman" w:hAnsi="Times New Roman" w:eastAsia="宋体" w:cs="Times New Roman"/>
                <w:bCs/>
                <w:color w:val="auto"/>
                <w:kern w:val="28"/>
                <w:sz w:val="24"/>
              </w:rPr>
              <w:t>。生产废水</w:t>
            </w:r>
            <w:r>
              <w:rPr>
                <w:rFonts w:hint="default" w:ascii="Times New Roman" w:hAnsi="Times New Roman" w:eastAsia="宋体" w:cs="Times New Roman"/>
                <w:bCs/>
                <w:color w:val="auto"/>
                <w:kern w:val="28"/>
                <w:sz w:val="24"/>
                <w:lang w:val="en-US" w:eastAsia="zh-CN"/>
              </w:rPr>
              <w:t>中设备清洗废水通过市政污水管网，排至杭锦旗锡尼镇污水处理厂，其余均回用于生产，不外排。采取以上措施后，不会对地下水环境造成影响。</w:t>
            </w:r>
          </w:p>
          <w:p w14:paraId="7D7445E4">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rPr>
            </w:pPr>
            <w:r>
              <w:rPr>
                <w:rFonts w:hint="default" w:ascii="Times New Roman" w:hAnsi="Times New Roman" w:eastAsia="宋体" w:cs="Times New Roman"/>
                <w:bCs/>
                <w:color w:val="auto"/>
                <w:kern w:val="28"/>
                <w:sz w:val="24"/>
                <w:lang w:val="en-US" w:eastAsia="zh-CN"/>
              </w:rPr>
              <w:t>保健食品和饮品生产中</w:t>
            </w:r>
            <w:r>
              <w:rPr>
                <w:rFonts w:hint="default" w:ascii="Times New Roman" w:hAnsi="Times New Roman" w:eastAsia="宋体" w:cs="Times New Roman"/>
                <w:bCs/>
                <w:color w:val="auto"/>
                <w:kern w:val="28"/>
                <w:sz w:val="24"/>
              </w:rPr>
              <w:t>使用的原料组分不含有毒</w:t>
            </w:r>
            <w:r>
              <w:rPr>
                <w:rFonts w:hint="default" w:ascii="Times New Roman" w:hAnsi="Times New Roman" w:eastAsia="宋体" w:cs="Times New Roman"/>
                <w:bCs/>
                <w:color w:val="auto"/>
                <w:kern w:val="28"/>
                <w:sz w:val="24"/>
                <w:lang w:eastAsia="zh-CN"/>
              </w:rPr>
              <w:t>、</w:t>
            </w:r>
            <w:r>
              <w:rPr>
                <w:rFonts w:hint="default" w:ascii="Times New Roman" w:hAnsi="Times New Roman" w:eastAsia="宋体" w:cs="Times New Roman"/>
                <w:bCs/>
                <w:color w:val="auto"/>
                <w:kern w:val="28"/>
                <w:sz w:val="24"/>
              </w:rPr>
              <w:t>有害的重金属等污染物，不涉及建设用地土壤污染风险筛选值的其他污染物，因此本项目不涉及土壤影响因子。</w:t>
            </w:r>
          </w:p>
          <w:p w14:paraId="4CDAD6FF">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rPr>
            </w:pPr>
            <w:r>
              <w:rPr>
                <w:rFonts w:hint="default" w:ascii="Times New Roman" w:hAnsi="Times New Roman" w:eastAsia="宋体" w:cs="Times New Roman"/>
                <w:bCs/>
                <w:color w:val="auto"/>
                <w:kern w:val="28"/>
                <w:sz w:val="24"/>
                <w:lang w:val="en-US" w:eastAsia="zh-CN"/>
              </w:rPr>
              <w:t>本项目</w:t>
            </w:r>
            <w:r>
              <w:rPr>
                <w:rFonts w:hint="eastAsia" w:cs="Times New Roman"/>
                <w:bCs/>
                <w:color w:val="auto"/>
                <w:kern w:val="28"/>
                <w:sz w:val="24"/>
                <w:lang w:val="en-US" w:eastAsia="zh-CN"/>
              </w:rPr>
              <w:t>在</w:t>
            </w:r>
            <w:r>
              <w:rPr>
                <w:rFonts w:hint="default" w:ascii="Times New Roman" w:hAnsi="Times New Roman" w:eastAsia="宋体" w:cs="Times New Roman"/>
                <w:bCs/>
                <w:color w:val="auto"/>
                <w:kern w:val="28"/>
                <w:sz w:val="24"/>
                <w:lang w:val="en-US" w:eastAsia="zh-CN"/>
              </w:rPr>
              <w:t xml:space="preserve">正常情况下，项目产生的污染物不会入渗土壤环境及地表水环境，不存在土壤、地下水环境影响途径。 </w:t>
            </w:r>
          </w:p>
          <w:p w14:paraId="50C0DC58">
            <w:pPr>
              <w:adjustRightInd w:val="0"/>
              <w:snapToGrid w:val="0"/>
              <w:spacing w:line="360" w:lineRule="auto"/>
              <w:ind w:firstLine="482" w:firstLineChars="200"/>
              <w:jc w:val="left"/>
              <w:rPr>
                <w:rFonts w:hint="default" w:ascii="Times New Roman" w:hAnsi="Times New Roman" w:eastAsia="宋体" w:cs="Times New Roman"/>
                <w:b/>
                <w:bCs w:val="0"/>
                <w:color w:val="auto"/>
                <w:kern w:val="28"/>
                <w:sz w:val="24"/>
                <w:highlight w:val="none"/>
              </w:rPr>
            </w:pPr>
            <w:r>
              <w:rPr>
                <w:rFonts w:hint="default" w:ascii="Times New Roman" w:hAnsi="Times New Roman" w:eastAsia="宋体" w:cs="Times New Roman"/>
                <w:b/>
                <w:bCs w:val="0"/>
                <w:color w:val="auto"/>
                <w:kern w:val="28"/>
                <w:sz w:val="24"/>
                <w:highlight w:val="none"/>
                <w:lang w:val="en-US" w:eastAsia="zh-CN"/>
              </w:rPr>
              <w:t>5.2分区防治措施</w:t>
            </w:r>
          </w:p>
          <w:p w14:paraId="27EF7DAD">
            <w:pPr>
              <w:adjustRightInd w:val="0"/>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bCs/>
                <w:color w:val="auto"/>
                <w:kern w:val="28"/>
                <w:sz w:val="24"/>
              </w:rPr>
              <w:t>如果项目产生的废水处理设施等防渗措施不到位或发生事故性排放，废水可能会通过下渗对地下水、土壤产生污染。</w:t>
            </w:r>
            <w:r>
              <w:rPr>
                <w:rFonts w:hint="default" w:ascii="Times New Roman" w:hAnsi="Times New Roman" w:eastAsia="宋体" w:cs="Times New Roman"/>
                <w:color w:val="auto"/>
                <w:kern w:val="0"/>
                <w:sz w:val="24"/>
              </w:rPr>
              <w:t>项目</w:t>
            </w:r>
            <w:r>
              <w:rPr>
                <w:rFonts w:hint="default" w:ascii="Times New Roman" w:hAnsi="Times New Roman" w:eastAsia="宋体" w:cs="Times New Roman"/>
                <w:color w:val="auto"/>
                <w:kern w:val="0"/>
                <w:sz w:val="24"/>
                <w:lang w:val="en-US" w:eastAsia="zh-CN"/>
              </w:rPr>
              <w:t>对</w:t>
            </w:r>
            <w:r>
              <w:rPr>
                <w:rFonts w:hint="default" w:ascii="Times New Roman" w:hAnsi="Times New Roman" w:eastAsia="宋体" w:cs="Times New Roman"/>
                <w:color w:val="auto"/>
                <w:kern w:val="0"/>
                <w:sz w:val="24"/>
                <w:lang w:eastAsia="zh-CN"/>
              </w:rPr>
              <w:t>化粪池</w:t>
            </w:r>
            <w:r>
              <w:rPr>
                <w:rFonts w:hint="default" w:ascii="Times New Roman" w:hAnsi="Times New Roman" w:eastAsia="宋体" w:cs="Times New Roman"/>
                <w:color w:val="auto"/>
                <w:kern w:val="0"/>
                <w:sz w:val="24"/>
                <w:lang w:val="en-US" w:eastAsia="zh-CN"/>
              </w:rPr>
              <w:t>池底及四周</w:t>
            </w:r>
            <w:r>
              <w:rPr>
                <w:rFonts w:hint="default" w:ascii="Times New Roman" w:hAnsi="Times New Roman" w:eastAsia="宋体" w:cs="Times New Roman"/>
                <w:color w:val="auto"/>
                <w:kern w:val="0"/>
                <w:sz w:val="24"/>
                <w:lang w:eastAsia="zh-CN"/>
              </w:rPr>
              <w:t>采用</w:t>
            </w:r>
            <w:r>
              <w:rPr>
                <w:rFonts w:hint="default" w:ascii="Times New Roman" w:hAnsi="Times New Roman" w:eastAsia="宋体" w:cs="Times New Roman"/>
                <w:color w:val="auto"/>
                <w:kern w:val="0"/>
                <w:sz w:val="24"/>
                <w:lang w:val="en-US" w:eastAsia="zh-CN"/>
              </w:rPr>
              <w:t>钢筋</w:t>
            </w:r>
            <w:r>
              <w:rPr>
                <w:rFonts w:hint="default" w:ascii="Times New Roman" w:hAnsi="Times New Roman" w:eastAsia="宋体" w:cs="Times New Roman"/>
                <w:color w:val="auto"/>
                <w:kern w:val="0"/>
                <w:sz w:val="24"/>
                <w:lang w:eastAsia="zh-CN"/>
              </w:rPr>
              <w:t>混凝土</w:t>
            </w:r>
            <w:r>
              <w:rPr>
                <w:rFonts w:hint="default" w:ascii="Times New Roman" w:hAnsi="Times New Roman" w:eastAsia="宋体" w:cs="Times New Roman"/>
                <w:color w:val="auto"/>
                <w:kern w:val="0"/>
                <w:sz w:val="24"/>
                <w:lang w:val="en-US" w:eastAsia="zh-CN"/>
              </w:rPr>
              <w:t>浇筑</w:t>
            </w:r>
            <w:r>
              <w:rPr>
                <w:rFonts w:hint="default" w:ascii="Times New Roman" w:hAnsi="Times New Roman" w:eastAsia="宋体" w:cs="Times New Roman"/>
                <w:color w:val="auto"/>
                <w:kern w:val="0"/>
                <w:sz w:val="24"/>
                <w:lang w:eastAsia="zh-CN"/>
              </w:rPr>
              <w:t>，等效黏土防渗层Mb≥1.5</w:t>
            </w:r>
            <w:r>
              <w:rPr>
                <w:rFonts w:hint="default" w:ascii="Times New Roman" w:hAnsi="Times New Roman" w:eastAsia="宋体" w:cs="Times New Roman"/>
                <w:color w:val="auto"/>
                <w:kern w:val="0"/>
                <w:sz w:val="24"/>
                <w:vertAlign w:val="baseline"/>
                <w:lang w:eastAsia="zh-CN"/>
              </w:rPr>
              <w:t>m</w:t>
            </w:r>
            <w:r>
              <w:rPr>
                <w:rFonts w:hint="default" w:ascii="Times New Roman" w:hAnsi="Times New Roman" w:eastAsia="宋体" w:cs="Times New Roman"/>
                <w:color w:val="auto"/>
                <w:kern w:val="0"/>
                <w:sz w:val="24"/>
                <w:lang w:eastAsia="zh-CN"/>
              </w:rPr>
              <w:t>，渗透系数≤1×10</w:t>
            </w:r>
            <w:r>
              <w:rPr>
                <w:rFonts w:hint="default" w:ascii="Times New Roman" w:hAnsi="Times New Roman" w:eastAsia="宋体" w:cs="Times New Roman"/>
                <w:color w:val="auto"/>
                <w:kern w:val="0"/>
                <w:sz w:val="24"/>
                <w:vertAlign w:val="superscript"/>
                <w:lang w:eastAsia="zh-CN"/>
              </w:rPr>
              <w:t>-7</w:t>
            </w:r>
            <w:r>
              <w:rPr>
                <w:rFonts w:hint="default" w:ascii="Times New Roman" w:hAnsi="Times New Roman" w:eastAsia="宋体" w:cs="Times New Roman"/>
                <w:color w:val="auto"/>
                <w:kern w:val="0"/>
                <w:sz w:val="24"/>
                <w:lang w:eastAsia="zh-CN"/>
              </w:rPr>
              <w:t>c</w:t>
            </w:r>
            <w:r>
              <w:rPr>
                <w:rFonts w:hint="default" w:ascii="Times New Roman" w:hAnsi="Times New Roman" w:eastAsia="宋体" w:cs="Times New Roman"/>
                <w:color w:val="auto"/>
                <w:kern w:val="0"/>
                <w:sz w:val="24"/>
                <w:vertAlign w:val="baseline"/>
                <w:lang w:eastAsia="zh-CN"/>
              </w:rPr>
              <w:t>m</w:t>
            </w:r>
            <w:r>
              <w:rPr>
                <w:rFonts w:hint="default" w:ascii="Times New Roman" w:hAnsi="Times New Roman" w:eastAsia="宋体" w:cs="Times New Roman"/>
                <w:color w:val="auto"/>
                <w:kern w:val="0"/>
                <w:sz w:val="24"/>
                <w:lang w:eastAsia="zh-CN"/>
              </w:rPr>
              <w:t>/s。</w:t>
            </w:r>
            <w:r>
              <w:rPr>
                <w:rFonts w:hint="default" w:ascii="Times New Roman" w:hAnsi="Times New Roman" w:eastAsia="宋体" w:cs="Times New Roman"/>
                <w:color w:val="auto"/>
                <w:kern w:val="0"/>
                <w:sz w:val="24"/>
                <w:lang w:val="en-US" w:eastAsia="zh-CN"/>
              </w:rPr>
              <w:t>车间地面、</w:t>
            </w:r>
            <w:r>
              <w:rPr>
                <w:rFonts w:hint="default" w:ascii="Times New Roman" w:hAnsi="Times New Roman" w:eastAsia="宋体" w:cs="Times New Roman"/>
                <w:color w:val="auto"/>
                <w:kern w:val="0"/>
                <w:sz w:val="24"/>
                <w:lang w:eastAsia="zh-CN"/>
              </w:rPr>
              <w:t>室外地面等，</w:t>
            </w:r>
            <w:r>
              <w:rPr>
                <w:rFonts w:hint="default" w:ascii="Times New Roman" w:hAnsi="Times New Roman" w:eastAsia="宋体" w:cs="Times New Roman"/>
                <w:color w:val="auto"/>
                <w:kern w:val="0"/>
                <w:sz w:val="24"/>
                <w:lang w:val="en-US" w:eastAsia="zh-CN"/>
              </w:rPr>
              <w:t>采用混凝土进行</w:t>
            </w:r>
            <w:r>
              <w:rPr>
                <w:rFonts w:hint="default" w:ascii="Times New Roman" w:hAnsi="Times New Roman" w:eastAsia="宋体" w:cs="Times New Roman"/>
                <w:color w:val="auto"/>
                <w:kern w:val="0"/>
                <w:sz w:val="24"/>
                <w:lang w:eastAsia="zh-CN"/>
              </w:rPr>
              <w:t>一般地面硬化。</w:t>
            </w:r>
            <w:r>
              <w:rPr>
                <w:rFonts w:hint="default" w:ascii="Times New Roman" w:hAnsi="Times New Roman" w:eastAsia="宋体" w:cs="Times New Roman"/>
                <w:color w:val="auto"/>
                <w:sz w:val="24"/>
                <w:lang w:val="en-US" w:eastAsia="zh-CN"/>
              </w:rPr>
              <w:t>采取以上措施后，</w:t>
            </w:r>
            <w:r>
              <w:rPr>
                <w:rFonts w:hint="default" w:ascii="Times New Roman" w:hAnsi="Times New Roman" w:eastAsia="宋体" w:cs="Times New Roman"/>
                <w:color w:val="auto"/>
                <w:sz w:val="24"/>
              </w:rPr>
              <w:t>对地下水及土壤环境影响较小。</w:t>
            </w:r>
          </w:p>
          <w:p w14:paraId="5734DD62">
            <w:pPr>
              <w:spacing w:line="360" w:lineRule="auto"/>
              <w:jc w:val="center"/>
              <w:rPr>
                <w:rFonts w:hint="default" w:ascii="Times New Roman" w:hAnsi="Times New Roman" w:eastAsia="宋体" w:cs="Times New Roman"/>
                <w:b/>
                <w:bCs/>
                <w:color w:val="auto"/>
                <w:kern w:val="0"/>
                <w:sz w:val="24"/>
                <w:szCs w:val="20"/>
              </w:rPr>
            </w:pPr>
          </w:p>
          <w:p w14:paraId="01ACBA86">
            <w:pPr>
              <w:spacing w:line="360" w:lineRule="auto"/>
              <w:jc w:val="center"/>
              <w:rPr>
                <w:rFonts w:hint="default" w:ascii="Times New Roman" w:hAnsi="Times New Roman" w:eastAsia="宋体" w:cs="Times New Roman"/>
                <w:b/>
                <w:bCs/>
                <w:color w:val="auto"/>
                <w:kern w:val="0"/>
                <w:sz w:val="24"/>
                <w:szCs w:val="20"/>
              </w:rPr>
            </w:pPr>
          </w:p>
          <w:p w14:paraId="094A5577">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 xml:space="preserve"> 项目防渗分区划分及防渗技术要求</w:t>
            </w:r>
          </w:p>
          <w:tbl>
            <w:tblPr>
              <w:tblStyle w:val="7"/>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1727"/>
              <w:gridCol w:w="2577"/>
              <w:gridCol w:w="3904"/>
            </w:tblGrid>
            <w:tr w14:paraId="1372CA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27" w:type="dxa"/>
                  <w:tcBorders>
                    <w:top w:val="single" w:color="auto" w:sz="4" w:space="0"/>
                    <w:left w:val="single" w:color="auto" w:sz="0" w:space="0"/>
                  </w:tcBorders>
                  <w:noWrap w:val="0"/>
                  <w:vAlign w:val="center"/>
                </w:tcPr>
                <w:p w14:paraId="21B0DF29">
                  <w:pPr>
                    <w:adjustRightInd w:val="0"/>
                    <w:snapToGrid w:val="0"/>
                    <w:jc w:val="center"/>
                    <w:rPr>
                      <w:rFonts w:hint="eastAsia" w:ascii="Times New Roman" w:hAnsi="Times New Roman" w:eastAsia="宋体" w:cs="Times New Roman"/>
                      <w:b/>
                      <w:bCs/>
                      <w:color w:val="auto"/>
                      <w:kern w:val="0"/>
                      <w:szCs w:val="21"/>
                      <w:lang w:eastAsia="zh-CN"/>
                    </w:rPr>
                  </w:pPr>
                  <w:r>
                    <w:rPr>
                      <w:rFonts w:hint="default" w:ascii="Times New Roman" w:hAnsi="Times New Roman" w:eastAsia="宋体" w:cs="Times New Roman"/>
                      <w:b/>
                      <w:bCs/>
                      <w:color w:val="auto"/>
                      <w:szCs w:val="21"/>
                    </w:rPr>
                    <w:t>防渗分区</w:t>
                  </w:r>
                  <w:r>
                    <w:rPr>
                      <w:rFonts w:hint="eastAsia" w:cs="Times New Roman"/>
                      <w:b/>
                      <w:bCs/>
                      <w:color w:val="auto"/>
                      <w:szCs w:val="21"/>
                      <w:lang w:eastAsia="zh-CN"/>
                    </w:rPr>
                    <w:t>划分</w:t>
                  </w:r>
                </w:p>
              </w:tc>
              <w:tc>
                <w:tcPr>
                  <w:tcW w:w="2577" w:type="dxa"/>
                  <w:tcBorders>
                    <w:top w:val="single" w:color="auto" w:sz="4" w:space="0"/>
                  </w:tcBorders>
                  <w:noWrap w:val="0"/>
                  <w:vAlign w:val="center"/>
                </w:tcPr>
                <w:p w14:paraId="4715530E">
                  <w:pPr>
                    <w:adjustRightInd w:val="0"/>
                    <w:snapToGrid w:val="0"/>
                    <w:jc w:val="center"/>
                    <w:rPr>
                      <w:rFonts w:hint="eastAsia" w:ascii="Times New Roman" w:hAnsi="Times New Roman" w:eastAsia="宋体" w:cs="Times New Roman"/>
                      <w:b/>
                      <w:bCs/>
                      <w:color w:val="auto"/>
                      <w:szCs w:val="21"/>
                      <w:lang w:eastAsia="zh-CN"/>
                    </w:rPr>
                  </w:pPr>
                  <w:r>
                    <w:rPr>
                      <w:rFonts w:hint="eastAsia" w:cs="Times New Roman"/>
                      <w:b/>
                      <w:bCs/>
                      <w:color w:val="auto"/>
                      <w:kern w:val="0"/>
                      <w:szCs w:val="21"/>
                      <w:lang w:eastAsia="zh-CN"/>
                    </w:rPr>
                    <w:t>分区范围</w:t>
                  </w:r>
                </w:p>
              </w:tc>
              <w:tc>
                <w:tcPr>
                  <w:tcW w:w="3904" w:type="dxa"/>
                  <w:tcBorders>
                    <w:top w:val="single" w:color="auto" w:sz="4" w:space="0"/>
                    <w:right w:val="single" w:color="auto" w:sz="4" w:space="0"/>
                  </w:tcBorders>
                  <w:noWrap w:val="0"/>
                  <w:vAlign w:val="center"/>
                </w:tcPr>
                <w:p w14:paraId="0E702845">
                  <w:pPr>
                    <w:adjustRightInd w:val="0"/>
                    <w:snapToGrid w:val="0"/>
                    <w:jc w:val="center"/>
                    <w:rPr>
                      <w:rFonts w:hint="default" w:ascii="Times New Roman" w:hAnsi="Times New Roman" w:eastAsia="宋体" w:cs="Times New Roman"/>
                      <w:b/>
                      <w:bCs/>
                      <w:color w:val="auto"/>
                      <w:kern w:val="0"/>
                      <w:szCs w:val="21"/>
                    </w:rPr>
                  </w:pPr>
                  <w:r>
                    <w:rPr>
                      <w:rFonts w:hint="default" w:ascii="Times New Roman" w:hAnsi="Times New Roman" w:eastAsia="宋体" w:cs="Times New Roman"/>
                      <w:b/>
                      <w:bCs/>
                      <w:color w:val="auto"/>
                      <w:kern w:val="0"/>
                      <w:szCs w:val="21"/>
                    </w:rPr>
                    <w:t>防渗要求</w:t>
                  </w:r>
                </w:p>
              </w:tc>
            </w:tr>
            <w:tr w14:paraId="087888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727" w:type="dxa"/>
                  <w:tcBorders>
                    <w:left w:val="single" w:color="auto" w:sz="4" w:space="0"/>
                  </w:tcBorders>
                  <w:noWrap w:val="0"/>
                  <w:vAlign w:val="center"/>
                </w:tcPr>
                <w:p w14:paraId="65140BB2">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一般防渗区</w:t>
                  </w:r>
                </w:p>
              </w:tc>
              <w:tc>
                <w:tcPr>
                  <w:tcW w:w="2577" w:type="dxa"/>
                  <w:noWrap w:val="0"/>
                  <w:vAlign w:val="center"/>
                </w:tcPr>
                <w:p w14:paraId="6BCD975C">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化粪池</w:t>
                  </w:r>
                </w:p>
              </w:tc>
              <w:tc>
                <w:tcPr>
                  <w:tcW w:w="3904" w:type="dxa"/>
                  <w:tcBorders>
                    <w:right w:val="single" w:color="auto" w:sz="4" w:space="0"/>
                  </w:tcBorders>
                  <w:noWrap w:val="0"/>
                  <w:vAlign w:val="center"/>
                </w:tcPr>
                <w:p w14:paraId="08AC7695">
                  <w:pPr>
                    <w:adjustRightInd w:val="0"/>
                    <w:snapToGrid w:val="0"/>
                    <w:jc w:val="center"/>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rPr>
                    <w:t>等效黏土防渗层Mb</w:t>
                  </w:r>
                  <w:r>
                    <w:rPr>
                      <w:rFonts w:hint="default" w:ascii="Times New Roman" w:hAnsi="Times New Roman" w:eastAsia="宋体" w:cs="Times New Roman"/>
                      <w:color w:val="auto"/>
                      <w:kern w:val="0"/>
                      <w:szCs w:val="21"/>
                    </w:rPr>
                    <w:t>≥</w:t>
                  </w:r>
                  <w:r>
                    <w:rPr>
                      <w:rFonts w:hint="default" w:ascii="Times New Roman" w:hAnsi="Times New Roman" w:eastAsia="宋体" w:cs="Times New Roman"/>
                      <w:color w:val="auto"/>
                    </w:rPr>
                    <w:t>1.5</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，渗透系数≤1×10</w:t>
                  </w:r>
                  <w:r>
                    <w:rPr>
                      <w:rFonts w:hint="default" w:ascii="Times New Roman" w:hAnsi="Times New Roman" w:eastAsia="宋体" w:cs="Times New Roman"/>
                      <w:color w:val="auto"/>
                      <w:vertAlign w:val="superscript"/>
                    </w:rPr>
                    <w:t>-7</w:t>
                  </w:r>
                  <w:r>
                    <w:rPr>
                      <w:rFonts w:hint="default" w:ascii="Times New Roman" w:hAnsi="Times New Roman" w:eastAsia="宋体" w:cs="Times New Roman"/>
                      <w:color w:val="auto"/>
                    </w:rPr>
                    <w:t>c</w:t>
                  </w:r>
                  <w:r>
                    <w:rPr>
                      <w:rFonts w:hint="default" w:ascii="Times New Roman" w:hAnsi="Times New Roman" w:eastAsia="宋体" w:cs="Times New Roman"/>
                      <w:color w:val="auto"/>
                      <w:lang w:eastAsia="zh-CN"/>
                    </w:rPr>
                    <w:t>m</w:t>
                  </w:r>
                  <w:r>
                    <w:rPr>
                      <w:rFonts w:hint="default" w:ascii="Times New Roman" w:hAnsi="Times New Roman" w:eastAsia="宋体" w:cs="Times New Roman"/>
                      <w:color w:val="auto"/>
                    </w:rPr>
                    <w:t>/s</w:t>
                  </w:r>
                  <w:r>
                    <w:rPr>
                      <w:rFonts w:hint="eastAsia" w:cs="Times New Roman"/>
                      <w:color w:val="auto"/>
                      <w:lang w:eastAsia="zh-CN"/>
                    </w:rPr>
                    <w:t>。</w:t>
                  </w:r>
                </w:p>
              </w:tc>
            </w:tr>
            <w:tr w14:paraId="7CDAD0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727" w:type="dxa"/>
                  <w:tcBorders>
                    <w:left w:val="single" w:color="auto" w:sz="4" w:space="0"/>
                    <w:bottom w:val="single" w:color="auto" w:sz="4" w:space="0"/>
                  </w:tcBorders>
                  <w:noWrap w:val="0"/>
                  <w:vAlign w:val="center"/>
                </w:tcPr>
                <w:p w14:paraId="449C596E">
                  <w:pPr>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rPr>
                    <w:t>简单防渗区</w:t>
                  </w:r>
                </w:p>
              </w:tc>
              <w:tc>
                <w:tcPr>
                  <w:tcW w:w="2577" w:type="dxa"/>
                  <w:tcBorders>
                    <w:bottom w:val="single" w:color="auto" w:sz="4" w:space="0"/>
                  </w:tcBorders>
                  <w:noWrap w:val="0"/>
                  <w:vAlign w:val="center"/>
                </w:tcPr>
                <w:p w14:paraId="69A410DC">
                  <w:pPr>
                    <w:adjustRightInd w:val="0"/>
                    <w:snapToGrid w:val="0"/>
                    <w:jc w:val="center"/>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车间地面</w:t>
                  </w:r>
                  <w:r>
                    <w:rPr>
                      <w:rFonts w:hint="default" w:ascii="Times New Roman" w:hAnsi="Times New Roman" w:eastAsia="宋体" w:cs="Times New Roman"/>
                      <w:color w:val="auto"/>
                    </w:rPr>
                    <w:t>、厂区道路等</w:t>
                  </w:r>
                </w:p>
              </w:tc>
              <w:tc>
                <w:tcPr>
                  <w:tcW w:w="3904" w:type="dxa"/>
                  <w:tcBorders>
                    <w:bottom w:val="single" w:color="auto" w:sz="4" w:space="0"/>
                    <w:right w:val="single" w:color="auto" w:sz="4" w:space="0"/>
                  </w:tcBorders>
                  <w:noWrap w:val="0"/>
                  <w:vAlign w:val="center"/>
                </w:tcPr>
                <w:p w14:paraId="54E377D3">
                  <w:pPr>
                    <w:adjustRightInd w:val="0"/>
                    <w:snapToGrid w:val="0"/>
                    <w:jc w:val="center"/>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rPr>
                    <w:t>一般地面硬化</w:t>
                  </w:r>
                  <w:r>
                    <w:rPr>
                      <w:rFonts w:hint="eastAsia" w:cs="Times New Roman"/>
                      <w:color w:val="auto"/>
                      <w:lang w:eastAsia="zh-CN"/>
                    </w:rPr>
                    <w:t>。</w:t>
                  </w:r>
                </w:p>
              </w:tc>
            </w:tr>
          </w:tbl>
          <w:p w14:paraId="3BB2DAB8">
            <w:pPr>
              <w:adjustRightInd w:val="0"/>
              <w:snapToGrid w:val="0"/>
              <w:spacing w:line="360" w:lineRule="auto"/>
              <w:ind w:firstLine="480" w:firstLineChars="200"/>
              <w:jc w:val="left"/>
              <w:rPr>
                <w:rFonts w:hint="default" w:ascii="Times New Roman" w:hAnsi="Times New Roman" w:eastAsia="宋体" w:cs="Times New Roman"/>
                <w:bCs/>
                <w:color w:val="auto"/>
                <w:kern w:val="28"/>
                <w:sz w:val="24"/>
              </w:rPr>
            </w:pPr>
          </w:p>
          <w:p w14:paraId="4F2F60D2">
            <w:pPr>
              <w:widowControl/>
              <w:adjustRightInd w:val="0"/>
              <w:snapToGrid w:val="0"/>
              <w:spacing w:line="360" w:lineRule="auto"/>
              <w:ind w:firstLine="482" w:firstLineChars="20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6.环境风险分析</w:t>
            </w:r>
          </w:p>
          <w:p w14:paraId="4550F2B2">
            <w:pPr>
              <w:widowControl/>
              <w:adjustRightInd w:val="0"/>
              <w:snapToGrid w:val="0"/>
              <w:spacing w:line="360" w:lineRule="auto"/>
              <w:ind w:firstLine="482" w:firstLineChars="200"/>
              <w:jc w:val="both"/>
              <w:rPr>
                <w:rFonts w:hint="default" w:ascii="Times New Roman" w:hAnsi="Times New Roman" w:eastAsia="宋体" w:cs="Times New Roman"/>
                <w:b/>
                <w:bCs/>
                <w:color w:val="auto"/>
                <w:kern w:val="1"/>
                <w:sz w:val="24"/>
                <w:szCs w:val="24"/>
                <w:lang w:val="en-US" w:eastAsia="zh-CN" w:bidi="ar-SA"/>
              </w:rPr>
            </w:pPr>
            <w:r>
              <w:rPr>
                <w:rFonts w:hint="default" w:ascii="Times New Roman" w:hAnsi="Times New Roman" w:eastAsia="宋体" w:cs="Times New Roman"/>
                <w:b/>
                <w:bCs/>
                <w:color w:val="auto"/>
                <w:kern w:val="1"/>
                <w:sz w:val="24"/>
                <w:szCs w:val="24"/>
                <w:lang w:val="en-US" w:eastAsia="zh-CN" w:bidi="ar-SA"/>
              </w:rPr>
              <w:t>6.1评价依据</w:t>
            </w:r>
          </w:p>
          <w:p w14:paraId="50B03FF2">
            <w:pPr>
              <w:widowControl/>
              <w:adjustRightInd w:val="0"/>
              <w:snapToGrid w:val="0"/>
              <w:spacing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①风险调查</w:t>
            </w:r>
          </w:p>
          <w:p w14:paraId="3B6BFACD">
            <w:pPr>
              <w:widowControl/>
              <w:adjustRightInd w:val="0"/>
              <w:snapToGrid w:val="0"/>
              <w:spacing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根据《建设项目环境风险评价技术导则》（HJ 169-2018）附录B，本项目重点关注的危险物质为</w:t>
            </w:r>
            <w:r>
              <w:rPr>
                <w:rFonts w:hint="default" w:ascii="Times New Roman" w:hAnsi="Times New Roman" w:eastAsia="宋体" w:cs="Times New Roman"/>
                <w:bCs/>
                <w:color w:val="auto"/>
                <w:kern w:val="1"/>
                <w:sz w:val="24"/>
                <w:szCs w:val="24"/>
                <w:lang w:val="en-US" w:eastAsia="zh-CN" w:bidi="ar-SA"/>
              </w:rPr>
              <w:t>天然气，天然气通过管道运输，储存量极少</w:t>
            </w:r>
            <w:r>
              <w:rPr>
                <w:rFonts w:hint="default" w:ascii="Times New Roman" w:hAnsi="Times New Roman" w:eastAsia="宋体" w:cs="Times New Roman"/>
                <w:color w:val="auto"/>
                <w:kern w:val="1"/>
                <w:sz w:val="24"/>
                <w:szCs w:val="24"/>
                <w:lang w:val="en-US" w:eastAsia="zh-CN" w:bidi="ar-SA"/>
              </w:rPr>
              <w:t>。</w:t>
            </w:r>
          </w:p>
          <w:p w14:paraId="06AF7F4B">
            <w:pPr>
              <w:widowControl/>
              <w:adjustRightInd w:val="0"/>
              <w:snapToGrid w:val="0"/>
              <w:spacing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②风险潜势初判</w:t>
            </w:r>
          </w:p>
          <w:p w14:paraId="13C35564">
            <w:pPr>
              <w:widowControl/>
              <w:adjustRightInd w:val="0"/>
              <w:snapToGrid w:val="0"/>
              <w:spacing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根据《建设项目环境风险评价技术导则》（HJ 169-2018）附录B和附录C，项目涉及的危险物质为天然气，当只涉及一种危险物质时，该物质的总量与其临界量的比值，即为Q。</w:t>
            </w:r>
          </w:p>
          <w:p w14:paraId="330A8729">
            <w:pPr>
              <w:widowControl/>
              <w:adjustRightInd w:val="0"/>
              <w:snapToGrid w:val="0"/>
              <w:spacing w:line="360" w:lineRule="auto"/>
              <w:ind w:firstLine="480" w:firstLineChars="200"/>
              <w:jc w:val="both"/>
              <w:rPr>
                <w:rFonts w:hint="default" w:ascii="Times New Roman" w:hAnsi="Times New Roman" w:eastAsia="宋体" w:cs="Times New Roman"/>
                <w:color w:val="auto"/>
                <w:sz w:val="24"/>
                <w:szCs w:val="32"/>
                <w:lang w:val="en-US" w:eastAsia="zh-CN"/>
              </w:rPr>
            </w:pPr>
            <w:r>
              <w:rPr>
                <w:rFonts w:hint="default" w:ascii="Times New Roman" w:hAnsi="Times New Roman" w:eastAsia="宋体" w:cs="Times New Roman"/>
                <w:color w:val="auto"/>
                <w:sz w:val="24"/>
                <w:szCs w:val="32"/>
                <w:lang w:val="en-US" w:eastAsia="zh-CN"/>
              </w:rPr>
              <w:t>本项目锅炉燃料由市政天然气管网提供，天然气最大存在量按照每小时的天然气用量计算。天然气的密度一般为0.75kg/</w:t>
            </w:r>
            <w:r>
              <w:rPr>
                <w:rFonts w:hint="default" w:ascii="Times New Roman" w:hAnsi="Times New Roman" w:eastAsia="宋体" w:cs="Times New Roman"/>
                <w:color w:val="auto"/>
                <w:sz w:val="24"/>
                <w:szCs w:val="32"/>
                <w:vertAlign w:val="baseline"/>
                <w:lang w:val="en-US" w:eastAsia="zh-CN"/>
              </w:rPr>
              <w:t>m</w:t>
            </w:r>
            <w:r>
              <w:rPr>
                <w:rFonts w:hint="default" w:ascii="Times New Roman" w:hAnsi="Times New Roman" w:eastAsia="宋体" w:cs="Times New Roman"/>
                <w:color w:val="auto"/>
                <w:sz w:val="24"/>
                <w:szCs w:val="32"/>
                <w:vertAlign w:val="superscript"/>
                <w:lang w:val="en-US" w:eastAsia="zh-CN"/>
              </w:rPr>
              <w:t>3</w:t>
            </w:r>
            <w:r>
              <w:rPr>
                <w:rFonts w:hint="default" w:ascii="Times New Roman" w:hAnsi="Times New Roman" w:eastAsia="宋体" w:cs="Times New Roman"/>
                <w:color w:val="auto"/>
                <w:sz w:val="24"/>
                <w:szCs w:val="32"/>
                <w:lang w:val="en-US" w:eastAsia="zh-CN"/>
              </w:rPr>
              <w:t>至0.8kg/</w:t>
            </w:r>
            <w:r>
              <w:rPr>
                <w:rFonts w:hint="default" w:ascii="Times New Roman" w:hAnsi="Times New Roman" w:eastAsia="宋体" w:cs="Times New Roman"/>
                <w:color w:val="auto"/>
                <w:sz w:val="24"/>
                <w:szCs w:val="32"/>
                <w:vertAlign w:val="baseline"/>
                <w:lang w:val="en-US" w:eastAsia="zh-CN"/>
              </w:rPr>
              <w:t>m</w:t>
            </w:r>
            <w:r>
              <w:rPr>
                <w:rFonts w:hint="default" w:ascii="Times New Roman" w:hAnsi="Times New Roman" w:eastAsia="宋体" w:cs="Times New Roman"/>
                <w:color w:val="auto"/>
                <w:sz w:val="24"/>
                <w:szCs w:val="32"/>
                <w:vertAlign w:val="superscript"/>
                <w:lang w:val="en-US" w:eastAsia="zh-CN"/>
              </w:rPr>
              <w:t>3</w:t>
            </w:r>
            <w:r>
              <w:rPr>
                <w:rFonts w:hint="default" w:ascii="Times New Roman" w:hAnsi="Times New Roman" w:eastAsia="宋体" w:cs="Times New Roman"/>
                <w:color w:val="auto"/>
                <w:sz w:val="24"/>
                <w:szCs w:val="32"/>
                <w:lang w:val="en-US" w:eastAsia="zh-CN"/>
              </w:rPr>
              <w:t>，本项目取0.8kg/</w:t>
            </w:r>
            <w:r>
              <w:rPr>
                <w:rFonts w:hint="default" w:ascii="Times New Roman" w:hAnsi="Times New Roman" w:eastAsia="宋体" w:cs="Times New Roman"/>
                <w:color w:val="auto"/>
                <w:sz w:val="24"/>
                <w:szCs w:val="32"/>
                <w:vertAlign w:val="baseline"/>
                <w:lang w:val="en-US" w:eastAsia="zh-CN"/>
              </w:rPr>
              <w:t>m</w:t>
            </w:r>
            <w:r>
              <w:rPr>
                <w:rFonts w:hint="default" w:ascii="Times New Roman" w:hAnsi="Times New Roman" w:eastAsia="宋体" w:cs="Times New Roman"/>
                <w:color w:val="auto"/>
                <w:sz w:val="24"/>
                <w:szCs w:val="32"/>
                <w:vertAlign w:val="superscript"/>
                <w:lang w:val="en-US" w:eastAsia="zh-CN"/>
              </w:rPr>
              <w:t>3</w:t>
            </w:r>
            <w:r>
              <w:rPr>
                <w:rFonts w:hint="default" w:ascii="Times New Roman" w:hAnsi="Times New Roman" w:eastAsia="宋体" w:cs="Times New Roman"/>
                <w:color w:val="auto"/>
                <w:sz w:val="24"/>
                <w:szCs w:val="32"/>
                <w:lang w:val="en-US" w:eastAsia="zh-CN"/>
              </w:rPr>
              <w:t>。本项目天然气用量取600</w:t>
            </w:r>
            <w:r>
              <w:rPr>
                <w:rFonts w:hint="default" w:ascii="Times New Roman" w:hAnsi="Times New Roman" w:eastAsia="宋体" w:cs="Times New Roman"/>
                <w:color w:val="auto"/>
                <w:sz w:val="24"/>
                <w:szCs w:val="32"/>
                <w:vertAlign w:val="baseline"/>
                <w:lang w:val="en-US" w:eastAsia="zh-CN"/>
              </w:rPr>
              <w:t>m</w:t>
            </w:r>
            <w:r>
              <w:rPr>
                <w:rFonts w:hint="default" w:ascii="Times New Roman" w:hAnsi="Times New Roman" w:eastAsia="宋体" w:cs="Times New Roman"/>
                <w:color w:val="auto"/>
                <w:sz w:val="24"/>
                <w:szCs w:val="32"/>
                <w:vertAlign w:val="superscript"/>
                <w:lang w:val="en-US" w:eastAsia="zh-CN"/>
              </w:rPr>
              <w:t>3</w:t>
            </w:r>
            <w:r>
              <w:rPr>
                <w:rFonts w:hint="default" w:ascii="Times New Roman" w:hAnsi="Times New Roman" w:eastAsia="宋体" w:cs="Times New Roman"/>
                <w:color w:val="auto"/>
                <w:sz w:val="24"/>
                <w:szCs w:val="32"/>
                <w:lang w:val="en-US" w:eastAsia="zh-CN"/>
              </w:rPr>
              <w:t>/h，则每小时天然气用量为0.48t。</w:t>
            </w:r>
          </w:p>
          <w:p w14:paraId="3C1724E8">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eastAsia="宋体" w:cs="Times New Roman"/>
                <w:color w:val="auto"/>
                <w:lang w:val="en-US" w:eastAsia="zh-CN"/>
              </w:rPr>
              <w:t>9</w:t>
            </w:r>
            <w:r>
              <w:rPr>
                <w:rFonts w:hint="default" w:ascii="Times New Roman" w:hAnsi="Times New Roman" w:eastAsia="宋体" w:cs="Times New Roman"/>
                <w:color w:val="auto"/>
              </w:rPr>
              <w:t xml:space="preserve"> 危险物质数量与临界量比值判定结果</w:t>
            </w:r>
          </w:p>
          <w:tbl>
            <w:tblPr>
              <w:tblStyle w:val="7"/>
              <w:tblW w:w="8222" w:type="dxa"/>
              <w:jc w:val="center"/>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971"/>
              <w:gridCol w:w="1765"/>
              <w:gridCol w:w="2926"/>
              <w:gridCol w:w="1408"/>
            </w:tblGrid>
            <w:tr w14:paraId="16556F80">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tcBorders>
                    <w:top w:val="single" w:color="auto" w:sz="4" w:space="0"/>
                  </w:tcBorders>
                  <w:noWrap w:val="0"/>
                  <w:vAlign w:val="center"/>
                </w:tcPr>
                <w:p w14:paraId="490325EF">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kern w:val="1"/>
                      <w:sz w:val="21"/>
                      <w:szCs w:val="21"/>
                      <w:lang w:val="en-US" w:eastAsia="zh-CN" w:bidi="ar-SA"/>
                    </w:rPr>
                    <w:t>名称</w:t>
                  </w:r>
                </w:p>
              </w:tc>
              <w:tc>
                <w:tcPr>
                  <w:tcW w:w="590" w:type="pct"/>
                  <w:tcBorders>
                    <w:top w:val="single" w:color="auto" w:sz="4" w:space="0"/>
                  </w:tcBorders>
                  <w:noWrap w:val="0"/>
                  <w:vAlign w:val="center"/>
                </w:tcPr>
                <w:p w14:paraId="19733903">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kern w:val="1"/>
                      <w:sz w:val="21"/>
                      <w:szCs w:val="21"/>
                      <w:lang w:val="en-US" w:eastAsia="zh-CN" w:bidi="ar-SA"/>
                    </w:rPr>
                    <w:t>临界量t</w:t>
                  </w:r>
                </w:p>
              </w:tc>
              <w:tc>
                <w:tcPr>
                  <w:tcW w:w="1073" w:type="pct"/>
                  <w:tcBorders>
                    <w:top w:val="single" w:color="auto" w:sz="4" w:space="0"/>
                  </w:tcBorders>
                  <w:noWrap w:val="0"/>
                  <w:vAlign w:val="center"/>
                </w:tcPr>
                <w:p w14:paraId="43A8C6C2">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kern w:val="1"/>
                      <w:sz w:val="21"/>
                      <w:szCs w:val="21"/>
                      <w:lang w:val="en-US" w:eastAsia="zh-CN" w:bidi="ar-SA"/>
                    </w:rPr>
                    <w:t>最大存在总量t</w:t>
                  </w:r>
                </w:p>
              </w:tc>
              <w:tc>
                <w:tcPr>
                  <w:tcW w:w="1779" w:type="pct"/>
                  <w:tcBorders>
                    <w:top w:val="single" w:color="auto" w:sz="4" w:space="0"/>
                  </w:tcBorders>
                  <w:noWrap w:val="0"/>
                  <w:vAlign w:val="center"/>
                </w:tcPr>
                <w:p w14:paraId="0E6B20EE">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kern w:val="1"/>
                      <w:sz w:val="21"/>
                      <w:szCs w:val="21"/>
                      <w:lang w:val="en-US" w:eastAsia="zh-CN" w:bidi="ar-SA"/>
                    </w:rPr>
                    <w:t>危险物质数量与临界量比值Q</w:t>
                  </w:r>
                </w:p>
              </w:tc>
              <w:tc>
                <w:tcPr>
                  <w:tcW w:w="856" w:type="pct"/>
                  <w:tcBorders>
                    <w:top w:val="single" w:color="auto" w:sz="4" w:space="0"/>
                    <w:right w:val="single" w:color="auto" w:sz="4" w:space="0"/>
                  </w:tcBorders>
                  <w:noWrap w:val="0"/>
                  <w:vAlign w:val="center"/>
                </w:tcPr>
                <w:p w14:paraId="0219D1BC">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kern w:val="1"/>
                      <w:sz w:val="21"/>
                      <w:szCs w:val="21"/>
                      <w:lang w:val="en-US" w:eastAsia="zh-CN" w:bidi="ar-SA"/>
                    </w:rPr>
                    <w:t>判定结果</w:t>
                  </w:r>
                </w:p>
              </w:tc>
            </w:tr>
            <w:tr w14:paraId="57138A54">
              <w:tblPrEx>
                <w:tblBorders>
                  <w:top w:val="single" w:color="auto" w:sz="12" w:space="0"/>
                  <w:left w:val="dotted" w:color="auto" w:sz="4" w:space="0"/>
                  <w:bottom w:val="single" w:color="auto" w:sz="12"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pct"/>
                  <w:tcBorders>
                    <w:left w:val="single" w:color="auto" w:sz="4" w:space="0"/>
                    <w:bottom w:val="single" w:color="auto" w:sz="4" w:space="0"/>
                  </w:tcBorders>
                  <w:noWrap w:val="0"/>
                  <w:vAlign w:val="center"/>
                </w:tcPr>
                <w:p w14:paraId="713719E4">
                  <w:pPr>
                    <w:widowControl/>
                    <w:adjustRightInd w:val="0"/>
                    <w:snapToGrid w:val="0"/>
                    <w:spacing w:line="240" w:lineRule="auto"/>
                    <w:ind w:firstLine="0" w:firstLineChars="0"/>
                    <w:jc w:val="center"/>
                    <w:rPr>
                      <w:rFonts w:hint="default"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kern w:val="1"/>
                      <w:sz w:val="21"/>
                      <w:szCs w:val="21"/>
                      <w:lang w:val="en-US" w:eastAsia="zh-CN" w:bidi="ar-SA"/>
                    </w:rPr>
                    <w:t>天然气</w:t>
                  </w:r>
                </w:p>
              </w:tc>
              <w:tc>
                <w:tcPr>
                  <w:tcW w:w="590" w:type="pct"/>
                  <w:tcBorders>
                    <w:bottom w:val="single" w:color="auto" w:sz="4" w:space="0"/>
                  </w:tcBorders>
                  <w:noWrap w:val="0"/>
                  <w:vAlign w:val="center"/>
                </w:tcPr>
                <w:p w14:paraId="5A8B9ED1">
                  <w:pPr>
                    <w:widowControl/>
                    <w:adjustRightInd w:val="0"/>
                    <w:snapToGrid w:val="0"/>
                    <w:spacing w:line="240" w:lineRule="auto"/>
                    <w:ind w:firstLine="0" w:firstLineChars="0"/>
                    <w:jc w:val="center"/>
                    <w:rPr>
                      <w:rFonts w:hint="default"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kern w:val="1"/>
                      <w:sz w:val="21"/>
                      <w:szCs w:val="21"/>
                      <w:lang w:val="en-US" w:eastAsia="zh-CN" w:bidi="ar-SA"/>
                    </w:rPr>
                    <w:t>10</w:t>
                  </w:r>
                </w:p>
              </w:tc>
              <w:tc>
                <w:tcPr>
                  <w:tcW w:w="1073" w:type="pct"/>
                  <w:tcBorders>
                    <w:bottom w:val="single" w:color="auto" w:sz="4" w:space="0"/>
                  </w:tcBorders>
                  <w:noWrap w:val="0"/>
                  <w:vAlign w:val="center"/>
                </w:tcPr>
                <w:p w14:paraId="2737BA4D">
                  <w:pPr>
                    <w:widowControl/>
                    <w:adjustRightInd w:val="0"/>
                    <w:snapToGrid w:val="0"/>
                    <w:spacing w:line="240" w:lineRule="auto"/>
                    <w:ind w:firstLine="0" w:firstLineChars="0"/>
                    <w:jc w:val="center"/>
                    <w:rPr>
                      <w:rFonts w:hint="default"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kern w:val="1"/>
                      <w:sz w:val="21"/>
                      <w:szCs w:val="21"/>
                      <w:lang w:val="en-US" w:eastAsia="zh-CN" w:bidi="ar-SA"/>
                    </w:rPr>
                    <w:t>0.48</w:t>
                  </w:r>
                </w:p>
              </w:tc>
              <w:tc>
                <w:tcPr>
                  <w:tcW w:w="1779" w:type="pct"/>
                  <w:tcBorders>
                    <w:bottom w:val="single" w:color="auto" w:sz="4" w:space="0"/>
                  </w:tcBorders>
                  <w:noWrap w:val="0"/>
                  <w:vAlign w:val="center"/>
                </w:tcPr>
                <w:p w14:paraId="6146AEA9">
                  <w:pPr>
                    <w:widowControl/>
                    <w:adjustRightInd w:val="0"/>
                    <w:snapToGrid w:val="0"/>
                    <w:spacing w:line="240" w:lineRule="auto"/>
                    <w:ind w:firstLine="0" w:firstLineChars="0"/>
                    <w:jc w:val="center"/>
                    <w:rPr>
                      <w:rFonts w:hint="default"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kern w:val="1"/>
                      <w:sz w:val="21"/>
                      <w:szCs w:val="21"/>
                      <w:lang w:val="en-US" w:eastAsia="zh-CN" w:bidi="ar-SA"/>
                    </w:rPr>
                    <w:t>0.048</w:t>
                  </w:r>
                </w:p>
              </w:tc>
              <w:tc>
                <w:tcPr>
                  <w:tcW w:w="856" w:type="pct"/>
                  <w:tcBorders>
                    <w:bottom w:val="single" w:color="auto" w:sz="4" w:space="0"/>
                    <w:right w:val="single" w:color="auto" w:sz="4" w:space="0"/>
                  </w:tcBorders>
                  <w:noWrap w:val="0"/>
                  <w:vAlign w:val="center"/>
                </w:tcPr>
                <w:p w14:paraId="65863246">
                  <w:pPr>
                    <w:widowControl/>
                    <w:adjustRightInd w:val="0"/>
                    <w:snapToGrid w:val="0"/>
                    <w:spacing w:line="240" w:lineRule="auto"/>
                    <w:ind w:firstLine="0" w:firstLineChars="0"/>
                    <w:jc w:val="center"/>
                    <w:rPr>
                      <w:rFonts w:hint="default"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kern w:val="1"/>
                      <w:sz w:val="21"/>
                      <w:szCs w:val="21"/>
                      <w:lang w:val="en-US" w:eastAsia="zh-CN" w:bidi="ar-SA"/>
                    </w:rPr>
                    <w:t>Q&lt;1</w:t>
                  </w:r>
                </w:p>
              </w:tc>
            </w:tr>
          </w:tbl>
          <w:p w14:paraId="76AC82C0">
            <w:pPr>
              <w:widowControl/>
              <w:adjustRightInd w:val="0"/>
              <w:snapToGrid w:val="0"/>
              <w:spacing w:before="240"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根据《建设项目环境风险评价技术导则》（HJ 169-2018）附录B中C.1.1，项目风险物质总计Q=0.048＜1，可直接判定环境潜势为</w:t>
            </w:r>
            <w:r>
              <w:rPr>
                <w:rFonts w:hint="default" w:ascii="Times New Roman" w:hAnsi="Times New Roman" w:eastAsia="宋体" w:cs="Times New Roman"/>
                <w:color w:val="auto"/>
                <w:kern w:val="1"/>
                <w:sz w:val="24"/>
                <w:szCs w:val="24"/>
                <w:lang w:val="en-US" w:eastAsia="zh-CN" w:bidi="ar-SA"/>
              </w:rPr>
              <w:fldChar w:fldCharType="begin"/>
            </w:r>
            <w:r>
              <w:rPr>
                <w:rFonts w:hint="default" w:ascii="Times New Roman" w:hAnsi="Times New Roman" w:eastAsia="宋体" w:cs="Times New Roman"/>
                <w:color w:val="auto"/>
                <w:kern w:val="1"/>
                <w:sz w:val="24"/>
                <w:szCs w:val="24"/>
                <w:lang w:val="en-US" w:eastAsia="zh-CN" w:bidi="ar-SA"/>
              </w:rPr>
              <w:instrText xml:space="preserve"> = 1 \* ROMAN </w:instrText>
            </w:r>
            <w:r>
              <w:rPr>
                <w:rFonts w:hint="default" w:ascii="Times New Roman" w:hAnsi="Times New Roman" w:eastAsia="宋体" w:cs="Times New Roman"/>
                <w:color w:val="auto"/>
                <w:kern w:val="1"/>
                <w:sz w:val="24"/>
                <w:szCs w:val="24"/>
                <w:lang w:val="en-US" w:eastAsia="zh-CN" w:bidi="ar-SA"/>
              </w:rPr>
              <w:fldChar w:fldCharType="separate"/>
            </w:r>
            <w:r>
              <w:rPr>
                <w:rFonts w:hint="default" w:ascii="Times New Roman" w:hAnsi="Times New Roman" w:eastAsia="宋体" w:cs="Times New Roman"/>
                <w:color w:val="auto"/>
                <w:kern w:val="1"/>
                <w:sz w:val="24"/>
                <w:szCs w:val="24"/>
                <w:lang w:val="en-US" w:eastAsia="zh-CN" w:bidi="ar-SA"/>
              </w:rPr>
              <w:t>I</w:t>
            </w:r>
            <w:r>
              <w:rPr>
                <w:rFonts w:hint="default" w:ascii="Times New Roman" w:hAnsi="Times New Roman" w:eastAsia="宋体" w:cs="Times New Roman"/>
                <w:color w:val="auto"/>
                <w:kern w:val="1"/>
                <w:sz w:val="24"/>
                <w:szCs w:val="24"/>
                <w:lang w:val="en-US" w:eastAsia="zh-CN" w:bidi="ar-SA"/>
              </w:rPr>
              <w:fldChar w:fldCharType="end"/>
            </w:r>
            <w:r>
              <w:rPr>
                <w:rFonts w:hint="default" w:ascii="Times New Roman" w:hAnsi="Times New Roman" w:eastAsia="宋体" w:cs="Times New Roman"/>
                <w:color w:val="auto"/>
                <w:kern w:val="1"/>
                <w:sz w:val="24"/>
                <w:szCs w:val="24"/>
                <w:lang w:val="en-US" w:eastAsia="zh-CN" w:bidi="ar-SA"/>
              </w:rPr>
              <w:t>。</w:t>
            </w:r>
          </w:p>
          <w:p w14:paraId="64A1D714">
            <w:pPr>
              <w:widowControl/>
              <w:adjustRightInd w:val="0"/>
              <w:snapToGrid w:val="0"/>
              <w:spacing w:line="360" w:lineRule="auto"/>
              <w:ind w:firstLine="480" w:firstLineChars="200"/>
              <w:jc w:val="both"/>
              <w:rPr>
                <w:rFonts w:hint="default" w:ascii="Times New Roman" w:hAnsi="Times New Roman" w:eastAsia="宋体" w:cs="Times New Roman"/>
                <w:bCs/>
                <w:color w:val="auto"/>
                <w:kern w:val="1"/>
                <w:sz w:val="24"/>
                <w:szCs w:val="24"/>
                <w:lang w:val="en-US" w:eastAsia="zh-CN" w:bidi="ar-SA"/>
              </w:rPr>
            </w:pPr>
            <w:r>
              <w:rPr>
                <w:rFonts w:hint="default" w:ascii="Times New Roman" w:hAnsi="Times New Roman" w:eastAsia="宋体" w:cs="Times New Roman"/>
                <w:bCs/>
                <w:color w:val="auto"/>
                <w:kern w:val="1"/>
                <w:sz w:val="24"/>
                <w:szCs w:val="24"/>
                <w:lang w:val="en-US" w:eastAsia="zh-CN" w:bidi="ar-SA"/>
              </w:rPr>
              <w:t>③评价工作等级划分</w:t>
            </w:r>
          </w:p>
          <w:p w14:paraId="433CBC1B">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 xml:space="preserve"> 评价工作等级划分</w:t>
            </w:r>
          </w:p>
          <w:tbl>
            <w:tblPr>
              <w:tblStyle w:val="7"/>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67"/>
              <w:gridCol w:w="1610"/>
              <w:gridCol w:w="1606"/>
              <w:gridCol w:w="1606"/>
              <w:gridCol w:w="1533"/>
            </w:tblGrid>
            <w:tr w14:paraId="4CD802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5" w:type="pct"/>
                  <w:tcBorders>
                    <w:top w:val="single" w:color="auto" w:sz="4" w:space="0"/>
                    <w:left w:val="single" w:color="auto" w:sz="0" w:space="0"/>
                  </w:tcBorders>
                  <w:noWrap w:val="0"/>
                  <w:vAlign w:val="center"/>
                </w:tcPr>
                <w:p w14:paraId="26CA7230">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kern w:val="1"/>
                      <w:sz w:val="21"/>
                      <w:szCs w:val="21"/>
                      <w:lang w:val="en-US" w:eastAsia="zh-CN" w:bidi="ar-SA"/>
                    </w:rPr>
                    <w:t>环境风险潜势</w:t>
                  </w:r>
                </w:p>
              </w:tc>
              <w:tc>
                <w:tcPr>
                  <w:tcW w:w="979" w:type="pct"/>
                  <w:tcBorders>
                    <w:top w:val="single" w:color="auto" w:sz="4" w:space="0"/>
                  </w:tcBorders>
                  <w:noWrap w:val="0"/>
                  <w:vAlign w:val="center"/>
                </w:tcPr>
                <w:p w14:paraId="3A399CF2">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kern w:val="1"/>
                      <w:sz w:val="21"/>
                      <w:szCs w:val="21"/>
                      <w:lang w:val="en-US" w:eastAsia="zh-CN" w:bidi="ar-SA"/>
                    </w:rPr>
                    <w:t>Ⅳ、Ⅳ+</w:t>
                  </w:r>
                </w:p>
              </w:tc>
              <w:tc>
                <w:tcPr>
                  <w:tcW w:w="976" w:type="pct"/>
                  <w:tcBorders>
                    <w:top w:val="single" w:color="auto" w:sz="4" w:space="0"/>
                  </w:tcBorders>
                  <w:noWrap w:val="0"/>
                  <w:vAlign w:val="center"/>
                </w:tcPr>
                <w:p w14:paraId="4827BFA9">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kern w:val="1"/>
                      <w:sz w:val="21"/>
                      <w:szCs w:val="21"/>
                      <w:lang w:val="en-US" w:eastAsia="zh-CN" w:bidi="ar-SA"/>
                    </w:rPr>
                    <w:fldChar w:fldCharType="begin"/>
                  </w:r>
                  <w:r>
                    <w:rPr>
                      <w:rFonts w:hint="default" w:ascii="Times New Roman" w:hAnsi="Times New Roman" w:eastAsia="宋体" w:cs="Times New Roman"/>
                      <w:b/>
                      <w:bCs/>
                      <w:color w:val="auto"/>
                      <w:kern w:val="1"/>
                      <w:sz w:val="21"/>
                      <w:szCs w:val="21"/>
                      <w:lang w:val="en-US" w:eastAsia="zh-CN" w:bidi="ar-SA"/>
                    </w:rPr>
                    <w:instrText xml:space="preserve"> = 3 \* ROMAN </w:instrText>
                  </w:r>
                  <w:r>
                    <w:rPr>
                      <w:rFonts w:hint="default" w:ascii="Times New Roman" w:hAnsi="Times New Roman" w:eastAsia="宋体" w:cs="Times New Roman"/>
                      <w:b/>
                      <w:bCs/>
                      <w:color w:val="auto"/>
                      <w:kern w:val="1"/>
                      <w:sz w:val="21"/>
                      <w:szCs w:val="21"/>
                      <w:lang w:val="en-US" w:eastAsia="zh-CN" w:bidi="ar-SA"/>
                    </w:rPr>
                    <w:fldChar w:fldCharType="separate"/>
                  </w:r>
                  <w:r>
                    <w:rPr>
                      <w:rFonts w:hint="default" w:ascii="Times New Roman" w:hAnsi="Times New Roman" w:eastAsia="宋体" w:cs="Times New Roman"/>
                      <w:b/>
                      <w:bCs/>
                      <w:color w:val="auto"/>
                      <w:kern w:val="1"/>
                      <w:sz w:val="21"/>
                      <w:szCs w:val="21"/>
                      <w:lang w:val="en-US" w:eastAsia="zh-CN" w:bidi="ar-SA"/>
                    </w:rPr>
                    <w:t>III</w:t>
                  </w:r>
                  <w:r>
                    <w:rPr>
                      <w:rFonts w:hint="default" w:ascii="Times New Roman" w:hAnsi="Times New Roman" w:eastAsia="宋体" w:cs="Times New Roman"/>
                      <w:b/>
                      <w:bCs/>
                      <w:color w:val="auto"/>
                      <w:kern w:val="1"/>
                      <w:sz w:val="21"/>
                      <w:szCs w:val="21"/>
                      <w:lang w:val="en-US" w:eastAsia="zh-CN" w:bidi="ar-SA"/>
                    </w:rPr>
                    <w:fldChar w:fldCharType="end"/>
                  </w:r>
                </w:p>
              </w:tc>
              <w:tc>
                <w:tcPr>
                  <w:tcW w:w="976" w:type="pct"/>
                  <w:tcBorders>
                    <w:top w:val="single" w:color="auto" w:sz="4" w:space="0"/>
                  </w:tcBorders>
                  <w:noWrap w:val="0"/>
                  <w:vAlign w:val="center"/>
                </w:tcPr>
                <w:p w14:paraId="431D28F3">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kern w:val="1"/>
                      <w:sz w:val="21"/>
                      <w:szCs w:val="21"/>
                      <w:lang w:val="en-US" w:eastAsia="zh-CN" w:bidi="ar-SA"/>
                    </w:rPr>
                    <w:fldChar w:fldCharType="begin"/>
                  </w:r>
                  <w:r>
                    <w:rPr>
                      <w:rFonts w:hint="default" w:ascii="Times New Roman" w:hAnsi="Times New Roman" w:eastAsia="宋体" w:cs="Times New Roman"/>
                      <w:b/>
                      <w:bCs/>
                      <w:color w:val="auto"/>
                      <w:kern w:val="1"/>
                      <w:sz w:val="21"/>
                      <w:szCs w:val="21"/>
                      <w:lang w:val="en-US" w:eastAsia="zh-CN" w:bidi="ar-SA"/>
                    </w:rPr>
                    <w:instrText xml:space="preserve"> = 2 \* ROMAN </w:instrText>
                  </w:r>
                  <w:r>
                    <w:rPr>
                      <w:rFonts w:hint="default" w:ascii="Times New Roman" w:hAnsi="Times New Roman" w:eastAsia="宋体" w:cs="Times New Roman"/>
                      <w:b/>
                      <w:bCs/>
                      <w:color w:val="auto"/>
                      <w:kern w:val="1"/>
                      <w:sz w:val="21"/>
                      <w:szCs w:val="21"/>
                      <w:lang w:val="en-US" w:eastAsia="zh-CN" w:bidi="ar-SA"/>
                    </w:rPr>
                    <w:fldChar w:fldCharType="separate"/>
                  </w:r>
                  <w:r>
                    <w:rPr>
                      <w:rFonts w:hint="default" w:ascii="Times New Roman" w:hAnsi="Times New Roman" w:eastAsia="宋体" w:cs="Times New Roman"/>
                      <w:b/>
                      <w:bCs/>
                      <w:color w:val="auto"/>
                      <w:kern w:val="1"/>
                      <w:sz w:val="21"/>
                      <w:szCs w:val="21"/>
                      <w:lang w:val="en-US" w:eastAsia="zh-CN" w:bidi="ar-SA"/>
                    </w:rPr>
                    <w:t>II</w:t>
                  </w:r>
                  <w:r>
                    <w:rPr>
                      <w:rFonts w:hint="default" w:ascii="Times New Roman" w:hAnsi="Times New Roman" w:eastAsia="宋体" w:cs="Times New Roman"/>
                      <w:b/>
                      <w:bCs/>
                      <w:color w:val="auto"/>
                      <w:kern w:val="1"/>
                      <w:sz w:val="21"/>
                      <w:szCs w:val="21"/>
                      <w:lang w:val="en-US" w:eastAsia="zh-CN" w:bidi="ar-SA"/>
                    </w:rPr>
                    <w:fldChar w:fldCharType="end"/>
                  </w:r>
                </w:p>
              </w:tc>
              <w:tc>
                <w:tcPr>
                  <w:tcW w:w="932" w:type="pct"/>
                  <w:tcBorders>
                    <w:top w:val="single" w:color="auto" w:sz="4" w:space="0"/>
                    <w:right w:val="single" w:color="auto" w:sz="4" w:space="0"/>
                  </w:tcBorders>
                  <w:noWrap w:val="0"/>
                  <w:vAlign w:val="center"/>
                </w:tcPr>
                <w:p w14:paraId="1658A366">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1"/>
                      <w:sz w:val="21"/>
                      <w:szCs w:val="21"/>
                      <w:lang w:val="en-US" w:eastAsia="zh-CN" w:bidi="ar-SA"/>
                    </w:rPr>
                  </w:pPr>
                  <w:r>
                    <w:rPr>
                      <w:rFonts w:hint="default" w:ascii="Times New Roman" w:hAnsi="Times New Roman" w:eastAsia="宋体" w:cs="Times New Roman"/>
                      <w:b/>
                      <w:bCs/>
                      <w:color w:val="auto"/>
                      <w:kern w:val="1"/>
                      <w:sz w:val="21"/>
                      <w:szCs w:val="21"/>
                      <w:lang w:val="en-US" w:eastAsia="zh-CN" w:bidi="ar-SA"/>
                    </w:rPr>
                    <w:fldChar w:fldCharType="begin"/>
                  </w:r>
                  <w:r>
                    <w:rPr>
                      <w:rFonts w:hint="default" w:ascii="Times New Roman" w:hAnsi="Times New Roman" w:eastAsia="宋体" w:cs="Times New Roman"/>
                      <w:b/>
                      <w:bCs/>
                      <w:color w:val="auto"/>
                      <w:kern w:val="1"/>
                      <w:sz w:val="21"/>
                      <w:szCs w:val="21"/>
                      <w:lang w:val="en-US" w:eastAsia="zh-CN" w:bidi="ar-SA"/>
                    </w:rPr>
                    <w:instrText xml:space="preserve"> = 1 \* ROMAN </w:instrText>
                  </w:r>
                  <w:r>
                    <w:rPr>
                      <w:rFonts w:hint="default" w:ascii="Times New Roman" w:hAnsi="Times New Roman" w:eastAsia="宋体" w:cs="Times New Roman"/>
                      <w:b/>
                      <w:bCs/>
                      <w:color w:val="auto"/>
                      <w:kern w:val="1"/>
                      <w:sz w:val="21"/>
                      <w:szCs w:val="21"/>
                      <w:lang w:val="en-US" w:eastAsia="zh-CN" w:bidi="ar-SA"/>
                    </w:rPr>
                    <w:fldChar w:fldCharType="separate"/>
                  </w:r>
                  <w:r>
                    <w:rPr>
                      <w:rFonts w:hint="default" w:ascii="Times New Roman" w:hAnsi="Times New Roman" w:eastAsia="宋体" w:cs="Times New Roman"/>
                      <w:b/>
                      <w:bCs/>
                      <w:color w:val="auto"/>
                      <w:kern w:val="1"/>
                      <w:sz w:val="21"/>
                      <w:szCs w:val="21"/>
                      <w:lang w:val="en-US" w:eastAsia="zh-CN" w:bidi="ar-SA"/>
                    </w:rPr>
                    <w:t>I</w:t>
                  </w:r>
                  <w:r>
                    <w:rPr>
                      <w:rFonts w:hint="default" w:ascii="Times New Roman" w:hAnsi="Times New Roman" w:eastAsia="宋体" w:cs="Times New Roman"/>
                      <w:b/>
                      <w:bCs/>
                      <w:color w:val="auto"/>
                      <w:kern w:val="1"/>
                      <w:sz w:val="21"/>
                      <w:szCs w:val="21"/>
                      <w:lang w:val="en-US" w:eastAsia="zh-CN" w:bidi="ar-SA"/>
                    </w:rPr>
                    <w:fldChar w:fldCharType="end"/>
                  </w:r>
                </w:p>
              </w:tc>
            </w:tr>
            <w:tr w14:paraId="4CFC2E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5" w:type="pct"/>
                  <w:tcBorders>
                    <w:left w:val="single" w:color="auto" w:sz="4" w:space="0"/>
                    <w:bottom w:val="single" w:color="auto" w:sz="4" w:space="0"/>
                  </w:tcBorders>
                  <w:noWrap w:val="0"/>
                  <w:vAlign w:val="center"/>
                </w:tcPr>
                <w:p w14:paraId="6E8DA154">
                  <w:pPr>
                    <w:widowControl/>
                    <w:adjustRightInd w:val="0"/>
                    <w:snapToGrid w:val="0"/>
                    <w:spacing w:line="240" w:lineRule="auto"/>
                    <w:ind w:firstLine="0" w:firstLineChars="0"/>
                    <w:jc w:val="center"/>
                    <w:rPr>
                      <w:rFonts w:hint="default"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kern w:val="1"/>
                      <w:sz w:val="21"/>
                      <w:szCs w:val="21"/>
                      <w:lang w:val="en-US" w:eastAsia="zh-CN" w:bidi="ar-SA"/>
                    </w:rPr>
                    <w:t>评价工作等级</w:t>
                  </w:r>
                </w:p>
              </w:tc>
              <w:tc>
                <w:tcPr>
                  <w:tcW w:w="979" w:type="pct"/>
                  <w:tcBorders>
                    <w:bottom w:val="single" w:color="auto" w:sz="4" w:space="0"/>
                  </w:tcBorders>
                  <w:noWrap w:val="0"/>
                  <w:vAlign w:val="center"/>
                </w:tcPr>
                <w:p w14:paraId="44C85E30">
                  <w:pPr>
                    <w:widowControl/>
                    <w:adjustRightInd w:val="0"/>
                    <w:snapToGrid w:val="0"/>
                    <w:spacing w:line="240" w:lineRule="auto"/>
                    <w:ind w:firstLine="0" w:firstLineChars="0"/>
                    <w:jc w:val="center"/>
                    <w:rPr>
                      <w:rFonts w:hint="default"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kern w:val="1"/>
                      <w:sz w:val="21"/>
                      <w:szCs w:val="21"/>
                      <w:lang w:val="en-US" w:eastAsia="zh-CN" w:bidi="ar-SA"/>
                    </w:rPr>
                    <w:t>一</w:t>
                  </w:r>
                </w:p>
              </w:tc>
              <w:tc>
                <w:tcPr>
                  <w:tcW w:w="976" w:type="pct"/>
                  <w:tcBorders>
                    <w:bottom w:val="single" w:color="auto" w:sz="4" w:space="0"/>
                  </w:tcBorders>
                  <w:noWrap w:val="0"/>
                  <w:vAlign w:val="center"/>
                </w:tcPr>
                <w:p w14:paraId="7E578F72">
                  <w:pPr>
                    <w:widowControl/>
                    <w:adjustRightInd w:val="0"/>
                    <w:snapToGrid w:val="0"/>
                    <w:spacing w:line="240" w:lineRule="auto"/>
                    <w:ind w:firstLine="0" w:firstLineChars="0"/>
                    <w:jc w:val="center"/>
                    <w:rPr>
                      <w:rFonts w:hint="default"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kern w:val="1"/>
                      <w:sz w:val="21"/>
                      <w:szCs w:val="21"/>
                      <w:lang w:val="en-US" w:eastAsia="zh-CN" w:bidi="ar-SA"/>
                    </w:rPr>
                    <w:t>二</w:t>
                  </w:r>
                </w:p>
              </w:tc>
              <w:tc>
                <w:tcPr>
                  <w:tcW w:w="976" w:type="pct"/>
                  <w:tcBorders>
                    <w:bottom w:val="single" w:color="auto" w:sz="4" w:space="0"/>
                  </w:tcBorders>
                  <w:noWrap w:val="0"/>
                  <w:vAlign w:val="center"/>
                </w:tcPr>
                <w:p w14:paraId="1CD98482">
                  <w:pPr>
                    <w:widowControl/>
                    <w:adjustRightInd w:val="0"/>
                    <w:snapToGrid w:val="0"/>
                    <w:spacing w:line="240" w:lineRule="auto"/>
                    <w:ind w:firstLine="0" w:firstLineChars="0"/>
                    <w:jc w:val="center"/>
                    <w:rPr>
                      <w:rFonts w:hint="default"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kern w:val="1"/>
                      <w:sz w:val="21"/>
                      <w:szCs w:val="21"/>
                      <w:lang w:val="en-US" w:eastAsia="zh-CN" w:bidi="ar-SA"/>
                    </w:rPr>
                    <w:t>三</w:t>
                  </w:r>
                </w:p>
              </w:tc>
              <w:tc>
                <w:tcPr>
                  <w:tcW w:w="932" w:type="pct"/>
                  <w:tcBorders>
                    <w:bottom w:val="single" w:color="auto" w:sz="4" w:space="0"/>
                    <w:right w:val="single" w:color="auto" w:sz="4" w:space="0"/>
                  </w:tcBorders>
                  <w:noWrap w:val="0"/>
                  <w:vAlign w:val="center"/>
                </w:tcPr>
                <w:p w14:paraId="4B199313">
                  <w:pPr>
                    <w:widowControl/>
                    <w:adjustRightInd w:val="0"/>
                    <w:snapToGrid w:val="0"/>
                    <w:spacing w:line="240" w:lineRule="auto"/>
                    <w:ind w:firstLine="0" w:firstLineChars="0"/>
                    <w:jc w:val="center"/>
                    <w:rPr>
                      <w:rFonts w:hint="default" w:ascii="Times New Roman" w:hAnsi="Times New Roman" w:eastAsia="宋体" w:cs="Times New Roman"/>
                      <w:color w:val="auto"/>
                      <w:kern w:val="1"/>
                      <w:sz w:val="21"/>
                      <w:szCs w:val="21"/>
                      <w:lang w:val="en-US" w:eastAsia="zh-CN" w:bidi="ar-SA"/>
                    </w:rPr>
                  </w:pPr>
                  <w:r>
                    <w:rPr>
                      <w:rFonts w:hint="default" w:ascii="Times New Roman" w:hAnsi="Times New Roman" w:eastAsia="宋体" w:cs="Times New Roman"/>
                      <w:color w:val="auto"/>
                      <w:kern w:val="1"/>
                      <w:sz w:val="21"/>
                      <w:szCs w:val="21"/>
                      <w:lang w:val="en-US" w:eastAsia="zh-CN" w:bidi="ar-SA"/>
                    </w:rPr>
                    <w:t>简单分析</w:t>
                  </w:r>
                </w:p>
              </w:tc>
            </w:tr>
          </w:tbl>
          <w:p w14:paraId="42DC28E9">
            <w:pPr>
              <w:widowControl/>
              <w:adjustRightInd w:val="0"/>
              <w:snapToGrid w:val="0"/>
              <w:spacing w:before="240" w:line="360" w:lineRule="auto"/>
              <w:ind w:firstLine="480" w:firstLineChars="200"/>
              <w:jc w:val="both"/>
              <w:rPr>
                <w:rFonts w:hint="default" w:ascii="Times New Roman" w:hAnsi="Times New Roman" w:eastAsia="宋体" w:cs="Times New Roman"/>
                <w:color w:val="auto"/>
                <w:kern w:val="1"/>
                <w:sz w:val="24"/>
                <w:szCs w:val="24"/>
                <w:lang w:val="en-US" w:eastAsia="zh-CN" w:bidi="ar-SA"/>
              </w:rPr>
            </w:pPr>
            <w:r>
              <w:rPr>
                <w:rFonts w:hint="default" w:ascii="Times New Roman" w:hAnsi="Times New Roman" w:eastAsia="宋体" w:cs="Times New Roman"/>
                <w:color w:val="auto"/>
                <w:kern w:val="1"/>
                <w:sz w:val="24"/>
                <w:szCs w:val="24"/>
                <w:lang w:val="en-US" w:eastAsia="zh-CN" w:bidi="ar-SA"/>
              </w:rPr>
              <w:t>由上表得出，本项目的环境潜势为</w:t>
            </w:r>
            <w:r>
              <w:rPr>
                <w:rFonts w:hint="default" w:ascii="Times New Roman" w:hAnsi="Times New Roman" w:eastAsia="宋体" w:cs="Times New Roman"/>
                <w:color w:val="auto"/>
                <w:kern w:val="1"/>
                <w:sz w:val="24"/>
                <w:szCs w:val="24"/>
                <w:lang w:val="en-US" w:eastAsia="zh-CN" w:bidi="ar-SA"/>
              </w:rPr>
              <w:fldChar w:fldCharType="begin"/>
            </w:r>
            <w:r>
              <w:rPr>
                <w:rFonts w:hint="default" w:ascii="Times New Roman" w:hAnsi="Times New Roman" w:eastAsia="宋体" w:cs="Times New Roman"/>
                <w:color w:val="auto"/>
                <w:kern w:val="1"/>
                <w:sz w:val="24"/>
                <w:szCs w:val="24"/>
                <w:lang w:val="en-US" w:eastAsia="zh-CN" w:bidi="ar-SA"/>
              </w:rPr>
              <w:instrText xml:space="preserve"> = 1 \* ROMAN </w:instrText>
            </w:r>
            <w:r>
              <w:rPr>
                <w:rFonts w:hint="default" w:ascii="Times New Roman" w:hAnsi="Times New Roman" w:eastAsia="宋体" w:cs="Times New Roman"/>
                <w:color w:val="auto"/>
                <w:kern w:val="1"/>
                <w:sz w:val="24"/>
                <w:szCs w:val="24"/>
                <w:lang w:val="en-US" w:eastAsia="zh-CN" w:bidi="ar-SA"/>
              </w:rPr>
              <w:fldChar w:fldCharType="separate"/>
            </w:r>
            <w:r>
              <w:rPr>
                <w:rFonts w:hint="default" w:ascii="Times New Roman" w:hAnsi="Times New Roman" w:eastAsia="宋体" w:cs="Times New Roman"/>
                <w:color w:val="auto"/>
                <w:kern w:val="1"/>
                <w:sz w:val="24"/>
                <w:szCs w:val="24"/>
                <w:lang w:val="en-US" w:eastAsia="zh-CN" w:bidi="ar-SA"/>
              </w:rPr>
              <w:t>I</w:t>
            </w:r>
            <w:r>
              <w:rPr>
                <w:rFonts w:hint="default" w:ascii="Times New Roman" w:hAnsi="Times New Roman" w:eastAsia="宋体" w:cs="Times New Roman"/>
                <w:color w:val="auto"/>
                <w:kern w:val="1"/>
                <w:sz w:val="24"/>
                <w:szCs w:val="24"/>
                <w:lang w:val="en-US" w:eastAsia="zh-CN" w:bidi="ar-SA"/>
              </w:rPr>
              <w:fldChar w:fldCharType="end"/>
            </w:r>
            <w:r>
              <w:rPr>
                <w:rFonts w:hint="default" w:ascii="Times New Roman" w:hAnsi="Times New Roman" w:eastAsia="宋体" w:cs="Times New Roman"/>
                <w:color w:val="auto"/>
                <w:kern w:val="1"/>
                <w:sz w:val="24"/>
                <w:szCs w:val="24"/>
                <w:lang w:val="en-US" w:eastAsia="zh-CN" w:bidi="ar-SA"/>
              </w:rPr>
              <w:t>，风险评价进行简单分析。</w:t>
            </w:r>
          </w:p>
          <w:p w14:paraId="0C9C0F42">
            <w:pPr>
              <w:keepNext/>
              <w:adjustRightInd w:val="0"/>
              <w:snapToGrid w:val="0"/>
              <w:spacing w:line="360" w:lineRule="auto"/>
              <w:ind w:firstLine="482" w:firstLineChars="200"/>
              <w:jc w:val="left"/>
              <w:outlineLvl w:val="0"/>
              <w:rPr>
                <w:rFonts w:hint="default" w:ascii="Times New Roman" w:hAnsi="Times New Roman" w:eastAsia="宋体" w:cs="Times New Roman"/>
                <w:b/>
                <w:bCs/>
                <w:color w:val="auto"/>
                <w:sz w:val="24"/>
                <w:shd w:val="clear" w:color="auto" w:fill="FFFFFF"/>
                <w:lang w:val="en-US" w:eastAsia="zh-CN"/>
              </w:rPr>
            </w:pPr>
            <w:r>
              <w:rPr>
                <w:rFonts w:hint="default" w:ascii="Times New Roman" w:hAnsi="Times New Roman" w:eastAsia="宋体" w:cs="Times New Roman"/>
                <w:b/>
                <w:bCs/>
                <w:color w:val="auto"/>
                <w:sz w:val="24"/>
                <w:shd w:val="clear" w:color="auto" w:fill="FFFFFF"/>
                <w:lang w:val="en-US" w:eastAsia="zh-CN"/>
              </w:rPr>
              <w:t>6.2环境敏感目标概况</w:t>
            </w:r>
          </w:p>
          <w:p w14:paraId="36416B57">
            <w:pPr>
              <w:keepNext/>
              <w:adjustRightInd w:val="0"/>
              <w:snapToGrid w:val="0"/>
              <w:spacing w:line="360" w:lineRule="auto"/>
              <w:ind w:firstLine="480" w:firstLineChars="200"/>
              <w:jc w:val="left"/>
              <w:outlineLvl w:val="0"/>
              <w:rPr>
                <w:rFonts w:hint="default" w:ascii="Times New Roman" w:hAnsi="Times New Roman" w:eastAsia="宋体" w:cs="Times New Roman"/>
                <w:color w:val="auto"/>
                <w:sz w:val="24"/>
                <w:shd w:val="clear" w:color="auto" w:fill="FFFFFF"/>
                <w:lang w:val="en-US" w:eastAsia="zh-CN"/>
              </w:rPr>
            </w:pPr>
            <w:r>
              <w:rPr>
                <w:rFonts w:hint="default" w:ascii="Times New Roman" w:hAnsi="Times New Roman" w:eastAsia="宋体" w:cs="Times New Roman"/>
                <w:color w:val="auto"/>
                <w:sz w:val="24"/>
                <w:shd w:val="clear" w:color="auto" w:fill="FFFFFF"/>
                <w:lang w:val="en-US" w:eastAsia="zh-CN"/>
              </w:rPr>
              <w:t>项目拟选址在杭锦旗锡尼镇团结社区，109国道南、阿四线西，由现场调查可知，该区域内没有珍稀动植物资源、自然保护区、重点文物等重点保护目标。</w:t>
            </w:r>
            <w:r>
              <w:rPr>
                <w:rFonts w:hint="default" w:ascii="Times New Roman" w:hAnsi="Times New Roman" w:eastAsia="宋体" w:cs="Times New Roman"/>
                <w:color w:val="auto"/>
                <w:sz w:val="24"/>
                <w:szCs w:val="32"/>
                <w:lang w:val="en-US" w:eastAsia="zh-CN"/>
              </w:rPr>
              <w:t>本项目厂址500m范围内</w:t>
            </w:r>
            <w:r>
              <w:rPr>
                <w:rFonts w:hint="eastAsia" w:cs="Times New Roman"/>
                <w:color w:val="auto"/>
                <w:sz w:val="24"/>
                <w:szCs w:val="32"/>
                <w:lang w:val="en-US" w:eastAsia="zh-CN"/>
              </w:rPr>
              <w:t>有</w:t>
            </w:r>
            <w:r>
              <w:rPr>
                <w:rFonts w:hint="default" w:ascii="Times New Roman" w:hAnsi="Times New Roman" w:eastAsia="宋体" w:cs="Times New Roman"/>
                <w:color w:val="auto"/>
                <w:sz w:val="24"/>
                <w:szCs w:val="32"/>
                <w:lang w:val="en-US" w:eastAsia="zh-CN"/>
              </w:rPr>
              <w:t>3个住宅小区，为东侧450m处的神华馨苑，东北侧400m处的明珠小区，西北侧390m处的</w:t>
            </w:r>
            <w:r>
              <w:rPr>
                <w:rFonts w:hint="eastAsia" w:cs="Times New Roman"/>
                <w:color w:val="auto"/>
                <w:sz w:val="24"/>
                <w:szCs w:val="32"/>
                <w:lang w:val="en-US" w:eastAsia="zh-CN"/>
              </w:rPr>
              <w:t>日月轩</w:t>
            </w:r>
            <w:r>
              <w:rPr>
                <w:rFonts w:hint="default" w:ascii="Times New Roman" w:hAnsi="Times New Roman" w:eastAsia="宋体" w:cs="Times New Roman"/>
                <w:color w:val="auto"/>
                <w:sz w:val="24"/>
                <w:szCs w:val="32"/>
                <w:lang w:val="en-US" w:eastAsia="zh-CN"/>
              </w:rPr>
              <w:t>小区。</w:t>
            </w:r>
          </w:p>
          <w:p w14:paraId="5AAED073">
            <w:pPr>
              <w:keepNext/>
              <w:adjustRightInd w:val="0"/>
              <w:snapToGrid w:val="0"/>
              <w:spacing w:line="360" w:lineRule="auto"/>
              <w:ind w:firstLine="482" w:firstLineChars="200"/>
              <w:jc w:val="left"/>
              <w:outlineLvl w:val="0"/>
              <w:rPr>
                <w:rFonts w:hint="default" w:ascii="Times New Roman" w:hAnsi="Times New Roman" w:eastAsia="宋体" w:cs="Times New Roman"/>
                <w:b/>
                <w:bCs/>
                <w:color w:val="auto"/>
                <w:sz w:val="24"/>
                <w:shd w:val="clear" w:color="auto" w:fill="FFFFFF"/>
                <w:lang w:val="en-US" w:eastAsia="zh-CN"/>
              </w:rPr>
            </w:pPr>
            <w:r>
              <w:rPr>
                <w:rFonts w:hint="default" w:ascii="Times New Roman" w:hAnsi="Times New Roman" w:eastAsia="宋体" w:cs="Times New Roman"/>
                <w:b/>
                <w:bCs/>
                <w:color w:val="auto"/>
                <w:sz w:val="24"/>
                <w:shd w:val="clear" w:color="auto" w:fill="FFFFFF"/>
                <w:lang w:val="en-US" w:eastAsia="zh-CN"/>
              </w:rPr>
              <w:t>6.3环境风险识别</w:t>
            </w:r>
          </w:p>
          <w:p w14:paraId="7D549769">
            <w:pPr>
              <w:keepNext/>
              <w:adjustRightInd w:val="0"/>
              <w:snapToGrid w:val="0"/>
              <w:spacing w:line="360" w:lineRule="auto"/>
              <w:ind w:firstLine="480" w:firstLineChars="200"/>
              <w:jc w:val="left"/>
              <w:outlineLvl w:val="0"/>
              <w:rPr>
                <w:rFonts w:hint="default" w:ascii="Times New Roman" w:hAnsi="Times New Roman" w:eastAsia="宋体" w:cs="Times New Roman"/>
                <w:color w:val="auto"/>
                <w:kern w:val="0"/>
                <w:sz w:val="24"/>
                <w:lang w:eastAsia="zh-CN"/>
              </w:rPr>
            </w:pPr>
            <w:r>
              <w:rPr>
                <w:rFonts w:hint="default" w:ascii="Times New Roman" w:hAnsi="Times New Roman" w:eastAsia="宋体" w:cs="Times New Roman"/>
                <w:color w:val="auto"/>
                <w:sz w:val="24"/>
                <w:shd w:val="clear" w:color="auto" w:fill="FFFFFF"/>
                <w:lang w:val="en-US" w:eastAsia="zh-CN"/>
              </w:rPr>
              <w:t>本项目重点关注的危险物质为天然气</w:t>
            </w:r>
            <w:r>
              <w:rPr>
                <w:rFonts w:hint="default" w:ascii="Times New Roman" w:hAnsi="Times New Roman" w:eastAsia="宋体" w:cs="Times New Roman"/>
                <w:color w:val="auto"/>
                <w:sz w:val="24"/>
                <w:shd w:val="clear" w:color="auto" w:fill="FFFFFF"/>
                <w:lang w:eastAsia="zh-CN"/>
              </w:rPr>
              <w:t>，</w:t>
            </w:r>
            <w:r>
              <w:rPr>
                <w:rFonts w:hint="default" w:ascii="Times New Roman" w:hAnsi="Times New Roman" w:eastAsia="宋体" w:cs="Times New Roman"/>
                <w:color w:val="auto"/>
                <w:kern w:val="0"/>
                <w:sz w:val="24"/>
              </w:rPr>
              <w:t>天然气的理化性质及危险有害特性见表4-</w:t>
            </w:r>
            <w:r>
              <w:rPr>
                <w:rFonts w:hint="default" w:ascii="Times New Roman" w:hAnsi="Times New Roman" w:eastAsia="宋体" w:cs="Times New Roman"/>
                <w:color w:val="auto"/>
                <w:kern w:val="0"/>
                <w:sz w:val="24"/>
                <w:lang w:val="en-US" w:eastAsia="zh-CN"/>
              </w:rPr>
              <w:t>11</w:t>
            </w:r>
            <w:r>
              <w:rPr>
                <w:rFonts w:hint="default" w:ascii="Times New Roman" w:hAnsi="Times New Roman" w:eastAsia="宋体" w:cs="Times New Roman"/>
                <w:color w:val="auto"/>
                <w:kern w:val="0"/>
                <w:sz w:val="24"/>
                <w:lang w:eastAsia="zh-CN"/>
              </w:rPr>
              <w:t>。</w:t>
            </w:r>
          </w:p>
          <w:p w14:paraId="29E4A8D3">
            <w:pPr>
              <w:pStyle w:val="14"/>
              <w:bidi w:val="0"/>
              <w:rPr>
                <w:rFonts w:hint="default" w:ascii="Times New Roman" w:hAnsi="Times New Roman" w:eastAsia="宋体" w:cs="Times New Roman"/>
                <w:color w:val="auto"/>
              </w:rPr>
            </w:pPr>
            <w:bookmarkStart w:id="4" w:name="_Toc205176069"/>
            <w:bookmarkStart w:id="5" w:name="_Toc174954556"/>
            <w:r>
              <w:rPr>
                <w:rFonts w:hint="default" w:ascii="Times New Roman" w:hAnsi="Times New Roman" w:eastAsia="宋体" w:cs="Times New Roman"/>
                <w:color w:val="auto"/>
              </w:rPr>
              <w:t>4-</w:t>
            </w:r>
            <w:r>
              <w:rPr>
                <w:rFonts w:hint="default" w:ascii="Times New Roman" w:hAnsi="Times New Roman" w:eastAsia="宋体" w:cs="Times New Roman"/>
                <w:color w:val="auto"/>
                <w:lang w:val="en-US" w:eastAsia="zh-CN"/>
              </w:rPr>
              <w:t>11</w:t>
            </w:r>
            <w:r>
              <w:rPr>
                <w:rFonts w:hint="default" w:ascii="Times New Roman" w:hAnsi="Times New Roman" w:eastAsia="宋体" w:cs="Times New Roman"/>
                <w:color w:val="auto"/>
              </w:rPr>
              <w:t xml:space="preserve"> 天然气的理化性质及危险特性</w:t>
            </w:r>
            <w:bookmarkEnd w:id="4"/>
            <w:bookmarkEnd w:id="5"/>
          </w:p>
          <w:tbl>
            <w:tblPr>
              <w:tblStyle w:val="7"/>
              <w:tblW w:w="82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51"/>
              <w:gridCol w:w="42"/>
              <w:gridCol w:w="623"/>
              <w:gridCol w:w="179"/>
              <w:gridCol w:w="279"/>
              <w:gridCol w:w="23"/>
              <w:gridCol w:w="1044"/>
              <w:gridCol w:w="51"/>
              <w:gridCol w:w="69"/>
              <w:gridCol w:w="1094"/>
              <w:gridCol w:w="235"/>
              <w:gridCol w:w="112"/>
              <w:gridCol w:w="595"/>
              <w:gridCol w:w="197"/>
              <w:gridCol w:w="477"/>
              <w:gridCol w:w="2251"/>
            </w:tblGrid>
            <w:tr w14:paraId="0C7FAC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222" w:type="dxa"/>
                  <w:gridSpan w:val="16"/>
                  <w:tcBorders>
                    <w:top w:val="single" w:color="auto" w:sz="12" w:space="0"/>
                    <w:bottom w:val="single" w:color="auto" w:sz="4" w:space="0"/>
                  </w:tcBorders>
                  <w:noWrap w:val="0"/>
                  <w:vAlign w:val="center"/>
                </w:tcPr>
                <w:p w14:paraId="06355C7D">
                  <w:pPr>
                    <w:adjustRightInd w:val="0"/>
                    <w:snapToGrid w:val="0"/>
                    <w:jc w:val="left"/>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物质名称</w:t>
                  </w:r>
                </w:p>
                <w:p w14:paraId="1B88EF2C">
                  <w:pPr>
                    <w:adjustRightInd w:val="0"/>
                    <w:snapToGrid w:val="0"/>
                    <w:jc w:val="left"/>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中文名称：</w:t>
                  </w:r>
                  <w:r>
                    <w:rPr>
                      <w:rFonts w:hint="default" w:ascii="Times New Roman" w:hAnsi="Times New Roman" w:eastAsia="宋体" w:cs="Times New Roman"/>
                      <w:snapToGrid w:val="0"/>
                      <w:color w:val="auto"/>
                      <w:kern w:val="0"/>
                      <w:szCs w:val="21"/>
                    </w:rPr>
                    <w:t>甲烷；</w:t>
                  </w:r>
                  <w:r>
                    <w:rPr>
                      <w:rFonts w:hint="default" w:ascii="Times New Roman" w:hAnsi="Times New Roman" w:eastAsia="宋体" w:cs="Times New Roman"/>
                      <w:snapToGrid w:val="0"/>
                      <w:color w:val="auto"/>
                      <w:szCs w:val="21"/>
                    </w:rPr>
                    <w:t>英文名称：</w:t>
                  </w:r>
                  <w:r>
                    <w:rPr>
                      <w:rFonts w:hint="default" w:ascii="Times New Roman" w:hAnsi="Times New Roman" w:eastAsia="宋体" w:cs="Times New Roman"/>
                      <w:snapToGrid w:val="0"/>
                      <w:color w:val="auto"/>
                      <w:kern w:val="0"/>
                      <w:szCs w:val="21"/>
                      <w:lang w:eastAsia="zh-CN"/>
                    </w:rPr>
                    <w:t>m</w:t>
                  </w:r>
                  <w:r>
                    <w:rPr>
                      <w:rFonts w:hint="default" w:ascii="Times New Roman" w:hAnsi="Times New Roman" w:eastAsia="宋体" w:cs="Times New Roman"/>
                      <w:snapToGrid w:val="0"/>
                      <w:color w:val="auto"/>
                      <w:kern w:val="0"/>
                      <w:szCs w:val="21"/>
                    </w:rPr>
                    <w:t>ethane；CASNO：74-82-8；危险货物编号：21007</w:t>
                  </w:r>
                </w:p>
              </w:tc>
            </w:tr>
            <w:tr w14:paraId="6D83F1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222" w:type="dxa"/>
                  <w:gridSpan w:val="16"/>
                  <w:tcBorders>
                    <w:top w:val="single" w:color="auto" w:sz="4" w:space="0"/>
                    <w:bottom w:val="single" w:color="auto" w:sz="4" w:space="0"/>
                  </w:tcBorders>
                  <w:noWrap w:val="0"/>
                  <w:vAlign w:val="center"/>
                </w:tcPr>
                <w:p w14:paraId="18682667">
                  <w:pPr>
                    <w:adjustRightInd w:val="0"/>
                    <w:snapToGrid w:val="0"/>
                    <w:jc w:val="left"/>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分子式：</w:t>
                  </w:r>
                  <w:r>
                    <w:rPr>
                      <w:rFonts w:hint="default" w:ascii="Times New Roman" w:hAnsi="Times New Roman" w:eastAsia="宋体" w:cs="Times New Roman"/>
                      <w:snapToGrid w:val="0"/>
                      <w:color w:val="auto"/>
                      <w:kern w:val="0"/>
                      <w:szCs w:val="21"/>
                    </w:rPr>
                    <w:t>CH</w:t>
                  </w:r>
                  <w:r>
                    <w:rPr>
                      <w:rFonts w:hint="default" w:ascii="Times New Roman" w:hAnsi="Times New Roman" w:eastAsia="宋体" w:cs="Times New Roman"/>
                      <w:snapToGrid w:val="0"/>
                      <w:color w:val="auto"/>
                      <w:kern w:val="0"/>
                      <w:szCs w:val="21"/>
                      <w:vertAlign w:val="subscript"/>
                    </w:rPr>
                    <w:t>4</w:t>
                  </w:r>
                  <w:r>
                    <w:rPr>
                      <w:rFonts w:hint="default" w:ascii="Times New Roman" w:hAnsi="Times New Roman" w:eastAsia="宋体" w:cs="Times New Roman"/>
                      <w:snapToGrid w:val="0"/>
                      <w:color w:val="auto"/>
                      <w:kern w:val="0"/>
                      <w:szCs w:val="21"/>
                    </w:rPr>
                    <w:t>；相对</w:t>
                  </w:r>
                  <w:r>
                    <w:rPr>
                      <w:rFonts w:hint="default" w:ascii="Times New Roman" w:hAnsi="Times New Roman" w:eastAsia="宋体" w:cs="Times New Roman"/>
                      <w:snapToGrid w:val="0"/>
                      <w:color w:val="auto"/>
                      <w:szCs w:val="21"/>
                    </w:rPr>
                    <w:t>分子质量：</w:t>
                  </w:r>
                  <w:r>
                    <w:rPr>
                      <w:rFonts w:hint="default" w:ascii="Times New Roman" w:hAnsi="Times New Roman" w:eastAsia="宋体" w:cs="Times New Roman"/>
                      <w:snapToGrid w:val="0"/>
                      <w:color w:val="auto"/>
                      <w:kern w:val="0"/>
                      <w:szCs w:val="21"/>
                    </w:rPr>
                    <w:t>16.04</w:t>
                  </w:r>
                </w:p>
              </w:tc>
            </w:tr>
            <w:tr w14:paraId="1BFBB9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795" w:type="dxa"/>
                  <w:gridSpan w:val="4"/>
                  <w:tcBorders>
                    <w:top w:val="single" w:color="auto" w:sz="4" w:space="0"/>
                    <w:bottom w:val="single" w:color="auto" w:sz="4" w:space="0"/>
                    <w:right w:val="single" w:color="auto" w:sz="4" w:space="0"/>
                  </w:tcBorders>
                  <w:noWrap w:val="0"/>
                  <w:vAlign w:val="center"/>
                </w:tcPr>
                <w:p w14:paraId="7BF1CA62">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沸点（℃）</w:t>
                  </w:r>
                </w:p>
              </w:tc>
              <w:tc>
                <w:tcPr>
                  <w:tcW w:w="1466" w:type="dxa"/>
                  <w:gridSpan w:val="5"/>
                  <w:tcBorders>
                    <w:top w:val="single" w:color="auto" w:sz="4" w:space="0"/>
                    <w:left w:val="single" w:color="auto" w:sz="4" w:space="0"/>
                    <w:bottom w:val="single" w:color="auto" w:sz="4" w:space="0"/>
                    <w:right w:val="single" w:color="auto" w:sz="4" w:space="0"/>
                  </w:tcBorders>
                  <w:noWrap w:val="0"/>
                  <w:vAlign w:val="center"/>
                </w:tcPr>
                <w:p w14:paraId="5AD8DC66">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-161.5</w:t>
                  </w:r>
                </w:p>
              </w:tc>
              <w:tc>
                <w:tcPr>
                  <w:tcW w:w="1441" w:type="dxa"/>
                  <w:gridSpan w:val="3"/>
                  <w:tcBorders>
                    <w:top w:val="single" w:color="auto" w:sz="4" w:space="0"/>
                    <w:left w:val="single" w:color="auto" w:sz="4" w:space="0"/>
                    <w:bottom w:val="single" w:color="auto" w:sz="4" w:space="0"/>
                    <w:right w:val="single" w:color="auto" w:sz="4" w:space="0"/>
                  </w:tcBorders>
                  <w:noWrap w:val="0"/>
                  <w:vAlign w:val="center"/>
                </w:tcPr>
                <w:p w14:paraId="62FEF30F">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比重</w:t>
                  </w:r>
                </w:p>
              </w:tc>
              <w:tc>
                <w:tcPr>
                  <w:tcW w:w="3520" w:type="dxa"/>
                  <w:gridSpan w:val="4"/>
                  <w:tcBorders>
                    <w:top w:val="single" w:color="auto" w:sz="4" w:space="0"/>
                    <w:left w:val="single" w:color="auto" w:sz="4" w:space="0"/>
                    <w:bottom w:val="single" w:color="auto" w:sz="4" w:space="0"/>
                  </w:tcBorders>
                  <w:noWrap w:val="0"/>
                  <w:vAlign w:val="center"/>
                </w:tcPr>
                <w:p w14:paraId="30C436DF">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0.42</w:t>
                  </w:r>
                </w:p>
              </w:tc>
            </w:tr>
            <w:tr w14:paraId="7107B6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795" w:type="dxa"/>
                  <w:gridSpan w:val="4"/>
                  <w:tcBorders>
                    <w:top w:val="single" w:color="auto" w:sz="4" w:space="0"/>
                    <w:bottom w:val="single" w:color="auto" w:sz="4" w:space="0"/>
                    <w:right w:val="single" w:color="auto" w:sz="4" w:space="0"/>
                  </w:tcBorders>
                  <w:noWrap w:val="0"/>
                  <w:vAlign w:val="center"/>
                </w:tcPr>
                <w:p w14:paraId="6D9B4F59">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lang w:eastAsia="zh-CN"/>
                    </w:rPr>
                    <w:t>饱和蒸汽压</w:t>
                  </w:r>
                  <w:r>
                    <w:rPr>
                      <w:rFonts w:hint="default" w:ascii="Times New Roman" w:hAnsi="Times New Roman" w:eastAsia="宋体" w:cs="Times New Roman"/>
                      <w:snapToGrid w:val="0"/>
                      <w:color w:val="auto"/>
                      <w:szCs w:val="21"/>
                    </w:rPr>
                    <w:t>（kPa）</w:t>
                  </w:r>
                </w:p>
              </w:tc>
              <w:tc>
                <w:tcPr>
                  <w:tcW w:w="1466" w:type="dxa"/>
                  <w:gridSpan w:val="5"/>
                  <w:tcBorders>
                    <w:top w:val="single" w:color="auto" w:sz="4" w:space="0"/>
                    <w:left w:val="single" w:color="auto" w:sz="4" w:space="0"/>
                    <w:bottom w:val="single" w:color="auto" w:sz="4" w:space="0"/>
                    <w:right w:val="single" w:color="auto" w:sz="4" w:space="0"/>
                  </w:tcBorders>
                  <w:noWrap w:val="0"/>
                  <w:vAlign w:val="center"/>
                </w:tcPr>
                <w:p w14:paraId="0AA3BB6C">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53.32（-168.8℃）</w:t>
                  </w:r>
                </w:p>
              </w:tc>
              <w:tc>
                <w:tcPr>
                  <w:tcW w:w="1441" w:type="dxa"/>
                  <w:gridSpan w:val="3"/>
                  <w:tcBorders>
                    <w:top w:val="single" w:color="auto" w:sz="4" w:space="0"/>
                    <w:left w:val="single" w:color="auto" w:sz="4" w:space="0"/>
                    <w:bottom w:val="single" w:color="auto" w:sz="4" w:space="0"/>
                    <w:right w:val="single" w:color="auto" w:sz="4" w:space="0"/>
                  </w:tcBorders>
                  <w:noWrap w:val="0"/>
                  <w:vAlign w:val="center"/>
                </w:tcPr>
                <w:p w14:paraId="2C9A6C7F">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熔点（℃）</w:t>
                  </w:r>
                </w:p>
              </w:tc>
              <w:tc>
                <w:tcPr>
                  <w:tcW w:w="3520" w:type="dxa"/>
                  <w:gridSpan w:val="4"/>
                  <w:tcBorders>
                    <w:top w:val="single" w:color="auto" w:sz="4" w:space="0"/>
                    <w:left w:val="single" w:color="auto" w:sz="4" w:space="0"/>
                    <w:bottom w:val="single" w:color="auto" w:sz="4" w:space="0"/>
                  </w:tcBorders>
                  <w:noWrap w:val="0"/>
                  <w:vAlign w:val="center"/>
                </w:tcPr>
                <w:p w14:paraId="3BB68B73">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-182.5</w:t>
                  </w:r>
                </w:p>
              </w:tc>
            </w:tr>
            <w:tr w14:paraId="35A80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795" w:type="dxa"/>
                  <w:gridSpan w:val="4"/>
                  <w:tcBorders>
                    <w:top w:val="single" w:color="auto" w:sz="4" w:space="0"/>
                    <w:bottom w:val="single" w:color="auto" w:sz="4" w:space="0"/>
                    <w:right w:val="single" w:color="auto" w:sz="4" w:space="0"/>
                  </w:tcBorders>
                  <w:noWrap w:val="0"/>
                  <w:vAlign w:val="center"/>
                </w:tcPr>
                <w:p w14:paraId="474786EE">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蒸气密度</w:t>
                  </w:r>
                </w:p>
              </w:tc>
              <w:tc>
                <w:tcPr>
                  <w:tcW w:w="1466" w:type="dxa"/>
                  <w:gridSpan w:val="5"/>
                  <w:tcBorders>
                    <w:top w:val="single" w:color="auto" w:sz="4" w:space="0"/>
                    <w:left w:val="single" w:color="auto" w:sz="4" w:space="0"/>
                    <w:bottom w:val="single" w:color="auto" w:sz="4" w:space="0"/>
                    <w:right w:val="single" w:color="auto" w:sz="4" w:space="0"/>
                  </w:tcBorders>
                  <w:noWrap w:val="0"/>
                  <w:vAlign w:val="center"/>
                </w:tcPr>
                <w:p w14:paraId="5BD81E0F">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0.55</w:t>
                  </w:r>
                </w:p>
              </w:tc>
              <w:tc>
                <w:tcPr>
                  <w:tcW w:w="1441" w:type="dxa"/>
                  <w:gridSpan w:val="3"/>
                  <w:tcBorders>
                    <w:top w:val="single" w:color="auto" w:sz="4" w:space="0"/>
                    <w:left w:val="single" w:color="auto" w:sz="4" w:space="0"/>
                    <w:bottom w:val="single" w:color="auto" w:sz="4" w:space="0"/>
                    <w:right w:val="single" w:color="auto" w:sz="4" w:space="0"/>
                  </w:tcBorders>
                  <w:noWrap w:val="0"/>
                  <w:vAlign w:val="center"/>
                </w:tcPr>
                <w:p w14:paraId="7D186CE5">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溶解性</w:t>
                  </w:r>
                </w:p>
              </w:tc>
              <w:tc>
                <w:tcPr>
                  <w:tcW w:w="3520" w:type="dxa"/>
                  <w:gridSpan w:val="4"/>
                  <w:tcBorders>
                    <w:top w:val="single" w:color="auto" w:sz="4" w:space="0"/>
                    <w:left w:val="single" w:color="auto" w:sz="4" w:space="0"/>
                    <w:bottom w:val="single" w:color="auto" w:sz="4" w:space="0"/>
                  </w:tcBorders>
                  <w:noWrap w:val="0"/>
                  <w:vAlign w:val="center"/>
                </w:tcPr>
                <w:p w14:paraId="5FB68D06">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微溶于水，溶于醇和乙醚。</w:t>
                  </w:r>
                </w:p>
              </w:tc>
            </w:tr>
            <w:tr w14:paraId="26541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1795" w:type="dxa"/>
                  <w:gridSpan w:val="4"/>
                  <w:tcBorders>
                    <w:top w:val="single" w:color="auto" w:sz="4" w:space="0"/>
                    <w:bottom w:val="single" w:color="auto" w:sz="4" w:space="0"/>
                    <w:right w:val="single" w:color="auto" w:sz="4" w:space="0"/>
                  </w:tcBorders>
                  <w:noWrap w:val="0"/>
                  <w:vAlign w:val="center"/>
                </w:tcPr>
                <w:p w14:paraId="766E5D95">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外观与气味</w:t>
                  </w:r>
                </w:p>
              </w:tc>
              <w:tc>
                <w:tcPr>
                  <w:tcW w:w="6427" w:type="dxa"/>
                  <w:gridSpan w:val="12"/>
                  <w:tcBorders>
                    <w:top w:val="single" w:color="auto" w:sz="4" w:space="0"/>
                    <w:left w:val="single" w:color="auto" w:sz="4" w:space="0"/>
                    <w:bottom w:val="single" w:color="auto" w:sz="4" w:space="0"/>
                  </w:tcBorders>
                  <w:noWrap w:val="0"/>
                  <w:vAlign w:val="center"/>
                </w:tcPr>
                <w:p w14:paraId="44029422">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均为无色无臭气体。</w:t>
                  </w:r>
                </w:p>
              </w:tc>
            </w:tr>
            <w:tr w14:paraId="72236C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222" w:type="dxa"/>
                  <w:gridSpan w:val="16"/>
                  <w:tcBorders>
                    <w:top w:val="single" w:color="auto" w:sz="4" w:space="0"/>
                    <w:bottom w:val="single" w:color="auto" w:sz="4" w:space="0"/>
                  </w:tcBorders>
                  <w:noWrap w:val="0"/>
                  <w:vAlign w:val="center"/>
                </w:tcPr>
                <w:p w14:paraId="766E05B9">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火灾爆炸危险数据</w:t>
                  </w:r>
                </w:p>
              </w:tc>
            </w:tr>
            <w:tr w14:paraId="133DF6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93" w:type="dxa"/>
                  <w:gridSpan w:val="2"/>
                  <w:tcBorders>
                    <w:top w:val="single" w:color="auto" w:sz="4" w:space="0"/>
                    <w:bottom w:val="single" w:color="auto" w:sz="4" w:space="0"/>
                    <w:right w:val="single" w:color="auto" w:sz="4" w:space="0"/>
                  </w:tcBorders>
                  <w:noWrap w:val="0"/>
                  <w:vAlign w:val="center"/>
                </w:tcPr>
                <w:p w14:paraId="3B0FBE18">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闪点数据（℃）</w:t>
                  </w:r>
                </w:p>
              </w:tc>
              <w:tc>
                <w:tcPr>
                  <w:tcW w:w="1104" w:type="dxa"/>
                  <w:gridSpan w:val="4"/>
                  <w:tcBorders>
                    <w:top w:val="single" w:color="auto" w:sz="4" w:space="0"/>
                    <w:left w:val="single" w:color="auto" w:sz="4" w:space="0"/>
                    <w:bottom w:val="single" w:color="auto" w:sz="4" w:space="0"/>
                    <w:right w:val="single" w:color="auto" w:sz="4" w:space="0"/>
                  </w:tcBorders>
                  <w:noWrap w:val="0"/>
                  <w:vAlign w:val="center"/>
                </w:tcPr>
                <w:p w14:paraId="372F2E7C">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-188</w:t>
                  </w:r>
                </w:p>
              </w:tc>
              <w:tc>
                <w:tcPr>
                  <w:tcW w:w="1044" w:type="dxa"/>
                  <w:tcBorders>
                    <w:top w:val="single" w:color="auto" w:sz="4" w:space="0"/>
                    <w:left w:val="single" w:color="auto" w:sz="4" w:space="0"/>
                    <w:bottom w:val="single" w:color="auto" w:sz="4" w:space="0"/>
                    <w:right w:val="single" w:color="auto" w:sz="4" w:space="0"/>
                  </w:tcBorders>
                  <w:noWrap w:val="0"/>
                  <w:vAlign w:val="center"/>
                </w:tcPr>
                <w:p w14:paraId="1872E2E1">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爆炸极限</w:t>
                  </w:r>
                </w:p>
              </w:tc>
              <w:tc>
                <w:tcPr>
                  <w:tcW w:w="5081" w:type="dxa"/>
                  <w:gridSpan w:val="9"/>
                  <w:tcBorders>
                    <w:top w:val="single" w:color="auto" w:sz="4" w:space="0"/>
                    <w:left w:val="single" w:color="auto" w:sz="4" w:space="0"/>
                    <w:bottom w:val="single" w:color="auto" w:sz="4" w:space="0"/>
                  </w:tcBorders>
                  <w:noWrap w:val="0"/>
                  <w:vAlign w:val="center"/>
                </w:tcPr>
                <w:p w14:paraId="6C5A9F1C">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爆炸上限%（V/V）：15爆炸下限%（V/V）：5.3</w:t>
                  </w:r>
                </w:p>
              </w:tc>
            </w:tr>
            <w:tr w14:paraId="30AC6D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93" w:type="dxa"/>
                  <w:gridSpan w:val="2"/>
                  <w:tcBorders>
                    <w:top w:val="single" w:color="auto" w:sz="4" w:space="0"/>
                    <w:bottom w:val="single" w:color="auto" w:sz="4" w:space="0"/>
                    <w:right w:val="single" w:color="auto" w:sz="4" w:space="0"/>
                  </w:tcBorders>
                  <w:noWrap w:val="0"/>
                  <w:vAlign w:val="center"/>
                </w:tcPr>
                <w:p w14:paraId="5B62DCC4">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灭火剂</w:t>
                  </w:r>
                </w:p>
              </w:tc>
              <w:tc>
                <w:tcPr>
                  <w:tcW w:w="7229" w:type="dxa"/>
                  <w:gridSpan w:val="14"/>
                  <w:tcBorders>
                    <w:top w:val="single" w:color="auto" w:sz="4" w:space="0"/>
                    <w:left w:val="single" w:color="auto" w:sz="4" w:space="0"/>
                    <w:bottom w:val="single" w:color="auto" w:sz="4" w:space="0"/>
                  </w:tcBorders>
                  <w:noWrap w:val="0"/>
                  <w:vAlign w:val="center"/>
                </w:tcPr>
                <w:p w14:paraId="1BF0AEB8">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雾状水、泡沫、二氧化碳、干粉。</w:t>
                  </w:r>
                </w:p>
              </w:tc>
            </w:tr>
            <w:tr w14:paraId="12A0CA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93" w:type="dxa"/>
                  <w:gridSpan w:val="2"/>
                  <w:tcBorders>
                    <w:top w:val="single" w:color="auto" w:sz="4" w:space="0"/>
                    <w:bottom w:val="single" w:color="auto" w:sz="4" w:space="0"/>
                    <w:right w:val="single" w:color="auto" w:sz="4" w:space="0"/>
                  </w:tcBorders>
                  <w:noWrap w:val="0"/>
                  <w:vAlign w:val="center"/>
                </w:tcPr>
                <w:p w14:paraId="69C5BCE3">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灭火方法</w:t>
                  </w:r>
                </w:p>
              </w:tc>
              <w:tc>
                <w:tcPr>
                  <w:tcW w:w="7229" w:type="dxa"/>
                  <w:gridSpan w:val="14"/>
                  <w:tcBorders>
                    <w:top w:val="single" w:color="auto" w:sz="4" w:space="0"/>
                    <w:left w:val="single" w:color="auto" w:sz="4" w:space="0"/>
                    <w:bottom w:val="single" w:color="auto" w:sz="4" w:space="0"/>
                  </w:tcBorders>
                  <w:noWrap w:val="0"/>
                  <w:vAlign w:val="center"/>
                </w:tcPr>
                <w:p w14:paraId="75B535F7">
                  <w:pPr>
                    <w:adjustRightInd w:val="0"/>
                    <w:snapToGrid w:val="0"/>
                    <w:jc w:val="left"/>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切断气源。若不能切断气源，则不允许熄灭泄漏处的火焰。喷水冷却容器，可能的话将容器从火场移至空旷处。</w:t>
                  </w:r>
                </w:p>
              </w:tc>
            </w:tr>
            <w:tr w14:paraId="3F95BE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93" w:type="dxa"/>
                  <w:gridSpan w:val="2"/>
                  <w:tcBorders>
                    <w:top w:val="single" w:color="auto" w:sz="4" w:space="0"/>
                    <w:bottom w:val="single" w:color="auto" w:sz="4" w:space="0"/>
                    <w:right w:val="single" w:color="auto" w:sz="4" w:space="0"/>
                  </w:tcBorders>
                  <w:noWrap w:val="0"/>
                  <w:vAlign w:val="center"/>
                </w:tcPr>
                <w:p w14:paraId="2F7E9FFC">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危险特性</w:t>
                  </w:r>
                </w:p>
              </w:tc>
              <w:tc>
                <w:tcPr>
                  <w:tcW w:w="7229" w:type="dxa"/>
                  <w:gridSpan w:val="14"/>
                  <w:tcBorders>
                    <w:top w:val="single" w:color="auto" w:sz="4" w:space="0"/>
                    <w:left w:val="single" w:color="auto" w:sz="4" w:space="0"/>
                    <w:bottom w:val="single" w:color="auto" w:sz="4" w:space="0"/>
                  </w:tcBorders>
                  <w:noWrap w:val="0"/>
                  <w:vAlign w:val="center"/>
                </w:tcPr>
                <w:p w14:paraId="0EA9C127">
                  <w:pPr>
                    <w:adjustRightInd w:val="0"/>
                    <w:snapToGrid w:val="0"/>
                    <w:jc w:val="left"/>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本品易燃，具窒息性。与空气混合能形成爆炸性混合物，遇热源和明火有燃烧爆炸的危险。与五氧化溴、氯气、次氯酸、液氧、二氟化氧及其</w:t>
                  </w:r>
                  <w:r>
                    <w:rPr>
                      <w:rFonts w:hint="default" w:ascii="Times New Roman" w:hAnsi="Times New Roman" w:eastAsia="宋体" w:cs="Times New Roman"/>
                      <w:snapToGrid w:val="0"/>
                      <w:color w:val="auto"/>
                      <w:kern w:val="0"/>
                      <w:szCs w:val="21"/>
                      <w:lang w:eastAsia="zh-CN"/>
                    </w:rPr>
                    <w:t>他</w:t>
                  </w:r>
                  <w:r>
                    <w:rPr>
                      <w:rFonts w:hint="default" w:ascii="Times New Roman" w:hAnsi="Times New Roman" w:eastAsia="宋体" w:cs="Times New Roman"/>
                      <w:snapToGrid w:val="0"/>
                      <w:color w:val="auto"/>
                      <w:kern w:val="0"/>
                      <w:szCs w:val="21"/>
                    </w:rPr>
                    <w:t>强氧化剂接触，可能会发生剧烈反应。</w:t>
                  </w:r>
                </w:p>
              </w:tc>
            </w:tr>
            <w:tr w14:paraId="14337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93" w:type="dxa"/>
                  <w:gridSpan w:val="2"/>
                  <w:tcBorders>
                    <w:top w:val="single" w:color="auto" w:sz="4" w:space="0"/>
                    <w:bottom w:val="single" w:color="auto" w:sz="4" w:space="0"/>
                    <w:right w:val="single" w:color="auto" w:sz="4" w:space="0"/>
                  </w:tcBorders>
                  <w:noWrap w:val="0"/>
                  <w:vAlign w:val="center"/>
                </w:tcPr>
                <w:p w14:paraId="7454D0C8">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禁忌物</w:t>
                  </w:r>
                </w:p>
              </w:tc>
              <w:tc>
                <w:tcPr>
                  <w:tcW w:w="2199" w:type="dxa"/>
                  <w:gridSpan w:val="6"/>
                  <w:tcBorders>
                    <w:top w:val="single" w:color="auto" w:sz="4" w:space="0"/>
                    <w:left w:val="single" w:color="auto" w:sz="4" w:space="0"/>
                    <w:bottom w:val="single" w:color="auto" w:sz="4" w:space="0"/>
                    <w:right w:val="single" w:color="auto" w:sz="4" w:space="0"/>
                  </w:tcBorders>
                  <w:noWrap w:val="0"/>
                  <w:vAlign w:val="center"/>
                </w:tcPr>
                <w:p w14:paraId="2AD7728F">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强氧化剂、氟、氯。</w:t>
                  </w:r>
                </w:p>
              </w:tc>
              <w:tc>
                <w:tcPr>
                  <w:tcW w:w="2779" w:type="dxa"/>
                  <w:gridSpan w:val="7"/>
                  <w:tcBorders>
                    <w:top w:val="single" w:color="auto" w:sz="4" w:space="0"/>
                    <w:left w:val="single" w:color="auto" w:sz="4" w:space="0"/>
                    <w:bottom w:val="single" w:color="auto" w:sz="4" w:space="0"/>
                    <w:right w:val="single" w:color="auto" w:sz="4" w:space="0"/>
                  </w:tcBorders>
                  <w:noWrap w:val="0"/>
                  <w:vAlign w:val="center"/>
                </w:tcPr>
                <w:p w14:paraId="7B21FA1F">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燃烧（分解）产物</w:t>
                  </w:r>
                </w:p>
              </w:tc>
              <w:tc>
                <w:tcPr>
                  <w:tcW w:w="2251" w:type="dxa"/>
                  <w:tcBorders>
                    <w:top w:val="single" w:color="auto" w:sz="4" w:space="0"/>
                    <w:left w:val="single" w:color="auto" w:sz="4" w:space="0"/>
                    <w:bottom w:val="single" w:color="auto" w:sz="4" w:space="0"/>
                  </w:tcBorders>
                  <w:noWrap w:val="0"/>
                  <w:vAlign w:val="center"/>
                </w:tcPr>
                <w:p w14:paraId="03445B03">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一氧化碳、二氧化碳</w:t>
                  </w:r>
                </w:p>
              </w:tc>
            </w:tr>
            <w:tr w14:paraId="682DA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222" w:type="dxa"/>
                  <w:gridSpan w:val="16"/>
                  <w:tcBorders>
                    <w:top w:val="single" w:color="auto" w:sz="4" w:space="0"/>
                    <w:bottom w:val="single" w:color="auto" w:sz="4" w:space="0"/>
                  </w:tcBorders>
                  <w:noWrap w:val="0"/>
                  <w:vAlign w:val="center"/>
                </w:tcPr>
                <w:p w14:paraId="295D23ED">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健康危害数据</w:t>
                  </w:r>
                </w:p>
              </w:tc>
            </w:tr>
            <w:tr w14:paraId="38C2D7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93" w:type="dxa"/>
                  <w:gridSpan w:val="2"/>
                  <w:tcBorders>
                    <w:top w:val="single" w:color="auto" w:sz="4" w:space="0"/>
                    <w:bottom w:val="single" w:color="auto" w:sz="4" w:space="0"/>
                    <w:right w:val="single" w:color="auto" w:sz="4" w:space="0"/>
                  </w:tcBorders>
                  <w:noWrap w:val="0"/>
                  <w:vAlign w:val="center"/>
                </w:tcPr>
                <w:p w14:paraId="30A51CF2">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侵入途径</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5B50CF2A">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吸入</w:t>
                  </w:r>
                </w:p>
              </w:tc>
              <w:tc>
                <w:tcPr>
                  <w:tcW w:w="458" w:type="dxa"/>
                  <w:gridSpan w:val="2"/>
                  <w:tcBorders>
                    <w:top w:val="single" w:color="auto" w:sz="4" w:space="0"/>
                    <w:left w:val="single" w:color="auto" w:sz="4" w:space="0"/>
                    <w:bottom w:val="single" w:color="auto" w:sz="4" w:space="0"/>
                    <w:right w:val="single" w:color="auto" w:sz="4" w:space="0"/>
                  </w:tcBorders>
                  <w:noWrap w:val="0"/>
                  <w:vAlign w:val="center"/>
                </w:tcPr>
                <w:p w14:paraId="1D24C6B3">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w:t>
                  </w:r>
                </w:p>
              </w:tc>
              <w:tc>
                <w:tcPr>
                  <w:tcW w:w="2516" w:type="dxa"/>
                  <w:gridSpan w:val="6"/>
                  <w:tcBorders>
                    <w:top w:val="single" w:color="auto" w:sz="4" w:space="0"/>
                    <w:left w:val="single" w:color="auto" w:sz="4" w:space="0"/>
                    <w:bottom w:val="single" w:color="auto" w:sz="4" w:space="0"/>
                    <w:right w:val="single" w:color="auto" w:sz="4" w:space="0"/>
                  </w:tcBorders>
                  <w:noWrap w:val="0"/>
                  <w:vAlign w:val="center"/>
                </w:tcPr>
                <w:p w14:paraId="18C67150">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皮肤</w:t>
                  </w:r>
                </w:p>
              </w:tc>
              <w:tc>
                <w:tcPr>
                  <w:tcW w:w="904" w:type="dxa"/>
                  <w:gridSpan w:val="3"/>
                  <w:tcBorders>
                    <w:top w:val="single" w:color="auto" w:sz="4" w:space="0"/>
                    <w:left w:val="single" w:color="auto" w:sz="4" w:space="0"/>
                    <w:bottom w:val="single" w:color="auto" w:sz="4" w:space="0"/>
                    <w:right w:val="single" w:color="auto" w:sz="4" w:space="0"/>
                  </w:tcBorders>
                  <w:noWrap w:val="0"/>
                  <w:vAlign w:val="center"/>
                </w:tcPr>
                <w:p w14:paraId="46B897F8">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w:t>
                  </w:r>
                </w:p>
              </w:tc>
              <w:tc>
                <w:tcPr>
                  <w:tcW w:w="477" w:type="dxa"/>
                  <w:tcBorders>
                    <w:top w:val="single" w:color="auto" w:sz="4" w:space="0"/>
                    <w:left w:val="single" w:color="auto" w:sz="4" w:space="0"/>
                    <w:bottom w:val="single" w:color="auto" w:sz="4" w:space="0"/>
                    <w:right w:val="single" w:color="auto" w:sz="4" w:space="0"/>
                  </w:tcBorders>
                  <w:noWrap w:val="0"/>
                  <w:vAlign w:val="center"/>
                </w:tcPr>
                <w:p w14:paraId="74D83469">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口</w:t>
                  </w:r>
                </w:p>
              </w:tc>
              <w:tc>
                <w:tcPr>
                  <w:tcW w:w="2251" w:type="dxa"/>
                  <w:tcBorders>
                    <w:top w:val="single" w:color="auto" w:sz="4" w:space="0"/>
                    <w:left w:val="single" w:color="auto" w:sz="4" w:space="0"/>
                    <w:bottom w:val="single" w:color="auto" w:sz="4" w:space="0"/>
                  </w:tcBorders>
                  <w:noWrap w:val="0"/>
                  <w:vAlign w:val="center"/>
                </w:tcPr>
                <w:p w14:paraId="3E7CC9D8">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w:t>
                  </w:r>
                </w:p>
              </w:tc>
            </w:tr>
            <w:tr w14:paraId="46D2E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93" w:type="dxa"/>
                  <w:gridSpan w:val="2"/>
                  <w:tcBorders>
                    <w:top w:val="single" w:color="auto" w:sz="4" w:space="0"/>
                    <w:bottom w:val="single" w:color="auto" w:sz="4" w:space="0"/>
                    <w:right w:val="single" w:color="auto" w:sz="4" w:space="0"/>
                  </w:tcBorders>
                  <w:noWrap w:val="0"/>
                  <w:vAlign w:val="center"/>
                </w:tcPr>
                <w:p w14:paraId="03D3873B">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急性中毒</w:t>
                  </w:r>
                </w:p>
              </w:tc>
              <w:tc>
                <w:tcPr>
                  <w:tcW w:w="623" w:type="dxa"/>
                  <w:tcBorders>
                    <w:top w:val="single" w:color="auto" w:sz="4" w:space="0"/>
                    <w:left w:val="single" w:color="auto" w:sz="4" w:space="0"/>
                    <w:bottom w:val="single" w:color="auto" w:sz="4" w:space="0"/>
                    <w:right w:val="single" w:color="auto" w:sz="4" w:space="0"/>
                  </w:tcBorders>
                  <w:noWrap w:val="0"/>
                  <w:vAlign w:val="center"/>
                </w:tcPr>
                <w:p w14:paraId="3D2A5C4B">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LD</w:t>
                  </w:r>
                  <w:r>
                    <w:rPr>
                      <w:rFonts w:hint="default" w:ascii="Times New Roman" w:hAnsi="Times New Roman" w:eastAsia="宋体" w:cs="Times New Roman"/>
                      <w:snapToGrid w:val="0"/>
                      <w:color w:val="auto"/>
                      <w:szCs w:val="21"/>
                      <w:vertAlign w:val="subscript"/>
                    </w:rPr>
                    <w:t>50</w:t>
                  </w:r>
                </w:p>
              </w:tc>
              <w:tc>
                <w:tcPr>
                  <w:tcW w:w="2974" w:type="dxa"/>
                  <w:gridSpan w:val="8"/>
                  <w:tcBorders>
                    <w:top w:val="single" w:color="auto" w:sz="4" w:space="0"/>
                    <w:left w:val="single" w:color="auto" w:sz="4" w:space="0"/>
                    <w:bottom w:val="single" w:color="auto" w:sz="4" w:space="0"/>
                    <w:right w:val="single" w:color="auto" w:sz="4" w:space="0"/>
                  </w:tcBorders>
                  <w:noWrap w:val="0"/>
                  <w:vAlign w:val="center"/>
                </w:tcPr>
                <w:p w14:paraId="06229C54">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无资料</w:t>
                  </w:r>
                </w:p>
              </w:tc>
              <w:tc>
                <w:tcPr>
                  <w:tcW w:w="904" w:type="dxa"/>
                  <w:gridSpan w:val="3"/>
                  <w:tcBorders>
                    <w:top w:val="single" w:color="auto" w:sz="4" w:space="0"/>
                    <w:left w:val="single" w:color="auto" w:sz="4" w:space="0"/>
                    <w:bottom w:val="single" w:color="auto" w:sz="4" w:space="0"/>
                    <w:right w:val="single" w:color="auto" w:sz="4" w:space="0"/>
                  </w:tcBorders>
                  <w:noWrap w:val="0"/>
                  <w:vAlign w:val="center"/>
                </w:tcPr>
                <w:p w14:paraId="2B0CA141">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LC</w:t>
                  </w:r>
                  <w:r>
                    <w:rPr>
                      <w:rFonts w:hint="default" w:ascii="Times New Roman" w:hAnsi="Times New Roman" w:eastAsia="宋体" w:cs="Times New Roman"/>
                      <w:snapToGrid w:val="0"/>
                      <w:color w:val="auto"/>
                      <w:szCs w:val="21"/>
                      <w:vertAlign w:val="subscript"/>
                    </w:rPr>
                    <w:t>50</w:t>
                  </w:r>
                </w:p>
              </w:tc>
              <w:tc>
                <w:tcPr>
                  <w:tcW w:w="2728" w:type="dxa"/>
                  <w:gridSpan w:val="2"/>
                  <w:tcBorders>
                    <w:top w:val="single" w:color="auto" w:sz="4" w:space="0"/>
                    <w:left w:val="single" w:color="auto" w:sz="4" w:space="0"/>
                    <w:bottom w:val="single" w:color="auto" w:sz="4" w:space="0"/>
                  </w:tcBorders>
                  <w:noWrap w:val="0"/>
                  <w:vAlign w:val="center"/>
                </w:tcPr>
                <w:p w14:paraId="7E1E2055">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无资料</w:t>
                  </w:r>
                </w:p>
              </w:tc>
            </w:tr>
            <w:tr w14:paraId="12A03F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222" w:type="dxa"/>
                  <w:gridSpan w:val="16"/>
                  <w:tcBorders>
                    <w:top w:val="single" w:color="auto" w:sz="4" w:space="0"/>
                    <w:bottom w:val="single" w:color="auto" w:sz="4" w:space="0"/>
                  </w:tcBorders>
                  <w:noWrap w:val="0"/>
                  <w:vAlign w:val="center"/>
                </w:tcPr>
                <w:p w14:paraId="579237FC">
                  <w:pPr>
                    <w:adjustRightInd w:val="0"/>
                    <w:snapToGrid w:val="0"/>
                    <w:jc w:val="left"/>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健康危害：</w:t>
                  </w:r>
                  <w:r>
                    <w:rPr>
                      <w:rFonts w:hint="default" w:ascii="Times New Roman" w:hAnsi="Times New Roman" w:eastAsia="宋体" w:cs="Times New Roman"/>
                      <w:snapToGrid w:val="0"/>
                      <w:color w:val="auto"/>
                      <w:kern w:val="0"/>
                      <w:szCs w:val="21"/>
                    </w:rPr>
                    <w:t>甲烷对人基本无毒，但浓度过高时，使空气中氧含量明显降低，使人窒息。当空气中甲烷达25％～30％时，可引起头痛、头晕、乏力、注意力不集中、呼吸和心跳加速、共济失调</w:t>
                  </w:r>
                  <w:r>
                    <w:rPr>
                      <w:rFonts w:hint="eastAsia" w:cs="Times New Roman"/>
                      <w:snapToGrid w:val="0"/>
                      <w:color w:val="auto"/>
                      <w:kern w:val="0"/>
                      <w:szCs w:val="21"/>
                      <w:lang w:eastAsia="zh-CN"/>
                    </w:rPr>
                    <w:t>等症状</w:t>
                  </w:r>
                  <w:r>
                    <w:rPr>
                      <w:rFonts w:hint="default" w:ascii="Times New Roman" w:hAnsi="Times New Roman" w:eastAsia="宋体" w:cs="Times New Roman"/>
                      <w:snapToGrid w:val="0"/>
                      <w:color w:val="auto"/>
                      <w:kern w:val="0"/>
                      <w:szCs w:val="21"/>
                    </w:rPr>
                    <w:t>。若不及时脱离危险，就可能导致窒息死亡。皮肤接触液化本品，可致冻伤。</w:t>
                  </w:r>
                </w:p>
              </w:tc>
            </w:tr>
            <w:tr w14:paraId="69FAC1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222" w:type="dxa"/>
                  <w:gridSpan w:val="16"/>
                  <w:tcBorders>
                    <w:top w:val="single" w:color="auto" w:sz="4" w:space="0"/>
                    <w:bottom w:val="single" w:color="auto" w:sz="4" w:space="0"/>
                  </w:tcBorders>
                  <w:noWrap w:val="0"/>
                  <w:vAlign w:val="center"/>
                </w:tcPr>
                <w:p w14:paraId="608F44A0">
                  <w:pPr>
                    <w:adjustRightInd w:val="0"/>
                    <w:snapToGrid w:val="0"/>
                    <w:jc w:val="left"/>
                    <w:textAlignment w:val="baseline"/>
                    <w:rPr>
                      <w:rFonts w:hint="default" w:ascii="Times New Roman" w:hAnsi="Times New Roman" w:eastAsia="宋体" w:cs="Times New Roman"/>
                      <w:snapToGrid w:val="0"/>
                      <w:color w:val="auto"/>
                      <w:spacing w:val="-6"/>
                      <w:kern w:val="0"/>
                      <w:szCs w:val="21"/>
                    </w:rPr>
                  </w:pPr>
                  <w:r>
                    <w:rPr>
                      <w:rFonts w:hint="default" w:ascii="Times New Roman" w:hAnsi="Times New Roman" w:eastAsia="宋体" w:cs="Times New Roman"/>
                      <w:snapToGrid w:val="0"/>
                      <w:color w:val="auto"/>
                      <w:spacing w:val="-6"/>
                      <w:szCs w:val="21"/>
                    </w:rPr>
                    <w:t>急救措施：</w:t>
                  </w:r>
                  <w:r>
                    <w:rPr>
                      <w:rFonts w:hint="default" w:ascii="Times New Roman" w:hAnsi="Times New Roman" w:eastAsia="宋体" w:cs="Times New Roman"/>
                      <w:snapToGrid w:val="0"/>
                      <w:color w:val="auto"/>
                      <w:spacing w:val="-6"/>
                      <w:kern w:val="0"/>
                      <w:szCs w:val="21"/>
                    </w:rPr>
                    <w:t>皮肤接触：如果有冻伤，请立即就医治疗。</w:t>
                  </w:r>
                </w:p>
                <w:p w14:paraId="7992A24C">
                  <w:pPr>
                    <w:adjustRightInd w:val="0"/>
                    <w:snapToGrid w:val="0"/>
                    <w:jc w:val="left"/>
                    <w:textAlignment w:val="baseline"/>
                    <w:rPr>
                      <w:rFonts w:hint="default" w:ascii="Times New Roman" w:hAnsi="Times New Roman" w:eastAsia="宋体" w:cs="Times New Roman"/>
                      <w:snapToGrid w:val="0"/>
                      <w:color w:val="auto"/>
                      <w:spacing w:val="-6"/>
                      <w:szCs w:val="21"/>
                    </w:rPr>
                  </w:pPr>
                  <w:r>
                    <w:rPr>
                      <w:rFonts w:hint="default" w:ascii="Times New Roman" w:hAnsi="Times New Roman" w:eastAsia="宋体" w:cs="Times New Roman"/>
                      <w:snapToGrid w:val="0"/>
                      <w:color w:val="auto"/>
                      <w:spacing w:val="-6"/>
                      <w:kern w:val="0"/>
                      <w:szCs w:val="21"/>
                    </w:rPr>
                    <w:t>吸入：脱离现场：迅速吸入至空气新鲜处。保持呼吸道通畅</w:t>
                  </w:r>
                  <w:r>
                    <w:rPr>
                      <w:rFonts w:hint="default" w:ascii="Times New Roman" w:hAnsi="Times New Roman" w:eastAsia="宋体" w:cs="Times New Roman"/>
                      <w:color w:val="auto"/>
                      <w:sz w:val="24"/>
                      <w:shd w:val="clear" w:color="auto" w:fill="FFFFFF"/>
                    </w:rPr>
                    <w:t>。</w:t>
                  </w:r>
                  <w:r>
                    <w:rPr>
                      <w:rFonts w:hint="default" w:ascii="Times New Roman" w:hAnsi="Times New Roman" w:eastAsia="宋体" w:cs="Times New Roman"/>
                      <w:snapToGrid w:val="0"/>
                      <w:color w:val="auto"/>
                      <w:spacing w:val="-6"/>
                      <w:kern w:val="0"/>
                      <w:szCs w:val="21"/>
                    </w:rPr>
                    <w:t>如果呼吸困难，就给</w:t>
                  </w:r>
                  <w:r>
                    <w:rPr>
                      <w:rFonts w:hint="eastAsia" w:cs="Times New Roman"/>
                      <w:snapToGrid w:val="0"/>
                      <w:color w:val="auto"/>
                      <w:spacing w:val="-6"/>
                      <w:kern w:val="0"/>
                      <w:szCs w:val="21"/>
                      <w:lang w:eastAsia="zh-CN"/>
                    </w:rPr>
                    <w:t>患者</w:t>
                  </w:r>
                  <w:r>
                    <w:rPr>
                      <w:rFonts w:hint="default" w:ascii="Times New Roman" w:hAnsi="Times New Roman" w:eastAsia="宋体" w:cs="Times New Roman"/>
                      <w:snapToGrid w:val="0"/>
                      <w:color w:val="auto"/>
                      <w:spacing w:val="-6"/>
                      <w:kern w:val="0"/>
                      <w:szCs w:val="21"/>
                    </w:rPr>
                    <w:t>输氧。如呼吸停止，立即进行人工呼吸</w:t>
                  </w:r>
                  <w:r>
                    <w:rPr>
                      <w:rFonts w:hint="eastAsia" w:cs="Times New Roman"/>
                      <w:snapToGrid w:val="0"/>
                      <w:color w:val="auto"/>
                      <w:spacing w:val="-6"/>
                      <w:kern w:val="0"/>
                      <w:szCs w:val="21"/>
                      <w:lang w:eastAsia="zh-CN"/>
                    </w:rPr>
                    <w:t>，</w:t>
                  </w:r>
                  <w:r>
                    <w:rPr>
                      <w:rFonts w:hint="default" w:ascii="Times New Roman" w:hAnsi="Times New Roman" w:eastAsia="宋体" w:cs="Times New Roman"/>
                      <w:snapToGrid w:val="0"/>
                      <w:color w:val="auto"/>
                      <w:spacing w:val="-6"/>
                      <w:kern w:val="0"/>
                      <w:szCs w:val="21"/>
                    </w:rPr>
                    <w:t>就医。</w:t>
                  </w:r>
                </w:p>
              </w:tc>
            </w:tr>
            <w:tr w14:paraId="520CDC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222" w:type="dxa"/>
                  <w:gridSpan w:val="16"/>
                  <w:tcBorders>
                    <w:top w:val="single" w:color="auto" w:sz="4" w:space="0"/>
                    <w:bottom w:val="single" w:color="auto" w:sz="4" w:space="0"/>
                  </w:tcBorders>
                  <w:noWrap w:val="0"/>
                  <w:vAlign w:val="center"/>
                </w:tcPr>
                <w:p w14:paraId="046E9C56">
                  <w:pPr>
                    <w:adjustRightInd w:val="0"/>
                    <w:snapToGrid w:val="0"/>
                    <w:jc w:val="left"/>
                    <w:textAlignment w:val="baseline"/>
                    <w:rPr>
                      <w:rFonts w:hint="default" w:ascii="Times New Roman" w:hAnsi="Times New Roman" w:eastAsia="宋体" w:cs="Times New Roman"/>
                      <w:snapToGrid w:val="0"/>
                      <w:color w:val="auto"/>
                      <w:spacing w:val="-6"/>
                      <w:szCs w:val="21"/>
                    </w:rPr>
                  </w:pPr>
                  <w:r>
                    <w:rPr>
                      <w:rFonts w:hint="default" w:ascii="Times New Roman" w:hAnsi="Times New Roman" w:eastAsia="宋体" w:cs="Times New Roman"/>
                      <w:snapToGrid w:val="0"/>
                      <w:color w:val="auto"/>
                      <w:spacing w:val="-6"/>
                      <w:szCs w:val="21"/>
                    </w:rPr>
                    <w:t>储运注意事项：</w:t>
                  </w:r>
                  <w:r>
                    <w:rPr>
                      <w:rFonts w:hint="default" w:ascii="Times New Roman" w:hAnsi="Times New Roman" w:eastAsia="宋体" w:cs="Times New Roman"/>
                      <w:snapToGrid w:val="0"/>
                      <w:color w:val="auto"/>
                      <w:spacing w:val="-6"/>
                      <w:kern w:val="0"/>
                      <w:szCs w:val="21"/>
                    </w:rPr>
                    <w:t>储存于阴凉、通风的库房。远离火种、热源。库温不宜超过30℃。应与氧化剂等分开存放，切忌混储。采用防爆型照明、通风设施。禁止使用易产生火花的机械设备和工具。储罐区应备有泄漏应急处理设备。</w:t>
                  </w:r>
                </w:p>
              </w:tc>
            </w:tr>
            <w:tr w14:paraId="76F052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8222" w:type="dxa"/>
                  <w:gridSpan w:val="16"/>
                  <w:tcBorders>
                    <w:top w:val="single" w:color="auto" w:sz="4" w:space="0"/>
                    <w:bottom w:val="single" w:color="auto" w:sz="4" w:space="0"/>
                  </w:tcBorders>
                  <w:noWrap w:val="0"/>
                  <w:vAlign w:val="center"/>
                </w:tcPr>
                <w:p w14:paraId="04CC9F33">
                  <w:pPr>
                    <w:adjustRightInd w:val="0"/>
                    <w:snapToGrid w:val="0"/>
                    <w:jc w:val="left"/>
                    <w:textAlignment w:val="baseline"/>
                    <w:rPr>
                      <w:rFonts w:hint="default" w:ascii="Times New Roman" w:hAnsi="Times New Roman" w:eastAsia="宋体" w:cs="Times New Roman"/>
                      <w:snapToGrid w:val="0"/>
                      <w:color w:val="auto"/>
                      <w:spacing w:val="-6"/>
                      <w:szCs w:val="21"/>
                    </w:rPr>
                  </w:pPr>
                  <w:r>
                    <w:rPr>
                      <w:rFonts w:hint="default" w:ascii="Times New Roman" w:hAnsi="Times New Roman" w:eastAsia="宋体" w:cs="Times New Roman"/>
                      <w:snapToGrid w:val="0"/>
                      <w:color w:val="auto"/>
                      <w:spacing w:val="-6"/>
                      <w:szCs w:val="21"/>
                    </w:rPr>
                    <w:t>泄漏应急处理：</w:t>
                  </w:r>
                  <w:r>
                    <w:rPr>
                      <w:rFonts w:hint="default" w:ascii="Times New Roman" w:hAnsi="Times New Roman" w:eastAsia="宋体" w:cs="Times New Roman"/>
                      <w:snapToGrid w:val="0"/>
                      <w:color w:val="auto"/>
                      <w:spacing w:val="-6"/>
                      <w:kern w:val="0"/>
                      <w:szCs w:val="21"/>
                    </w:rPr>
                    <w:t>迅速撤离泄漏污染区人员至上风处，并进行隔离，严格限制出入。切断火源。建议应急处理人员戴自给正压式呼吸器，穿防静电工作服。尽可能切断泄漏源。合理通风，可以加速甲烷扩散。用喷雾状水稀释、溶解。构筑围堤或挖坑收容产生的大量废水。如有可能，将漏出气用排风机送至空旷地方或装设适当喷头烧掉。也可以将漏气的容器移至空旷处，注意通风。漏气容器要妥善处理，修复、检验后再用。</w:t>
                  </w:r>
                </w:p>
              </w:tc>
            </w:tr>
            <w:tr w14:paraId="1D21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51" w:type="dxa"/>
                  <w:tcBorders>
                    <w:top w:val="single" w:color="auto" w:sz="4" w:space="0"/>
                    <w:bottom w:val="single" w:color="auto" w:sz="4" w:space="0"/>
                    <w:right w:val="single" w:color="auto" w:sz="4" w:space="0"/>
                  </w:tcBorders>
                  <w:noWrap w:val="0"/>
                  <w:vAlign w:val="center"/>
                </w:tcPr>
                <w:p w14:paraId="6A80230B">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工程控制</w:t>
                  </w:r>
                </w:p>
              </w:tc>
              <w:tc>
                <w:tcPr>
                  <w:tcW w:w="7271" w:type="dxa"/>
                  <w:gridSpan w:val="15"/>
                  <w:tcBorders>
                    <w:top w:val="single" w:color="auto" w:sz="4" w:space="0"/>
                    <w:left w:val="single" w:color="auto" w:sz="4" w:space="0"/>
                    <w:bottom w:val="single" w:color="auto" w:sz="4" w:space="0"/>
                  </w:tcBorders>
                  <w:noWrap w:val="0"/>
                  <w:vAlign w:val="center"/>
                </w:tcPr>
                <w:p w14:paraId="73075C13">
                  <w:pPr>
                    <w:adjustRightInd w:val="0"/>
                    <w:snapToGrid w:val="0"/>
                    <w:jc w:val="left"/>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采取密闭操作，全面通风。操作人员必须经过专门培训，严格遵守操作规程。远离火种、热源，工作场所严禁吸烟。使用防爆型的通风系统和设备。防止</w:t>
                  </w:r>
                  <w:r>
                    <w:rPr>
                      <w:rFonts w:hint="eastAsia" w:cs="Times New Roman"/>
                      <w:snapToGrid w:val="0"/>
                      <w:color w:val="auto"/>
                      <w:kern w:val="0"/>
                      <w:szCs w:val="21"/>
                      <w:lang w:eastAsia="zh-CN"/>
                    </w:rPr>
                    <w:t>有毒</w:t>
                  </w:r>
                  <w:r>
                    <w:rPr>
                      <w:rFonts w:hint="default" w:ascii="Times New Roman" w:hAnsi="Times New Roman" w:eastAsia="宋体" w:cs="Times New Roman"/>
                      <w:snapToGrid w:val="0"/>
                      <w:color w:val="auto"/>
                      <w:kern w:val="0"/>
                      <w:szCs w:val="21"/>
                    </w:rPr>
                    <w:t>气体泄漏到工作场所空气中。避免与氧化剂接触。在传送过程中，钢瓶和容器必须接地和跨接，防止产生静电。</w:t>
                  </w:r>
                </w:p>
              </w:tc>
            </w:tr>
            <w:tr w14:paraId="6C995E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51" w:type="dxa"/>
                  <w:tcBorders>
                    <w:top w:val="single" w:color="auto" w:sz="4" w:space="0"/>
                    <w:bottom w:val="single" w:color="auto" w:sz="4" w:space="0"/>
                    <w:right w:val="single" w:color="auto" w:sz="4" w:space="0"/>
                  </w:tcBorders>
                  <w:noWrap w:val="0"/>
                  <w:vAlign w:val="center"/>
                </w:tcPr>
                <w:p w14:paraId="03201691">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呼吸系统防护</w:t>
                  </w:r>
                </w:p>
              </w:tc>
              <w:tc>
                <w:tcPr>
                  <w:tcW w:w="3404" w:type="dxa"/>
                  <w:gridSpan w:val="9"/>
                  <w:tcBorders>
                    <w:top w:val="single" w:color="auto" w:sz="4" w:space="0"/>
                    <w:left w:val="single" w:color="auto" w:sz="4" w:space="0"/>
                    <w:bottom w:val="single" w:color="auto" w:sz="4" w:space="0"/>
                    <w:right w:val="single" w:color="auto" w:sz="4" w:space="0"/>
                  </w:tcBorders>
                  <w:noWrap w:val="0"/>
                  <w:vAlign w:val="center"/>
                </w:tcPr>
                <w:p w14:paraId="14B843EA">
                  <w:pPr>
                    <w:adjustRightInd w:val="0"/>
                    <w:snapToGrid w:val="0"/>
                    <w:jc w:val="left"/>
                    <w:textAlignment w:val="baseline"/>
                    <w:rPr>
                      <w:rFonts w:hint="eastAsia" w:ascii="Times New Roman" w:hAnsi="Times New Roman" w:eastAsia="宋体" w:cs="Times New Roman"/>
                      <w:snapToGrid w:val="0"/>
                      <w:color w:val="auto"/>
                      <w:szCs w:val="21"/>
                      <w:lang w:eastAsia="zh-CN"/>
                    </w:rPr>
                  </w:pPr>
                  <w:r>
                    <w:rPr>
                      <w:rFonts w:hint="default" w:ascii="Times New Roman" w:hAnsi="Times New Roman" w:eastAsia="宋体" w:cs="Times New Roman"/>
                      <w:snapToGrid w:val="0"/>
                      <w:color w:val="auto"/>
                      <w:kern w:val="0"/>
                      <w:szCs w:val="21"/>
                    </w:rPr>
                    <w:t>一般不需要特殊防护，但建议特殊情况下，佩戴自吸过滤式防毒面具</w:t>
                  </w:r>
                  <w:r>
                    <w:rPr>
                      <w:rFonts w:hint="eastAsia" w:cs="Times New Roman"/>
                      <w:snapToGrid w:val="0"/>
                      <w:color w:val="auto"/>
                      <w:kern w:val="0"/>
                      <w:szCs w:val="21"/>
                      <w:lang w:eastAsia="zh-CN"/>
                    </w:rPr>
                    <w:t>。</w:t>
                  </w:r>
                </w:p>
              </w:tc>
              <w:tc>
                <w:tcPr>
                  <w:tcW w:w="942" w:type="dxa"/>
                  <w:gridSpan w:val="3"/>
                  <w:tcBorders>
                    <w:top w:val="single" w:color="auto" w:sz="4" w:space="0"/>
                    <w:left w:val="single" w:color="auto" w:sz="4" w:space="0"/>
                    <w:bottom w:val="single" w:color="auto" w:sz="4" w:space="0"/>
                    <w:right w:val="single" w:color="auto" w:sz="4" w:space="0"/>
                  </w:tcBorders>
                  <w:noWrap w:val="0"/>
                  <w:vAlign w:val="center"/>
                </w:tcPr>
                <w:p w14:paraId="764A583A">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身体防护</w:t>
                  </w:r>
                </w:p>
              </w:tc>
              <w:tc>
                <w:tcPr>
                  <w:tcW w:w="2925" w:type="dxa"/>
                  <w:gridSpan w:val="3"/>
                  <w:tcBorders>
                    <w:top w:val="single" w:color="auto" w:sz="4" w:space="0"/>
                    <w:left w:val="single" w:color="auto" w:sz="4" w:space="0"/>
                    <w:bottom w:val="single" w:color="auto" w:sz="4" w:space="0"/>
                  </w:tcBorders>
                  <w:noWrap w:val="0"/>
                  <w:vAlign w:val="center"/>
                </w:tcPr>
                <w:p w14:paraId="53DF5A0C">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穿防静电工作服。</w:t>
                  </w:r>
                </w:p>
              </w:tc>
            </w:tr>
            <w:tr w14:paraId="0E5F2A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51" w:type="dxa"/>
                  <w:tcBorders>
                    <w:top w:val="single" w:color="auto" w:sz="4" w:space="0"/>
                    <w:bottom w:val="single" w:color="auto" w:sz="4" w:space="0"/>
                    <w:right w:val="single" w:color="auto" w:sz="4" w:space="0"/>
                  </w:tcBorders>
                  <w:noWrap w:val="0"/>
                  <w:vAlign w:val="center"/>
                </w:tcPr>
                <w:p w14:paraId="77856067">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手防护</w:t>
                  </w:r>
                </w:p>
              </w:tc>
              <w:tc>
                <w:tcPr>
                  <w:tcW w:w="3404" w:type="dxa"/>
                  <w:gridSpan w:val="9"/>
                  <w:tcBorders>
                    <w:top w:val="single" w:color="auto" w:sz="4" w:space="0"/>
                    <w:left w:val="single" w:color="auto" w:sz="4" w:space="0"/>
                    <w:bottom w:val="single" w:color="auto" w:sz="4" w:space="0"/>
                    <w:right w:val="single" w:color="auto" w:sz="4" w:space="0"/>
                  </w:tcBorders>
                  <w:noWrap w:val="0"/>
                  <w:vAlign w:val="center"/>
                </w:tcPr>
                <w:p w14:paraId="191127E0">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戴一般作业防护手套。</w:t>
                  </w:r>
                </w:p>
              </w:tc>
              <w:tc>
                <w:tcPr>
                  <w:tcW w:w="942" w:type="dxa"/>
                  <w:gridSpan w:val="3"/>
                  <w:tcBorders>
                    <w:top w:val="single" w:color="auto" w:sz="4" w:space="0"/>
                    <w:left w:val="single" w:color="auto" w:sz="4" w:space="0"/>
                    <w:bottom w:val="single" w:color="auto" w:sz="4" w:space="0"/>
                    <w:right w:val="single" w:color="auto" w:sz="4" w:space="0"/>
                  </w:tcBorders>
                  <w:noWrap w:val="0"/>
                  <w:vAlign w:val="center"/>
                </w:tcPr>
                <w:p w14:paraId="4B37A2A5">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眼防护</w:t>
                  </w:r>
                </w:p>
              </w:tc>
              <w:tc>
                <w:tcPr>
                  <w:tcW w:w="2925" w:type="dxa"/>
                  <w:gridSpan w:val="3"/>
                  <w:tcBorders>
                    <w:top w:val="single" w:color="auto" w:sz="4" w:space="0"/>
                    <w:left w:val="single" w:color="auto" w:sz="4" w:space="0"/>
                    <w:bottom w:val="single" w:color="auto" w:sz="4" w:space="0"/>
                  </w:tcBorders>
                  <w:noWrap w:val="0"/>
                  <w:vAlign w:val="center"/>
                </w:tcPr>
                <w:p w14:paraId="032451A8">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kern w:val="0"/>
                      <w:szCs w:val="21"/>
                    </w:rPr>
                    <w:t>一般不需要特殊防护，高浓度接触时可戴安全防护眼镜。</w:t>
                  </w:r>
                </w:p>
              </w:tc>
            </w:tr>
            <w:tr w14:paraId="2F945D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951" w:type="dxa"/>
                  <w:tcBorders>
                    <w:top w:val="single" w:color="auto" w:sz="4" w:space="0"/>
                    <w:bottom w:val="single" w:color="auto" w:sz="12" w:space="0"/>
                    <w:right w:val="single" w:color="auto" w:sz="4" w:space="0"/>
                  </w:tcBorders>
                  <w:noWrap w:val="0"/>
                  <w:vAlign w:val="center"/>
                </w:tcPr>
                <w:p w14:paraId="6F001A97">
                  <w:pPr>
                    <w:adjustRightInd w:val="0"/>
                    <w:snapToGrid w:val="0"/>
                    <w:jc w:val="center"/>
                    <w:textAlignment w:val="baseline"/>
                    <w:rPr>
                      <w:rFonts w:hint="default" w:ascii="Times New Roman" w:hAnsi="Times New Roman" w:eastAsia="宋体" w:cs="Times New Roman"/>
                      <w:snapToGrid w:val="0"/>
                      <w:color w:val="auto"/>
                      <w:szCs w:val="21"/>
                    </w:rPr>
                  </w:pPr>
                  <w:r>
                    <w:rPr>
                      <w:rFonts w:hint="default" w:ascii="Times New Roman" w:hAnsi="Times New Roman" w:eastAsia="宋体" w:cs="Times New Roman"/>
                      <w:snapToGrid w:val="0"/>
                      <w:color w:val="auto"/>
                      <w:szCs w:val="21"/>
                    </w:rPr>
                    <w:t>其他</w:t>
                  </w:r>
                </w:p>
              </w:tc>
              <w:tc>
                <w:tcPr>
                  <w:tcW w:w="7271" w:type="dxa"/>
                  <w:gridSpan w:val="15"/>
                  <w:tcBorders>
                    <w:top w:val="single" w:color="auto" w:sz="4" w:space="0"/>
                    <w:left w:val="single" w:color="auto" w:sz="4" w:space="0"/>
                    <w:bottom w:val="single" w:color="auto" w:sz="12" w:space="0"/>
                  </w:tcBorders>
                  <w:noWrap w:val="0"/>
                  <w:vAlign w:val="center"/>
                </w:tcPr>
                <w:p w14:paraId="363EB85D">
                  <w:pPr>
                    <w:adjustRightInd w:val="0"/>
                    <w:snapToGrid w:val="0"/>
                    <w:jc w:val="left"/>
                    <w:textAlignment w:val="baseline"/>
                    <w:rPr>
                      <w:rFonts w:hint="default" w:ascii="Times New Roman" w:hAnsi="Times New Roman" w:eastAsia="宋体" w:cs="Times New Roman"/>
                      <w:snapToGrid w:val="0"/>
                      <w:color w:val="auto"/>
                      <w:spacing w:val="-10"/>
                      <w:szCs w:val="21"/>
                    </w:rPr>
                  </w:pPr>
                  <w:r>
                    <w:rPr>
                      <w:rFonts w:hint="default" w:ascii="Times New Roman" w:hAnsi="Times New Roman" w:eastAsia="宋体" w:cs="Times New Roman"/>
                      <w:snapToGrid w:val="0"/>
                      <w:color w:val="auto"/>
                      <w:spacing w:val="-10"/>
                      <w:kern w:val="0"/>
                      <w:szCs w:val="21"/>
                    </w:rPr>
                    <w:t>工作现场严禁吸烟。避免长期反复接触。进入罐、限制性空间或</w:t>
                  </w:r>
                  <w:r>
                    <w:rPr>
                      <w:rFonts w:hint="default" w:ascii="Times New Roman" w:hAnsi="Times New Roman" w:eastAsia="宋体" w:cs="Times New Roman"/>
                      <w:snapToGrid w:val="0"/>
                      <w:color w:val="auto"/>
                      <w:spacing w:val="-10"/>
                      <w:kern w:val="0"/>
                      <w:szCs w:val="21"/>
                      <w:lang w:eastAsia="zh-CN"/>
                    </w:rPr>
                    <w:t>其他</w:t>
                  </w:r>
                  <w:r>
                    <w:rPr>
                      <w:rFonts w:hint="default" w:ascii="Times New Roman" w:hAnsi="Times New Roman" w:eastAsia="宋体" w:cs="Times New Roman"/>
                      <w:snapToGrid w:val="0"/>
                      <w:color w:val="auto"/>
                      <w:spacing w:val="-10"/>
                      <w:kern w:val="0"/>
                      <w:szCs w:val="21"/>
                    </w:rPr>
                    <w:t>高浓度区作业，必须有人监护。</w:t>
                  </w:r>
                </w:p>
              </w:tc>
            </w:tr>
          </w:tbl>
          <w:p w14:paraId="3872C5FB">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2" w:firstLineChars="200"/>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lang w:val="en-US" w:eastAsia="zh-CN"/>
              </w:rPr>
              <w:t>6.4</w:t>
            </w:r>
            <w:r>
              <w:rPr>
                <w:rFonts w:hint="default" w:ascii="Times New Roman" w:hAnsi="Times New Roman" w:eastAsia="宋体" w:cs="Times New Roman"/>
                <w:b/>
                <w:bCs/>
                <w:color w:val="auto"/>
                <w:kern w:val="0"/>
                <w:sz w:val="24"/>
              </w:rPr>
              <w:t>源项分析</w:t>
            </w:r>
          </w:p>
          <w:p w14:paraId="0452BB58">
            <w:pPr>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根据对本项目涉及原料的理化性质、生产工艺特征以及同类项目类比调查，项目事故风险类型确定为</w:t>
            </w:r>
            <w:r>
              <w:rPr>
                <w:rFonts w:hint="default" w:ascii="Times New Roman" w:hAnsi="Times New Roman" w:eastAsia="宋体" w:cs="Times New Roman"/>
                <w:color w:val="auto"/>
                <w:kern w:val="0"/>
                <w:sz w:val="24"/>
                <w:lang w:val="en-US" w:eastAsia="zh-CN"/>
              </w:rPr>
              <w:t>管道泄漏</w:t>
            </w:r>
            <w:r>
              <w:rPr>
                <w:rFonts w:hint="default" w:ascii="Times New Roman" w:hAnsi="Times New Roman" w:eastAsia="宋体" w:cs="Times New Roman"/>
                <w:color w:val="auto"/>
                <w:kern w:val="0"/>
                <w:sz w:val="24"/>
              </w:rPr>
              <w:t>天然气等导致的火灾、爆炸事故以及环境污染事故。</w:t>
            </w:r>
          </w:p>
          <w:p w14:paraId="37E00F7C">
            <w:pPr>
              <w:adjustRightInd w:val="0"/>
              <w:snapToGrid w:val="0"/>
              <w:spacing w:line="360" w:lineRule="auto"/>
              <w:ind w:firstLine="482" w:firstLineChars="200"/>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lang w:val="en-US" w:eastAsia="zh-CN"/>
              </w:rPr>
              <w:t>6.5</w:t>
            </w:r>
            <w:r>
              <w:rPr>
                <w:rFonts w:hint="default" w:ascii="Times New Roman" w:hAnsi="Times New Roman" w:eastAsia="宋体" w:cs="Times New Roman"/>
                <w:b/>
                <w:bCs/>
                <w:color w:val="auto"/>
                <w:kern w:val="0"/>
                <w:sz w:val="24"/>
              </w:rPr>
              <w:t>环境风险防范措施</w:t>
            </w:r>
          </w:p>
          <w:p w14:paraId="356EF3AF">
            <w:pPr>
              <w:adjustRightInd w:val="0"/>
              <w:snapToGrid w:val="0"/>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管道泄漏天然气导致的火灾</w:t>
            </w:r>
            <w:r>
              <w:rPr>
                <w:rFonts w:hint="default" w:ascii="Times New Roman" w:hAnsi="Times New Roman" w:eastAsia="宋体" w:cs="Times New Roman"/>
                <w:color w:val="auto"/>
                <w:kern w:val="0"/>
                <w:sz w:val="24"/>
              </w:rPr>
              <w:t>事故</w:t>
            </w:r>
            <w:r>
              <w:rPr>
                <w:rFonts w:hint="default" w:ascii="Times New Roman" w:hAnsi="Times New Roman" w:eastAsia="宋体" w:cs="Times New Roman"/>
                <w:color w:val="auto"/>
                <w:kern w:val="0"/>
                <w:sz w:val="24"/>
                <w:lang w:val="en-US" w:eastAsia="zh-CN"/>
              </w:rPr>
              <w:t>的</w:t>
            </w:r>
            <w:r>
              <w:rPr>
                <w:rFonts w:hint="default" w:ascii="Times New Roman" w:hAnsi="Times New Roman" w:eastAsia="宋体" w:cs="Times New Roman"/>
                <w:color w:val="auto"/>
                <w:kern w:val="0"/>
                <w:sz w:val="24"/>
              </w:rPr>
              <w:t>防范措施</w:t>
            </w:r>
            <w:r>
              <w:rPr>
                <w:rFonts w:hint="default" w:ascii="Times New Roman" w:hAnsi="Times New Roman" w:eastAsia="宋体" w:cs="Times New Roman"/>
                <w:color w:val="auto"/>
                <w:kern w:val="0"/>
                <w:sz w:val="24"/>
                <w:lang w:val="en-US" w:eastAsia="zh-CN"/>
              </w:rPr>
              <w:t>如下：</w:t>
            </w:r>
          </w:p>
          <w:p w14:paraId="172BCF39">
            <w:pPr>
              <w:adjustRightInd w:val="0"/>
              <w:snapToGrid w:val="0"/>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①建立健全规章制度，车间严禁烟火；加强管理，防止因管理不善而导致车间火灾；每天对车间设备进行检查，防止因为设备故障而引起火灾；对员工进行上岗培训，使其了解作业中应该注意的具体事项；</w:t>
            </w:r>
          </w:p>
          <w:p w14:paraId="589DC49A">
            <w:pPr>
              <w:adjustRightInd w:val="0"/>
              <w:snapToGrid w:val="0"/>
              <w:spacing w:line="360" w:lineRule="auto"/>
              <w:ind w:firstLine="480" w:firstLineChars="200"/>
              <w:rPr>
                <w:rFonts w:hint="default" w:ascii="Times New Roman" w:hAnsi="Times New Roman" w:eastAsia="宋体" w:cs="Times New Roman"/>
                <w:color w:val="auto"/>
                <w:kern w:val="0"/>
                <w:sz w:val="24"/>
                <w:lang w:val="en-US" w:eastAsia="zh-CN"/>
              </w:rPr>
            </w:pPr>
            <w:r>
              <w:rPr>
                <w:rFonts w:hint="default" w:ascii="Times New Roman" w:hAnsi="Times New Roman" w:eastAsia="宋体" w:cs="Times New Roman"/>
                <w:color w:val="auto"/>
                <w:kern w:val="0"/>
                <w:sz w:val="24"/>
                <w:lang w:val="en-US" w:eastAsia="zh-CN"/>
              </w:rPr>
              <w:t>②建立完善的消防设施，在各建筑物内、工艺装置区等配置适量手提式及推车式灭火器，用于扑灭初期火灾，保持疏散通道畅通；</w:t>
            </w:r>
          </w:p>
          <w:p w14:paraId="547F2370">
            <w:pPr>
              <w:adjustRightInd w:val="0"/>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lang w:val="en-US" w:eastAsia="zh-CN"/>
              </w:rPr>
              <w:t>③车间内设备布置合理，各机械设备之间保持一定的距离，禁止在通道上堆放原料或者成品，机械设备要加强维护，定期检修，保障正常运行。高速转动的轴、轮等部位要定期、按时保养，各设备要有良好的接地或接零装置</w:t>
            </w:r>
            <w:r>
              <w:rPr>
                <w:rFonts w:hint="default" w:ascii="Times New Roman" w:hAnsi="Times New Roman" w:eastAsia="宋体" w:cs="Times New Roman"/>
                <w:color w:val="auto"/>
                <w:kern w:val="0"/>
                <w:sz w:val="24"/>
              </w:rPr>
              <w:t>。</w:t>
            </w:r>
          </w:p>
          <w:p w14:paraId="12C5640E">
            <w:pPr>
              <w:adjustRightInd w:val="0"/>
              <w:snapToGrid w:val="0"/>
              <w:spacing w:line="360" w:lineRule="auto"/>
              <w:ind w:firstLine="482" w:firstLineChars="200"/>
              <w:rPr>
                <w:rFonts w:hint="default" w:ascii="Times New Roman" w:hAnsi="Times New Roman" w:eastAsia="宋体" w:cs="Times New Roman"/>
                <w:b/>
                <w:bCs w:val="0"/>
                <w:color w:val="auto"/>
                <w:kern w:val="0"/>
                <w:sz w:val="24"/>
              </w:rPr>
            </w:pPr>
            <w:r>
              <w:rPr>
                <w:rFonts w:hint="default" w:ascii="Times New Roman" w:hAnsi="Times New Roman" w:eastAsia="宋体" w:cs="Times New Roman"/>
                <w:b/>
                <w:bCs w:val="0"/>
                <w:color w:val="auto"/>
                <w:kern w:val="0"/>
                <w:sz w:val="24"/>
              </w:rPr>
              <w:t>6.6事故应急预案</w:t>
            </w:r>
          </w:p>
          <w:p w14:paraId="65B2C31A">
            <w:pPr>
              <w:snapToGrid w:val="0"/>
              <w:spacing w:line="360" w:lineRule="auto"/>
              <w:ind w:firstLine="480"/>
              <w:rPr>
                <w:rFonts w:hint="default" w:ascii="Times New Roman" w:hAnsi="Times New Roman" w:eastAsia="宋体" w:cs="Times New Roman"/>
                <w:b w:val="0"/>
                <w:bCs/>
                <w:color w:val="auto"/>
                <w:kern w:val="0"/>
                <w:sz w:val="24"/>
              </w:rPr>
            </w:pPr>
            <w:r>
              <w:rPr>
                <w:rFonts w:hint="default" w:ascii="Times New Roman" w:hAnsi="Times New Roman" w:eastAsia="宋体" w:cs="Times New Roman"/>
                <w:b w:val="0"/>
                <w:bCs/>
                <w:color w:val="auto"/>
                <w:kern w:val="0"/>
                <w:sz w:val="24"/>
              </w:rPr>
              <w:t>6.6.1应急处置预案</w:t>
            </w:r>
          </w:p>
          <w:p w14:paraId="5EC0E6A8">
            <w:pPr>
              <w:snapToGrid w:val="0"/>
              <w:spacing w:line="360" w:lineRule="auto"/>
              <w:ind w:firstLine="48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本项目环境事件应急预案编制的主要内容见表4-</w:t>
            </w:r>
            <w:r>
              <w:rPr>
                <w:rFonts w:hint="default" w:ascii="Times New Roman" w:hAnsi="Times New Roman" w:eastAsia="宋体" w:cs="Times New Roman"/>
                <w:color w:val="auto"/>
                <w:kern w:val="0"/>
                <w:sz w:val="24"/>
                <w:lang w:val="en-US" w:eastAsia="zh-CN"/>
              </w:rPr>
              <w:t>12</w:t>
            </w:r>
            <w:r>
              <w:rPr>
                <w:rFonts w:hint="default" w:ascii="Times New Roman" w:hAnsi="Times New Roman" w:eastAsia="宋体" w:cs="Times New Roman"/>
                <w:color w:val="auto"/>
                <w:kern w:val="0"/>
                <w:sz w:val="24"/>
              </w:rPr>
              <w:t>。</w:t>
            </w:r>
          </w:p>
          <w:p w14:paraId="350BD331">
            <w:pPr>
              <w:pStyle w:val="14"/>
              <w:bidi w:val="0"/>
              <w:jc w:val="both"/>
              <w:rPr>
                <w:rFonts w:hint="default" w:ascii="Times New Roman" w:hAnsi="Times New Roman" w:eastAsia="宋体" w:cs="Times New Roman"/>
                <w:color w:val="auto"/>
              </w:rPr>
            </w:pPr>
          </w:p>
          <w:p w14:paraId="7964D27C">
            <w:pPr>
              <w:pStyle w:val="14"/>
              <w:bidi w:val="0"/>
              <w:rPr>
                <w:rFonts w:hint="default" w:ascii="Times New Roman" w:hAnsi="Times New Roman" w:eastAsia="宋体" w:cs="Times New Roman"/>
                <w:color w:val="auto"/>
              </w:rPr>
            </w:pPr>
          </w:p>
          <w:p w14:paraId="49B32B74">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eastAsia="宋体" w:cs="Times New Roman"/>
                <w:color w:val="auto"/>
                <w:lang w:val="en-US" w:eastAsia="zh-CN"/>
              </w:rPr>
              <w:t>12</w:t>
            </w:r>
            <w:r>
              <w:rPr>
                <w:rFonts w:hint="default" w:ascii="Times New Roman" w:hAnsi="Times New Roman" w:eastAsia="宋体" w:cs="Times New Roman"/>
                <w:color w:val="auto"/>
              </w:rPr>
              <w:t>应急预案的主要内容</w:t>
            </w:r>
          </w:p>
          <w:tbl>
            <w:tblPr>
              <w:tblStyle w:val="7"/>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679"/>
              <w:gridCol w:w="1862"/>
              <w:gridCol w:w="5681"/>
            </w:tblGrid>
            <w:tr w14:paraId="2D5B6F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3DFCABE3">
                  <w:pPr>
                    <w:spacing w:line="300" w:lineRule="exact"/>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序号</w:t>
                  </w:r>
                </w:p>
              </w:tc>
              <w:tc>
                <w:tcPr>
                  <w:tcW w:w="2050" w:type="dxa"/>
                  <w:tcBorders>
                    <w:tl2br w:val="nil"/>
                    <w:tr2bl w:val="nil"/>
                  </w:tcBorders>
                  <w:noWrap w:val="0"/>
                  <w:vAlign w:val="center"/>
                </w:tcPr>
                <w:p w14:paraId="39253D82">
                  <w:pPr>
                    <w:spacing w:line="300" w:lineRule="exact"/>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项目</w:t>
                  </w:r>
                </w:p>
              </w:tc>
              <w:tc>
                <w:tcPr>
                  <w:tcW w:w="6281" w:type="dxa"/>
                  <w:tcBorders>
                    <w:tl2br w:val="nil"/>
                    <w:tr2bl w:val="nil"/>
                  </w:tcBorders>
                  <w:noWrap w:val="0"/>
                  <w:vAlign w:val="center"/>
                </w:tcPr>
                <w:p w14:paraId="3070E47A">
                  <w:pPr>
                    <w:spacing w:line="300" w:lineRule="exact"/>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t>具体内容</w:t>
                  </w:r>
                </w:p>
              </w:tc>
            </w:tr>
            <w:tr w14:paraId="550E34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42445D34">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w:t>
                  </w:r>
                </w:p>
              </w:tc>
              <w:tc>
                <w:tcPr>
                  <w:tcW w:w="2050" w:type="dxa"/>
                  <w:tcBorders>
                    <w:tl2br w:val="nil"/>
                    <w:tr2bl w:val="nil"/>
                  </w:tcBorders>
                  <w:noWrap w:val="0"/>
                  <w:vAlign w:val="center"/>
                </w:tcPr>
                <w:p w14:paraId="31F2A9D3">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应急计划区</w:t>
                  </w:r>
                </w:p>
              </w:tc>
              <w:tc>
                <w:tcPr>
                  <w:tcW w:w="6281" w:type="dxa"/>
                  <w:tcBorders>
                    <w:tl2br w:val="nil"/>
                    <w:tr2bl w:val="nil"/>
                  </w:tcBorders>
                  <w:noWrap w:val="0"/>
                  <w:vAlign w:val="center"/>
                </w:tcPr>
                <w:p w14:paraId="3E75E949">
                  <w:pPr>
                    <w:spacing w:line="300" w:lineRule="exact"/>
                    <w:rPr>
                      <w:rFonts w:hint="default"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项目</w:t>
                  </w:r>
                  <w:r>
                    <w:rPr>
                      <w:rFonts w:hint="default" w:ascii="Times New Roman" w:hAnsi="Times New Roman" w:eastAsia="宋体" w:cs="Times New Roman"/>
                      <w:color w:val="auto"/>
                      <w:kern w:val="0"/>
                      <w:szCs w:val="21"/>
                      <w:lang w:val="en-US" w:eastAsia="zh-CN"/>
                    </w:rPr>
                    <w:t>区</w:t>
                  </w:r>
                  <w:r>
                    <w:rPr>
                      <w:rFonts w:hint="eastAsia" w:cs="Times New Roman"/>
                      <w:color w:val="auto"/>
                      <w:kern w:val="0"/>
                      <w:szCs w:val="21"/>
                      <w:lang w:val="en-US" w:eastAsia="zh-CN"/>
                    </w:rPr>
                    <w:t>。</w:t>
                  </w:r>
                </w:p>
              </w:tc>
            </w:tr>
            <w:tr w14:paraId="157524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44C1DC54">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2</w:t>
                  </w:r>
                </w:p>
              </w:tc>
              <w:tc>
                <w:tcPr>
                  <w:tcW w:w="2050" w:type="dxa"/>
                  <w:tcBorders>
                    <w:tl2br w:val="nil"/>
                    <w:tr2bl w:val="nil"/>
                  </w:tcBorders>
                  <w:noWrap w:val="0"/>
                  <w:vAlign w:val="center"/>
                </w:tcPr>
                <w:p w14:paraId="3A47A8CC">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应急组织机构、人员</w:t>
                  </w:r>
                </w:p>
              </w:tc>
              <w:tc>
                <w:tcPr>
                  <w:tcW w:w="6281" w:type="dxa"/>
                  <w:tcBorders>
                    <w:tl2br w:val="nil"/>
                    <w:tr2bl w:val="nil"/>
                  </w:tcBorders>
                  <w:noWrap w:val="0"/>
                  <w:vAlign w:val="center"/>
                </w:tcPr>
                <w:p w14:paraId="3187B65F">
                  <w:pPr>
                    <w:spacing w:line="300" w:lineRule="exact"/>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明确应急组织机构的构成。主要负责人为应急计划、协调</w:t>
                  </w:r>
                  <w:r>
                    <w:rPr>
                      <w:rFonts w:hint="eastAsia" w:cs="Times New Roman"/>
                      <w:color w:val="auto"/>
                      <w:kern w:val="0"/>
                      <w:szCs w:val="21"/>
                      <w:lang w:eastAsia="zh-CN"/>
                    </w:rPr>
                    <w:t>的</w:t>
                  </w:r>
                  <w:r>
                    <w:rPr>
                      <w:rFonts w:hint="default" w:ascii="Times New Roman" w:hAnsi="Times New Roman" w:eastAsia="宋体" w:cs="Times New Roman"/>
                      <w:color w:val="auto"/>
                      <w:kern w:val="0"/>
                      <w:szCs w:val="21"/>
                    </w:rPr>
                    <w:t>第一责任人，应急人员必须培训上岗熟练工；区域应急组织结构由当地政府、相关行业专家、卫生安全相关单位组成，并由当地政府进行统一调度</w:t>
                  </w:r>
                  <w:r>
                    <w:rPr>
                      <w:rFonts w:hint="eastAsia" w:cs="Times New Roman"/>
                      <w:color w:val="auto"/>
                      <w:kern w:val="0"/>
                      <w:szCs w:val="21"/>
                      <w:lang w:eastAsia="zh-CN"/>
                    </w:rPr>
                    <w:t>。</w:t>
                  </w:r>
                </w:p>
              </w:tc>
            </w:tr>
            <w:tr w14:paraId="61DA65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115B2872">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3</w:t>
                  </w:r>
                </w:p>
              </w:tc>
              <w:tc>
                <w:tcPr>
                  <w:tcW w:w="2050" w:type="dxa"/>
                  <w:tcBorders>
                    <w:tl2br w:val="nil"/>
                    <w:tr2bl w:val="nil"/>
                  </w:tcBorders>
                  <w:noWrap w:val="0"/>
                  <w:vAlign w:val="center"/>
                </w:tcPr>
                <w:p w14:paraId="752BA57C">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预案分级响应条件</w:t>
                  </w:r>
                </w:p>
              </w:tc>
              <w:tc>
                <w:tcPr>
                  <w:tcW w:w="6281" w:type="dxa"/>
                  <w:tcBorders>
                    <w:tl2br w:val="nil"/>
                    <w:tr2bl w:val="nil"/>
                  </w:tcBorders>
                  <w:noWrap w:val="0"/>
                  <w:vAlign w:val="center"/>
                </w:tcPr>
                <w:p w14:paraId="29E4694E">
                  <w:pPr>
                    <w:spacing w:line="300" w:lineRule="exact"/>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根据事故的严重程度制定相应级别的应急预案，以及适合相应情况的处理措施</w:t>
                  </w:r>
                  <w:r>
                    <w:rPr>
                      <w:rFonts w:hint="eastAsia" w:cs="Times New Roman"/>
                      <w:color w:val="auto"/>
                      <w:kern w:val="0"/>
                      <w:szCs w:val="21"/>
                      <w:lang w:eastAsia="zh-CN"/>
                    </w:rPr>
                    <w:t>。</w:t>
                  </w:r>
                </w:p>
              </w:tc>
            </w:tr>
            <w:tr w14:paraId="34EAC4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223C23F8">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4</w:t>
                  </w:r>
                </w:p>
              </w:tc>
              <w:tc>
                <w:tcPr>
                  <w:tcW w:w="2050" w:type="dxa"/>
                  <w:tcBorders>
                    <w:tl2br w:val="nil"/>
                    <w:tr2bl w:val="nil"/>
                  </w:tcBorders>
                  <w:noWrap w:val="0"/>
                  <w:vAlign w:val="center"/>
                </w:tcPr>
                <w:p w14:paraId="62B934CA">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应急救援保障</w:t>
                  </w:r>
                </w:p>
              </w:tc>
              <w:tc>
                <w:tcPr>
                  <w:tcW w:w="6281" w:type="dxa"/>
                  <w:tcBorders>
                    <w:tl2br w:val="nil"/>
                    <w:tr2bl w:val="nil"/>
                  </w:tcBorders>
                  <w:noWrap w:val="0"/>
                  <w:vAlign w:val="center"/>
                </w:tcPr>
                <w:p w14:paraId="446B5212">
                  <w:pPr>
                    <w:spacing w:line="300" w:lineRule="exact"/>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应急设施</w:t>
                  </w:r>
                  <w:r>
                    <w:rPr>
                      <w:rFonts w:hint="eastAsia" w:cs="Times New Roman"/>
                      <w:color w:val="auto"/>
                      <w:kern w:val="0"/>
                      <w:szCs w:val="21"/>
                      <w:lang w:eastAsia="zh-CN"/>
                    </w:rPr>
                    <w:t>、</w:t>
                  </w:r>
                  <w:r>
                    <w:rPr>
                      <w:rFonts w:hint="default" w:ascii="Times New Roman" w:hAnsi="Times New Roman" w:eastAsia="宋体" w:cs="Times New Roman"/>
                      <w:color w:val="auto"/>
                      <w:kern w:val="0"/>
                      <w:szCs w:val="21"/>
                    </w:rPr>
                    <w:t>设备与器材等</w:t>
                  </w:r>
                  <w:r>
                    <w:rPr>
                      <w:rFonts w:hint="eastAsia" w:cs="Times New Roman"/>
                      <w:color w:val="auto"/>
                      <w:kern w:val="0"/>
                      <w:szCs w:val="21"/>
                      <w:lang w:eastAsia="zh-CN"/>
                    </w:rPr>
                    <w:t>。</w:t>
                  </w:r>
                </w:p>
              </w:tc>
            </w:tr>
            <w:tr w14:paraId="15A9F0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5B885192">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5</w:t>
                  </w:r>
                </w:p>
              </w:tc>
              <w:tc>
                <w:tcPr>
                  <w:tcW w:w="2050" w:type="dxa"/>
                  <w:tcBorders>
                    <w:tl2br w:val="nil"/>
                    <w:tr2bl w:val="nil"/>
                  </w:tcBorders>
                  <w:noWrap w:val="0"/>
                  <w:vAlign w:val="center"/>
                </w:tcPr>
                <w:p w14:paraId="784485FB">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报警、通信联络方式</w:t>
                  </w:r>
                </w:p>
              </w:tc>
              <w:tc>
                <w:tcPr>
                  <w:tcW w:w="6281" w:type="dxa"/>
                  <w:tcBorders>
                    <w:tl2br w:val="nil"/>
                    <w:tr2bl w:val="nil"/>
                  </w:tcBorders>
                  <w:noWrap w:val="0"/>
                  <w:vAlign w:val="center"/>
                </w:tcPr>
                <w:p w14:paraId="65EF3A3C">
                  <w:pPr>
                    <w:spacing w:line="300" w:lineRule="exact"/>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逐一细化应急状态下各主要负责单位的报警通讯方式、地点、电话号码以及相关配套的交通保障、管制、消防联络方法，涉及跨区域的还应与相关区域</w:t>
                  </w:r>
                  <w:r>
                    <w:rPr>
                      <w:rFonts w:hint="default" w:ascii="Times New Roman" w:hAnsi="Times New Roman" w:eastAsia="宋体" w:cs="Times New Roman"/>
                      <w:color w:val="auto"/>
                      <w:kern w:val="0"/>
                      <w:szCs w:val="21"/>
                      <w:lang w:eastAsia="zh-CN"/>
                    </w:rPr>
                    <w:t>生态环境部</w:t>
                  </w:r>
                  <w:r>
                    <w:rPr>
                      <w:rFonts w:hint="default" w:ascii="Times New Roman" w:hAnsi="Times New Roman" w:eastAsia="宋体" w:cs="Times New Roman"/>
                      <w:color w:val="auto"/>
                      <w:kern w:val="0"/>
                      <w:szCs w:val="21"/>
                    </w:rPr>
                    <w:t>门和上级生态环境部门保持联系，及时通报事故处理情况，以获得区域性支援</w:t>
                  </w:r>
                  <w:r>
                    <w:rPr>
                      <w:rFonts w:hint="eastAsia" w:cs="Times New Roman"/>
                      <w:color w:val="auto"/>
                      <w:kern w:val="0"/>
                      <w:szCs w:val="21"/>
                      <w:lang w:eastAsia="zh-CN"/>
                    </w:rPr>
                    <w:t>。</w:t>
                  </w:r>
                </w:p>
              </w:tc>
            </w:tr>
            <w:tr w14:paraId="61193C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197756CB">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6</w:t>
                  </w:r>
                </w:p>
              </w:tc>
              <w:tc>
                <w:tcPr>
                  <w:tcW w:w="2050" w:type="dxa"/>
                  <w:tcBorders>
                    <w:tl2br w:val="nil"/>
                    <w:tr2bl w:val="nil"/>
                  </w:tcBorders>
                  <w:noWrap w:val="0"/>
                  <w:vAlign w:val="center"/>
                </w:tcPr>
                <w:p w14:paraId="28E7BC6B">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应急环境监测、抢险、救援及控制措施</w:t>
                  </w:r>
                </w:p>
              </w:tc>
              <w:tc>
                <w:tcPr>
                  <w:tcW w:w="6281" w:type="dxa"/>
                  <w:tcBorders>
                    <w:tl2br w:val="nil"/>
                    <w:tr2bl w:val="nil"/>
                  </w:tcBorders>
                  <w:noWrap w:val="0"/>
                  <w:vAlign w:val="center"/>
                </w:tcPr>
                <w:p w14:paraId="52E18FA7">
                  <w:pPr>
                    <w:spacing w:line="300" w:lineRule="exact"/>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由专业队伍负责对事故现场进行侦查监测，对事故性质、参数与后果进行评估，为指挥部门提供决策依据</w:t>
                  </w:r>
                  <w:r>
                    <w:rPr>
                      <w:rFonts w:hint="eastAsia" w:cs="Times New Roman"/>
                      <w:color w:val="auto"/>
                      <w:kern w:val="0"/>
                      <w:szCs w:val="21"/>
                      <w:lang w:eastAsia="zh-CN"/>
                    </w:rPr>
                    <w:t>。</w:t>
                  </w:r>
                </w:p>
              </w:tc>
            </w:tr>
            <w:tr w14:paraId="1C603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082C5267">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7</w:t>
                  </w:r>
                </w:p>
              </w:tc>
              <w:tc>
                <w:tcPr>
                  <w:tcW w:w="2050" w:type="dxa"/>
                  <w:tcBorders>
                    <w:tl2br w:val="nil"/>
                    <w:tr2bl w:val="nil"/>
                  </w:tcBorders>
                  <w:noWrap w:val="0"/>
                  <w:vAlign w:val="center"/>
                </w:tcPr>
                <w:p w14:paraId="0CC1AA3D">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应急检测、防护措施、清除泄漏措施和器材</w:t>
                  </w:r>
                </w:p>
              </w:tc>
              <w:tc>
                <w:tcPr>
                  <w:tcW w:w="6281" w:type="dxa"/>
                  <w:tcBorders>
                    <w:tl2br w:val="nil"/>
                    <w:tr2bl w:val="nil"/>
                  </w:tcBorders>
                  <w:noWrap w:val="0"/>
                  <w:vAlign w:val="center"/>
                </w:tcPr>
                <w:p w14:paraId="0C4CCF74">
                  <w:pPr>
                    <w:spacing w:line="300" w:lineRule="exact"/>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事故现场、邻近区域、控制防火区域，控制和清除污染措施及相应设备的数量、使用方法、使用人员</w:t>
                  </w:r>
                  <w:r>
                    <w:rPr>
                      <w:rFonts w:hint="eastAsia" w:cs="Times New Roman"/>
                      <w:color w:val="auto"/>
                      <w:kern w:val="0"/>
                      <w:szCs w:val="21"/>
                      <w:lang w:eastAsia="zh-CN"/>
                    </w:rPr>
                    <w:t>。</w:t>
                  </w:r>
                </w:p>
              </w:tc>
            </w:tr>
            <w:tr w14:paraId="6B88FC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4F582FBB">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8</w:t>
                  </w:r>
                </w:p>
              </w:tc>
              <w:tc>
                <w:tcPr>
                  <w:tcW w:w="2050" w:type="dxa"/>
                  <w:tcBorders>
                    <w:tl2br w:val="nil"/>
                    <w:tr2bl w:val="nil"/>
                  </w:tcBorders>
                  <w:noWrap w:val="0"/>
                  <w:vAlign w:val="center"/>
                </w:tcPr>
                <w:p w14:paraId="5169E3F5">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人员紧急撤离、疏散，应急剂量控制、撤离组织计划</w:t>
                  </w:r>
                </w:p>
              </w:tc>
              <w:tc>
                <w:tcPr>
                  <w:tcW w:w="6281" w:type="dxa"/>
                  <w:tcBorders>
                    <w:tl2br w:val="nil"/>
                    <w:tr2bl w:val="nil"/>
                  </w:tcBorders>
                  <w:noWrap w:val="0"/>
                  <w:vAlign w:val="center"/>
                </w:tcPr>
                <w:p w14:paraId="5554C397">
                  <w:pPr>
                    <w:spacing w:line="300" w:lineRule="exact"/>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事故现场、受事故影响的区域人员及公众对毒物应急剂量控制规定，撤离组织计划及救护，医疗救护与公众健康</w:t>
                  </w:r>
                  <w:r>
                    <w:rPr>
                      <w:rFonts w:hint="eastAsia" w:cs="Times New Roman"/>
                      <w:color w:val="auto"/>
                      <w:kern w:val="0"/>
                      <w:szCs w:val="21"/>
                      <w:lang w:eastAsia="zh-CN"/>
                    </w:rPr>
                    <w:t>。</w:t>
                  </w:r>
                </w:p>
              </w:tc>
            </w:tr>
            <w:tr w14:paraId="435D82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24B0AD62">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9</w:t>
                  </w:r>
                </w:p>
              </w:tc>
              <w:tc>
                <w:tcPr>
                  <w:tcW w:w="2050" w:type="dxa"/>
                  <w:tcBorders>
                    <w:tl2br w:val="nil"/>
                    <w:tr2bl w:val="nil"/>
                  </w:tcBorders>
                  <w:noWrap w:val="0"/>
                  <w:vAlign w:val="center"/>
                </w:tcPr>
                <w:p w14:paraId="7FB09666">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事故应急救援关闭程序与恢复措施</w:t>
                  </w:r>
                </w:p>
              </w:tc>
              <w:tc>
                <w:tcPr>
                  <w:tcW w:w="6281" w:type="dxa"/>
                  <w:tcBorders>
                    <w:tl2br w:val="nil"/>
                    <w:tr2bl w:val="nil"/>
                  </w:tcBorders>
                  <w:noWrap w:val="0"/>
                  <w:vAlign w:val="center"/>
                </w:tcPr>
                <w:p w14:paraId="44024846">
                  <w:pPr>
                    <w:spacing w:line="300" w:lineRule="exact"/>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规定应急状态终止程序，事故现场善后处理</w:t>
                  </w:r>
                  <w:r>
                    <w:rPr>
                      <w:rFonts w:hint="eastAsia" w:cs="Times New Roman"/>
                      <w:color w:val="auto"/>
                      <w:kern w:val="0"/>
                      <w:szCs w:val="21"/>
                      <w:lang w:eastAsia="zh-CN"/>
                    </w:rPr>
                    <w:t>、</w:t>
                  </w:r>
                  <w:r>
                    <w:rPr>
                      <w:rFonts w:hint="default" w:ascii="Times New Roman" w:hAnsi="Times New Roman" w:eastAsia="宋体" w:cs="Times New Roman"/>
                      <w:color w:val="auto"/>
                      <w:kern w:val="0"/>
                      <w:szCs w:val="21"/>
                    </w:rPr>
                    <w:t>恢复措施，邻近区域解除事故警戒及善后恢复措施，制定有关的环境恢复措施，组织专业人员对事故后的环境变化进行监测，对事故应急措施的环境可行性进行后影响评价</w:t>
                  </w:r>
                  <w:r>
                    <w:rPr>
                      <w:rFonts w:hint="eastAsia" w:cs="Times New Roman"/>
                      <w:color w:val="auto"/>
                      <w:kern w:val="0"/>
                      <w:szCs w:val="21"/>
                      <w:lang w:eastAsia="zh-CN"/>
                    </w:rPr>
                    <w:t>。</w:t>
                  </w:r>
                </w:p>
              </w:tc>
            </w:tr>
            <w:tr w14:paraId="2FF580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30A079F9">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10</w:t>
                  </w:r>
                </w:p>
              </w:tc>
              <w:tc>
                <w:tcPr>
                  <w:tcW w:w="2050" w:type="dxa"/>
                  <w:tcBorders>
                    <w:tl2br w:val="nil"/>
                    <w:tr2bl w:val="nil"/>
                  </w:tcBorders>
                  <w:noWrap w:val="0"/>
                  <w:vAlign w:val="center"/>
                </w:tcPr>
                <w:p w14:paraId="5A1C4E4A">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应急培训计划</w:t>
                  </w:r>
                </w:p>
              </w:tc>
              <w:tc>
                <w:tcPr>
                  <w:tcW w:w="6281" w:type="dxa"/>
                  <w:tcBorders>
                    <w:tl2br w:val="nil"/>
                    <w:tr2bl w:val="nil"/>
                  </w:tcBorders>
                  <w:noWrap w:val="0"/>
                  <w:vAlign w:val="center"/>
                </w:tcPr>
                <w:p w14:paraId="3EE5FE29">
                  <w:pPr>
                    <w:spacing w:line="300" w:lineRule="exact"/>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制定应急培训计划后，安排人员培训与演练</w:t>
                  </w:r>
                  <w:r>
                    <w:rPr>
                      <w:rFonts w:hint="eastAsia" w:cs="Times New Roman"/>
                      <w:color w:val="auto"/>
                      <w:kern w:val="0"/>
                      <w:szCs w:val="21"/>
                      <w:lang w:eastAsia="zh-CN"/>
                    </w:rPr>
                    <w:t>。</w:t>
                  </w:r>
                </w:p>
              </w:tc>
            </w:tr>
            <w:tr w14:paraId="62C13D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40" w:type="dxa"/>
                  <w:tcBorders>
                    <w:tl2br w:val="nil"/>
                    <w:tr2bl w:val="nil"/>
                  </w:tcBorders>
                  <w:noWrap w:val="0"/>
                  <w:vAlign w:val="center"/>
                </w:tcPr>
                <w:p w14:paraId="3AECCAEC">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11</w:t>
                  </w:r>
                </w:p>
              </w:tc>
              <w:tc>
                <w:tcPr>
                  <w:tcW w:w="2050" w:type="dxa"/>
                  <w:tcBorders>
                    <w:tl2br w:val="nil"/>
                    <w:tr2bl w:val="nil"/>
                  </w:tcBorders>
                  <w:noWrap w:val="0"/>
                  <w:vAlign w:val="center"/>
                </w:tcPr>
                <w:p w14:paraId="766BFA60">
                  <w:pPr>
                    <w:spacing w:line="300" w:lineRule="exact"/>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公众教育和信息</w:t>
                  </w:r>
                </w:p>
              </w:tc>
              <w:tc>
                <w:tcPr>
                  <w:tcW w:w="6281" w:type="dxa"/>
                  <w:tcBorders>
                    <w:tl2br w:val="nil"/>
                    <w:tr2bl w:val="nil"/>
                  </w:tcBorders>
                  <w:noWrap w:val="0"/>
                  <w:vAlign w:val="center"/>
                </w:tcPr>
                <w:p w14:paraId="0ACA5454">
                  <w:pPr>
                    <w:spacing w:line="300" w:lineRule="exact"/>
                    <w:rPr>
                      <w:rFonts w:hint="eastAsia" w:ascii="Times New Roman" w:hAnsi="Times New Roman" w:eastAsia="宋体" w:cs="Times New Roman"/>
                      <w:color w:val="auto"/>
                      <w:kern w:val="0"/>
                      <w:szCs w:val="21"/>
                      <w:lang w:eastAsia="zh-CN"/>
                    </w:rPr>
                  </w:pPr>
                  <w:r>
                    <w:rPr>
                      <w:rFonts w:hint="default" w:ascii="Times New Roman" w:hAnsi="Times New Roman" w:eastAsia="宋体" w:cs="Times New Roman"/>
                      <w:color w:val="auto"/>
                      <w:kern w:val="0"/>
                      <w:szCs w:val="21"/>
                    </w:rPr>
                    <w:t>对邻近区域开展公众教育、培训和发布有关信息</w:t>
                  </w:r>
                  <w:r>
                    <w:rPr>
                      <w:rFonts w:hint="eastAsia" w:cs="Times New Roman"/>
                      <w:color w:val="auto"/>
                      <w:kern w:val="0"/>
                      <w:szCs w:val="21"/>
                      <w:lang w:eastAsia="zh-CN"/>
                    </w:rPr>
                    <w:t>。</w:t>
                  </w:r>
                </w:p>
              </w:tc>
            </w:tr>
          </w:tbl>
          <w:p w14:paraId="704D16AB">
            <w:pPr>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建设单位应根据环境污染事故应急预案编制技术指南要求编制应急预案，并经过专家评审，报送相关部门备案。</w:t>
            </w:r>
          </w:p>
          <w:p w14:paraId="4BD38F02">
            <w:pPr>
              <w:snapToGrid w:val="0"/>
              <w:spacing w:line="360" w:lineRule="auto"/>
              <w:ind w:firstLine="480" w:firstLineChars="200"/>
              <w:rPr>
                <w:rFonts w:hint="default" w:ascii="Times New Roman" w:hAnsi="Times New Roman" w:eastAsia="宋体" w:cs="Times New Roman"/>
                <w:b w:val="0"/>
                <w:bCs w:val="0"/>
                <w:color w:val="auto"/>
                <w:kern w:val="0"/>
                <w:sz w:val="24"/>
              </w:rPr>
            </w:pPr>
            <w:r>
              <w:rPr>
                <w:rFonts w:hint="default" w:ascii="Times New Roman" w:hAnsi="Times New Roman" w:eastAsia="宋体" w:cs="Times New Roman"/>
                <w:b w:val="0"/>
                <w:bCs w:val="0"/>
                <w:color w:val="auto"/>
                <w:kern w:val="0"/>
                <w:sz w:val="24"/>
              </w:rPr>
              <w:t>6.6.2应急响应系统</w:t>
            </w:r>
          </w:p>
          <w:p w14:paraId="13378C45">
            <w:pPr>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为防范和应对突发性环境污染事故的发生，要求建立既能对污染隐患进行监控和警告，又能对突发性污染事故进行统一指挥协调、现场快速监测和应急处理的应急系统。应急响应系统由三部分组成：应急响应、应急监测和应急处理系统。</w:t>
            </w:r>
          </w:p>
          <w:p w14:paraId="5A80CC80">
            <w:pPr>
              <w:numPr>
                <w:ilvl w:val="0"/>
                <w:numId w:val="2"/>
              </w:numPr>
              <w:snapToGrid w:val="0"/>
              <w:spacing w:line="360" w:lineRule="auto"/>
              <w:ind w:left="840" w:hanging="36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事故应急响应</w:t>
            </w:r>
          </w:p>
          <w:p w14:paraId="6A59F2B8">
            <w:pPr>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突发性环境污染事故应急处置，响应速度至关重要</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任何人接到</w:t>
            </w:r>
            <w:r>
              <w:rPr>
                <w:rFonts w:hint="default" w:ascii="Times New Roman" w:hAnsi="Times New Roman" w:eastAsia="宋体" w:cs="Times New Roman"/>
                <w:color w:val="auto"/>
                <w:kern w:val="0"/>
                <w:sz w:val="24"/>
                <w:lang w:eastAsia="zh-CN"/>
              </w:rPr>
              <w:t>环境</w:t>
            </w:r>
            <w:r>
              <w:rPr>
                <w:rFonts w:hint="default" w:ascii="Times New Roman" w:hAnsi="Times New Roman" w:eastAsia="宋体" w:cs="Times New Roman"/>
                <w:color w:val="auto"/>
                <w:kern w:val="0"/>
                <w:sz w:val="24"/>
              </w:rPr>
              <w:t>污染事故报警，必须马上报告应急办公室。应急组织各环节相互配合，确保响应迅速。</w:t>
            </w:r>
          </w:p>
          <w:p w14:paraId="627E05C9">
            <w:pPr>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突发性环境污染</w:t>
            </w:r>
            <w:r>
              <w:rPr>
                <w:rFonts w:hint="eastAsia" w:ascii="Times New Roman" w:hAnsi="Times New Roman" w:eastAsia="宋体" w:cs="Times New Roman"/>
                <w:color w:val="auto"/>
                <w:kern w:val="0"/>
                <w:sz w:val="24"/>
                <w:lang w:eastAsia="zh-CN"/>
              </w:rPr>
              <w:t>事故应急通信</w:t>
            </w:r>
            <w:r>
              <w:rPr>
                <w:rFonts w:hint="default" w:ascii="Times New Roman" w:hAnsi="Times New Roman" w:eastAsia="宋体" w:cs="Times New Roman"/>
                <w:color w:val="auto"/>
                <w:kern w:val="0"/>
                <w:sz w:val="24"/>
              </w:rPr>
              <w:t>系统包括事故报警、应急指挥、应急信息发布三部分。事故报警应设立专用电话，电话号码</w:t>
            </w:r>
            <w:r>
              <w:rPr>
                <w:rFonts w:hint="eastAsia" w:cs="Times New Roman"/>
                <w:color w:val="auto"/>
                <w:kern w:val="0"/>
                <w:sz w:val="24"/>
                <w:lang w:eastAsia="zh-CN"/>
              </w:rPr>
              <w:t>应</w:t>
            </w:r>
            <w:r>
              <w:rPr>
                <w:rFonts w:hint="default" w:ascii="Times New Roman" w:hAnsi="Times New Roman" w:eastAsia="宋体" w:cs="Times New Roman"/>
                <w:color w:val="auto"/>
                <w:kern w:val="0"/>
                <w:sz w:val="24"/>
              </w:rPr>
              <w:t>为大众所熟知</w:t>
            </w:r>
            <w:r>
              <w:rPr>
                <w:rFonts w:hint="default" w:ascii="Times New Roman" w:hAnsi="Times New Roman" w:eastAsia="宋体" w:cs="Times New Roman"/>
                <w:color w:val="auto"/>
                <w:kern w:val="0"/>
                <w:sz w:val="24"/>
                <w:lang w:eastAsia="zh-CN"/>
              </w:rPr>
              <w:t>。</w:t>
            </w:r>
            <w:r>
              <w:rPr>
                <w:rFonts w:hint="default" w:ascii="Times New Roman" w:hAnsi="Times New Roman" w:eastAsia="宋体" w:cs="Times New Roman"/>
                <w:color w:val="auto"/>
                <w:kern w:val="0"/>
                <w:sz w:val="24"/>
              </w:rPr>
              <w:t>同时充分利用社会上现有的110、119、120等救援电话，做到24h畅通。</w:t>
            </w:r>
          </w:p>
          <w:p w14:paraId="5F1E0D46">
            <w:pPr>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②事故应急监测</w:t>
            </w:r>
          </w:p>
          <w:p w14:paraId="5CA663D0">
            <w:pPr>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要求应急监测人员快速赶赴现场，根据事故现场的具体情况布点采样，利用快速监测手段判断污染物的种类，给出定性、半定量和定量监测结果，确认污染事故的危害程度和污染范围等。</w:t>
            </w:r>
          </w:p>
          <w:p w14:paraId="0BFD1EFE">
            <w:pPr>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③应急处理系统</w:t>
            </w:r>
          </w:p>
          <w:p w14:paraId="023ADB30">
            <w:pPr>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根据本项目实际情况，设立应急救援小组，全面负责应急救援指挥部门人员的组成、职责和分工，争取社会救援，保证应急救援所需经费以及事故调查报告和处理结果的上报。</w:t>
            </w:r>
          </w:p>
          <w:p w14:paraId="3987A1B2">
            <w:pPr>
              <w:widowControl/>
              <w:adjustRightInd w:val="0"/>
              <w:snapToGrid w:val="0"/>
              <w:spacing w:line="360" w:lineRule="auto"/>
              <w:ind w:firstLine="482" w:firstLineChars="200"/>
              <w:rPr>
                <w:rFonts w:hint="default" w:ascii="Times New Roman" w:hAnsi="Times New Roman" w:eastAsia="宋体" w:cs="Times New Roman"/>
                <w:b/>
                <w:bCs w:val="0"/>
                <w:color w:val="auto"/>
                <w:kern w:val="1"/>
                <w:sz w:val="24"/>
              </w:rPr>
            </w:pPr>
            <w:r>
              <w:rPr>
                <w:rFonts w:hint="default" w:ascii="Times New Roman" w:hAnsi="Times New Roman" w:eastAsia="宋体" w:cs="Times New Roman"/>
                <w:b/>
                <w:bCs w:val="0"/>
                <w:color w:val="auto"/>
                <w:kern w:val="1"/>
                <w:sz w:val="24"/>
              </w:rPr>
              <w:t>6.7分析结论</w:t>
            </w:r>
          </w:p>
          <w:p w14:paraId="4ED638DD">
            <w:pPr>
              <w:snapToGrid w:val="0"/>
              <w:spacing w:line="360" w:lineRule="auto"/>
              <w:ind w:firstLine="480" w:firstLineChars="200"/>
              <w:rPr>
                <w:rFonts w:hint="default" w:ascii="Times New Roman" w:hAnsi="Times New Roman" w:eastAsia="宋体" w:cs="Times New Roman"/>
                <w:color w:val="auto"/>
                <w:kern w:val="0"/>
                <w:sz w:val="24"/>
              </w:rPr>
            </w:pPr>
            <w:r>
              <w:rPr>
                <w:rFonts w:hint="default" w:ascii="Times New Roman" w:hAnsi="Times New Roman" w:eastAsia="宋体" w:cs="Times New Roman"/>
                <w:color w:val="auto"/>
                <w:kern w:val="0"/>
                <w:sz w:val="24"/>
              </w:rPr>
              <w:t>根据分析，建设单位通过采取事故防范措施及采取一定的应急处理措施，可以将本项目的风险降到较低的水平和可接受的环境风险范围内。</w:t>
            </w:r>
          </w:p>
          <w:p w14:paraId="7CCE46F7">
            <w:pPr>
              <w:pStyle w:val="14"/>
              <w:bidi w:val="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表4-13 建设项目环境风险简单分析内容表</w:t>
            </w:r>
          </w:p>
          <w:tbl>
            <w:tblPr>
              <w:tblStyle w:val="7"/>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6662"/>
            </w:tblGrid>
            <w:tr w14:paraId="6C965E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tcBorders>
                    <w:top w:val="single" w:color="auto" w:sz="4" w:space="0"/>
                    <w:left w:val="single" w:color="auto" w:sz="0" w:space="0"/>
                    <w:tl2br w:val="nil"/>
                    <w:tr2bl w:val="nil"/>
                  </w:tcBorders>
                  <w:noWrap w:val="0"/>
                  <w:vAlign w:val="center"/>
                </w:tcPr>
                <w:p w14:paraId="59CF22CE">
                  <w:pPr>
                    <w:widowControl w:val="0"/>
                    <w:adjustRightInd w:val="0"/>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建设项目名称</w:t>
                  </w:r>
                </w:p>
              </w:tc>
              <w:tc>
                <w:tcPr>
                  <w:tcW w:w="6662" w:type="dxa"/>
                  <w:tcBorders>
                    <w:top w:val="single" w:color="auto" w:sz="4" w:space="0"/>
                    <w:right w:val="single" w:color="auto" w:sz="4" w:space="0"/>
                    <w:tl2br w:val="nil"/>
                    <w:tr2bl w:val="nil"/>
                  </w:tcBorders>
                  <w:noWrap w:val="0"/>
                  <w:vAlign w:val="center"/>
                </w:tcPr>
                <w:p w14:paraId="35BDAE3F">
                  <w:pPr>
                    <w:widowControl w:val="0"/>
                    <w:adjustRightInd w:val="0"/>
                    <w:snapToGrid w:val="0"/>
                    <w:spacing w:line="240" w:lineRule="auto"/>
                    <w:ind w:firstLine="0" w:firstLine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泽鑫甘草深加工及饮料生产项目</w:t>
                  </w:r>
                </w:p>
              </w:tc>
            </w:tr>
            <w:tr w14:paraId="7022F8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tcBorders>
                    <w:left w:val="single" w:color="auto" w:sz="4" w:space="0"/>
                    <w:tl2br w:val="nil"/>
                    <w:tr2bl w:val="nil"/>
                  </w:tcBorders>
                  <w:noWrap w:val="0"/>
                  <w:vAlign w:val="center"/>
                </w:tcPr>
                <w:p w14:paraId="46AF4174">
                  <w:pPr>
                    <w:widowControl w:val="0"/>
                    <w:adjustRightInd w:val="0"/>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建设地点</w:t>
                  </w:r>
                </w:p>
              </w:tc>
              <w:tc>
                <w:tcPr>
                  <w:tcW w:w="6662" w:type="dxa"/>
                  <w:tcBorders>
                    <w:right w:val="single" w:color="auto" w:sz="4" w:space="0"/>
                    <w:tl2br w:val="nil"/>
                    <w:tr2bl w:val="nil"/>
                  </w:tcBorders>
                  <w:noWrap w:val="0"/>
                  <w:vAlign w:val="center"/>
                </w:tcPr>
                <w:p w14:paraId="219E1E83">
                  <w:pPr>
                    <w:widowControl w:val="0"/>
                    <w:adjustRightInd w:val="0"/>
                    <w:snapToGrid w:val="0"/>
                    <w:spacing w:line="240" w:lineRule="auto"/>
                    <w:ind w:firstLine="0" w:firstLine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杭锦旗锡尼镇团结社区，109国道南、阿四线西</w:t>
                  </w:r>
                  <w:r>
                    <w:rPr>
                      <w:rFonts w:hint="eastAsia" w:cs="Times New Roman"/>
                      <w:bCs/>
                      <w:color w:val="auto"/>
                      <w:kern w:val="2"/>
                      <w:sz w:val="21"/>
                      <w:szCs w:val="21"/>
                      <w:lang w:val="en-US" w:eastAsia="zh-CN" w:bidi="ar-SA"/>
                    </w:rPr>
                    <w:t>。</w:t>
                  </w:r>
                </w:p>
              </w:tc>
            </w:tr>
            <w:tr w14:paraId="263DA1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tcBorders>
                    <w:left w:val="single" w:color="auto" w:sz="4" w:space="0"/>
                    <w:tl2br w:val="nil"/>
                    <w:tr2bl w:val="nil"/>
                  </w:tcBorders>
                  <w:noWrap w:val="0"/>
                  <w:vAlign w:val="center"/>
                </w:tcPr>
                <w:p w14:paraId="7D40C6F1">
                  <w:pPr>
                    <w:widowControl w:val="0"/>
                    <w:adjustRightInd w:val="0"/>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地理坐标</w:t>
                  </w:r>
                </w:p>
              </w:tc>
              <w:tc>
                <w:tcPr>
                  <w:tcW w:w="6662" w:type="dxa"/>
                  <w:tcBorders>
                    <w:right w:val="single" w:color="auto" w:sz="4" w:space="0"/>
                    <w:tl2br w:val="nil"/>
                    <w:tr2bl w:val="nil"/>
                  </w:tcBorders>
                  <w:noWrap w:val="0"/>
                  <w:vAlign w:val="center"/>
                </w:tcPr>
                <w:p w14:paraId="7C284D86">
                  <w:pPr>
                    <w:widowControl w:val="0"/>
                    <w:adjustRightInd w:val="0"/>
                    <w:snapToGrid w:val="0"/>
                    <w:spacing w:line="240" w:lineRule="auto"/>
                    <w:ind w:firstLine="0" w:firstLine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E108°44'3.889"，N39°48'50.686"</w:t>
                  </w:r>
                  <w:r>
                    <w:rPr>
                      <w:rFonts w:hint="eastAsia" w:cs="Times New Roman"/>
                      <w:bCs/>
                      <w:color w:val="auto"/>
                      <w:kern w:val="2"/>
                      <w:sz w:val="21"/>
                      <w:szCs w:val="21"/>
                      <w:lang w:val="en-US" w:eastAsia="zh-CN" w:bidi="ar-SA"/>
                    </w:rPr>
                    <w:t>。</w:t>
                  </w:r>
                </w:p>
              </w:tc>
            </w:tr>
            <w:tr w14:paraId="2A0E5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tcBorders>
                    <w:left w:val="single" w:color="auto" w:sz="4" w:space="0"/>
                    <w:tl2br w:val="nil"/>
                    <w:tr2bl w:val="nil"/>
                  </w:tcBorders>
                  <w:noWrap w:val="0"/>
                  <w:vAlign w:val="center"/>
                </w:tcPr>
                <w:p w14:paraId="509FF1B2">
                  <w:pPr>
                    <w:widowControl w:val="0"/>
                    <w:adjustRightInd w:val="0"/>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主要危险物质及分布</w:t>
                  </w:r>
                </w:p>
              </w:tc>
              <w:tc>
                <w:tcPr>
                  <w:tcW w:w="6662" w:type="dxa"/>
                  <w:tcBorders>
                    <w:right w:val="single" w:color="auto" w:sz="4" w:space="0"/>
                    <w:tl2br w:val="nil"/>
                    <w:tr2bl w:val="nil"/>
                  </w:tcBorders>
                  <w:noWrap w:val="0"/>
                  <w:vAlign w:val="center"/>
                </w:tcPr>
                <w:p w14:paraId="5528D81C">
                  <w:pPr>
                    <w:widowControl w:val="0"/>
                    <w:adjustRightInd w:val="0"/>
                    <w:snapToGrid w:val="0"/>
                    <w:spacing w:line="240" w:lineRule="auto"/>
                    <w:ind w:firstLine="0" w:firstLine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天然气，管道</w:t>
                  </w:r>
                  <w:r>
                    <w:rPr>
                      <w:rFonts w:hint="eastAsia" w:cs="Times New Roman"/>
                      <w:bCs/>
                      <w:color w:val="auto"/>
                      <w:kern w:val="2"/>
                      <w:sz w:val="21"/>
                      <w:szCs w:val="21"/>
                      <w:lang w:val="en-US" w:eastAsia="zh-CN" w:bidi="ar-SA"/>
                    </w:rPr>
                    <w:t>。</w:t>
                  </w:r>
                </w:p>
              </w:tc>
            </w:tr>
            <w:tr w14:paraId="5B0614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tcBorders>
                    <w:left w:val="single" w:color="auto" w:sz="4" w:space="0"/>
                    <w:tl2br w:val="nil"/>
                    <w:tr2bl w:val="nil"/>
                  </w:tcBorders>
                  <w:noWrap w:val="0"/>
                  <w:vAlign w:val="center"/>
                </w:tcPr>
                <w:p w14:paraId="5078C8C6">
                  <w:pPr>
                    <w:widowControl w:val="0"/>
                    <w:adjustRightInd w:val="0"/>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环境影响途径及危害后果（大气、地表水、地下水等）</w:t>
                  </w:r>
                </w:p>
              </w:tc>
              <w:tc>
                <w:tcPr>
                  <w:tcW w:w="6662" w:type="dxa"/>
                  <w:tcBorders>
                    <w:right w:val="single" w:color="auto" w:sz="4" w:space="0"/>
                    <w:tl2br w:val="nil"/>
                    <w:tr2bl w:val="nil"/>
                  </w:tcBorders>
                  <w:noWrap w:val="0"/>
                  <w:vAlign w:val="center"/>
                </w:tcPr>
                <w:p w14:paraId="23D018B0">
                  <w:pPr>
                    <w:widowControl w:val="0"/>
                    <w:spacing w:line="240" w:lineRule="auto"/>
                    <w:ind w:firstLine="0" w:firstLineChars="0"/>
                    <w:jc w:val="both"/>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天然气管道泄漏，从而发生火灾及爆炸。天然气泄漏发生火灾和爆炸后，可能造成大气、土壤和水污染。建设单位通过采取事故防范措施及采取一定的应急处理措施，可以将本项目的风险降到较低的水平，本项目的环境风险可以接受。</w:t>
                  </w:r>
                </w:p>
              </w:tc>
            </w:tr>
            <w:tr w14:paraId="596EC3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tcBorders>
                    <w:left w:val="single" w:color="auto" w:sz="4" w:space="0"/>
                    <w:tl2br w:val="nil"/>
                    <w:tr2bl w:val="nil"/>
                  </w:tcBorders>
                  <w:noWrap w:val="0"/>
                  <w:vAlign w:val="center"/>
                </w:tcPr>
                <w:p w14:paraId="182E4E76">
                  <w:pPr>
                    <w:widowControl w:val="0"/>
                    <w:adjustRightInd w:val="0"/>
                    <w:snapToGrid w:val="0"/>
                    <w:spacing w:line="240" w:lineRule="auto"/>
                    <w:ind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风险防范措施要求</w:t>
                  </w:r>
                </w:p>
              </w:tc>
              <w:tc>
                <w:tcPr>
                  <w:tcW w:w="6662" w:type="dxa"/>
                  <w:tcBorders>
                    <w:right w:val="single" w:color="auto" w:sz="4" w:space="0"/>
                    <w:tl2br w:val="nil"/>
                    <w:tr2bl w:val="nil"/>
                  </w:tcBorders>
                  <w:noWrap w:val="0"/>
                  <w:vAlign w:val="center"/>
                </w:tcPr>
                <w:p w14:paraId="1DFA9BB7">
                  <w:pPr>
                    <w:widowControl w:val="0"/>
                    <w:adjustRightInd w:val="0"/>
                    <w:snapToGrid w:val="0"/>
                    <w:spacing w:line="240" w:lineRule="auto"/>
                    <w:ind w:firstLine="420" w:firstLineChars="200"/>
                    <w:jc w:val="both"/>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厂区配备防火器材和燃气报警器，严禁原料与易燃易爆物混合存放。加强巡查，发现问题及时处理。强化管理，加强工作人员的业务培训，完善各项规章制度。</w:t>
                  </w:r>
                </w:p>
              </w:tc>
            </w:tr>
            <w:tr w14:paraId="42F965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22" w:type="dxa"/>
                  <w:gridSpan w:val="2"/>
                  <w:tcBorders>
                    <w:left w:val="single" w:color="auto" w:sz="4" w:space="0"/>
                    <w:bottom w:val="single" w:color="auto" w:sz="4" w:space="0"/>
                    <w:right w:val="single" w:color="auto" w:sz="4" w:space="0"/>
                    <w:tl2br w:val="nil"/>
                    <w:tr2bl w:val="nil"/>
                  </w:tcBorders>
                  <w:noWrap w:val="0"/>
                  <w:vAlign w:val="center"/>
                </w:tcPr>
                <w:p w14:paraId="14AC465C">
                  <w:pPr>
                    <w:widowControl w:val="0"/>
                    <w:adjustRightInd w:val="0"/>
                    <w:snapToGrid w:val="0"/>
                    <w:spacing w:line="240" w:lineRule="auto"/>
                    <w:ind w:firstLine="0" w:firstLineChars="0"/>
                    <w:jc w:val="left"/>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kern w:val="2"/>
                      <w:sz w:val="21"/>
                      <w:szCs w:val="21"/>
                      <w:lang w:val="en-US" w:eastAsia="zh-CN" w:bidi="ar-SA"/>
                    </w:rPr>
                    <w:t>填表说明（列出项目相关信息及评价说明）：</w:t>
                  </w:r>
                </w:p>
              </w:tc>
            </w:tr>
          </w:tbl>
          <w:p w14:paraId="5538E459">
            <w:pPr>
              <w:widowControl/>
              <w:adjustRightInd w:val="0"/>
              <w:snapToGrid w:val="0"/>
              <w:spacing w:line="360" w:lineRule="auto"/>
              <w:ind w:firstLine="482" w:firstLineChars="200"/>
              <w:rPr>
                <w:rFonts w:hint="default" w:ascii="Times New Roman" w:hAnsi="Times New Roman" w:eastAsia="宋体" w:cs="Times New Roman"/>
                <w:color w:val="auto"/>
                <w:kern w:val="1"/>
                <w:sz w:val="24"/>
              </w:rPr>
            </w:pPr>
            <w:r>
              <w:rPr>
                <w:rFonts w:hint="default" w:ascii="Times New Roman" w:hAnsi="Times New Roman" w:eastAsia="宋体" w:cs="Times New Roman"/>
                <w:b/>
                <w:bCs/>
                <w:color w:val="auto"/>
                <w:sz w:val="24"/>
                <w:szCs w:val="32"/>
                <w:lang w:val="en-US" w:eastAsia="zh-CN"/>
              </w:rPr>
              <w:t>7</w:t>
            </w:r>
            <w:r>
              <w:rPr>
                <w:rFonts w:hint="default" w:ascii="Times New Roman" w:hAnsi="Times New Roman" w:eastAsia="宋体" w:cs="Times New Roman"/>
                <w:b/>
                <w:bCs/>
                <w:color w:val="auto"/>
                <w:sz w:val="24"/>
                <w:szCs w:val="32"/>
              </w:rPr>
              <w:t>.</w:t>
            </w:r>
            <w:r>
              <w:rPr>
                <w:rFonts w:hint="eastAsia" w:cs="Times New Roman"/>
                <w:b/>
                <w:bCs/>
                <w:color w:val="auto"/>
                <w:sz w:val="24"/>
                <w:szCs w:val="32"/>
                <w:lang w:eastAsia="zh-CN"/>
              </w:rPr>
              <w:t>“</w:t>
            </w:r>
            <w:r>
              <w:rPr>
                <w:rFonts w:hint="default" w:ascii="Times New Roman" w:hAnsi="Times New Roman" w:eastAsia="宋体" w:cs="Times New Roman"/>
                <w:b/>
                <w:bCs/>
                <w:color w:val="auto"/>
                <w:sz w:val="24"/>
                <w:szCs w:val="32"/>
              </w:rPr>
              <w:t>三同时</w:t>
            </w:r>
            <w:r>
              <w:rPr>
                <w:rFonts w:hint="eastAsia" w:cs="Times New Roman"/>
                <w:b/>
                <w:bCs/>
                <w:color w:val="auto"/>
                <w:sz w:val="24"/>
                <w:szCs w:val="32"/>
                <w:lang w:eastAsia="zh-CN"/>
              </w:rPr>
              <w:t>”</w:t>
            </w:r>
            <w:r>
              <w:rPr>
                <w:rFonts w:hint="default" w:ascii="Times New Roman" w:hAnsi="Times New Roman" w:eastAsia="宋体" w:cs="Times New Roman"/>
                <w:b/>
                <w:bCs/>
                <w:color w:val="auto"/>
                <w:sz w:val="24"/>
                <w:szCs w:val="32"/>
              </w:rPr>
              <w:t>验收清单</w:t>
            </w:r>
          </w:p>
          <w:p w14:paraId="029D0DEA">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eastAsia="宋体" w:cs="Times New Roman"/>
                <w:color w:val="auto"/>
                <w:lang w:val="en-US" w:eastAsia="zh-CN"/>
              </w:rPr>
              <w:t>14</w:t>
            </w:r>
            <w:r>
              <w:rPr>
                <w:rFonts w:hint="default" w:ascii="Times New Roman" w:hAnsi="Times New Roman" w:eastAsia="宋体" w:cs="Times New Roman"/>
                <w:color w:val="auto"/>
              </w:rPr>
              <w:t xml:space="preserve"> 建设项目</w:t>
            </w:r>
            <w:r>
              <w:rPr>
                <w:rFonts w:hint="eastAsia" w:cs="Times New Roman"/>
                <w:color w:val="auto"/>
                <w:lang w:eastAsia="zh-CN"/>
              </w:rPr>
              <w:t>“</w:t>
            </w:r>
            <w:r>
              <w:rPr>
                <w:rFonts w:hint="default" w:ascii="Times New Roman" w:hAnsi="Times New Roman" w:eastAsia="宋体" w:cs="Times New Roman"/>
                <w:color w:val="auto"/>
              </w:rPr>
              <w:t>三同时</w:t>
            </w:r>
            <w:r>
              <w:rPr>
                <w:rFonts w:hint="eastAsia" w:cs="Times New Roman"/>
                <w:color w:val="auto"/>
                <w:lang w:eastAsia="zh-CN"/>
              </w:rPr>
              <w:t>”</w:t>
            </w:r>
            <w:r>
              <w:rPr>
                <w:rFonts w:hint="default" w:ascii="Times New Roman" w:hAnsi="Times New Roman" w:eastAsia="宋体" w:cs="Times New Roman"/>
                <w:color w:val="auto"/>
              </w:rPr>
              <w:t>工程验收一览表</w:t>
            </w:r>
          </w:p>
          <w:tbl>
            <w:tblPr>
              <w:tblStyle w:val="7"/>
              <w:tblW w:w="495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566"/>
              <w:gridCol w:w="3795"/>
              <w:gridCol w:w="2287"/>
            </w:tblGrid>
            <w:tr w14:paraId="1C1018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7" w:type="pct"/>
                  <w:tcBorders>
                    <w:top w:val="single" w:color="auto" w:sz="4" w:space="0"/>
                    <w:left w:val="single" w:color="auto" w:sz="0" w:space="0"/>
                  </w:tcBorders>
                  <w:vAlign w:val="center"/>
                </w:tcPr>
                <w:p w14:paraId="5E2B8CD8">
                  <w:pPr>
                    <w:adjustRightInd w:val="0"/>
                    <w:snapToGrid w:val="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类型</w:t>
                  </w:r>
                </w:p>
              </w:tc>
              <w:tc>
                <w:tcPr>
                  <w:tcW w:w="962" w:type="pct"/>
                  <w:tcBorders>
                    <w:top w:val="single" w:color="auto" w:sz="4" w:space="0"/>
                  </w:tcBorders>
                  <w:vAlign w:val="center"/>
                </w:tcPr>
                <w:p w14:paraId="47C71536">
                  <w:pPr>
                    <w:adjustRightInd w:val="0"/>
                    <w:snapToGrid w:val="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污染工序</w:t>
                  </w:r>
                </w:p>
              </w:tc>
              <w:tc>
                <w:tcPr>
                  <w:tcW w:w="2333" w:type="pct"/>
                  <w:tcBorders>
                    <w:top w:val="single" w:color="auto" w:sz="4" w:space="0"/>
                  </w:tcBorders>
                  <w:vAlign w:val="center"/>
                </w:tcPr>
                <w:p w14:paraId="3B8581D3">
                  <w:pPr>
                    <w:adjustRightInd w:val="0"/>
                    <w:snapToGrid w:val="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环保措施</w:t>
                  </w:r>
                </w:p>
              </w:tc>
              <w:tc>
                <w:tcPr>
                  <w:tcW w:w="1406" w:type="pct"/>
                  <w:tcBorders>
                    <w:top w:val="single" w:color="auto" w:sz="4" w:space="0"/>
                    <w:right w:val="single" w:color="auto" w:sz="4" w:space="0"/>
                  </w:tcBorders>
                  <w:vAlign w:val="center"/>
                </w:tcPr>
                <w:p w14:paraId="0BD240E4">
                  <w:pPr>
                    <w:adjustRightInd w:val="0"/>
                    <w:snapToGrid w:val="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验收标准</w:t>
                  </w:r>
                </w:p>
              </w:tc>
            </w:tr>
            <w:tr w14:paraId="53FF57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7" w:type="pct"/>
                  <w:tcBorders>
                    <w:left w:val="single" w:color="auto" w:sz="4" w:space="0"/>
                  </w:tcBorders>
                  <w:vAlign w:val="center"/>
                </w:tcPr>
                <w:p w14:paraId="3075F2DF">
                  <w:pPr>
                    <w:adjustRightInd w:val="0"/>
                    <w:snapToGrid w:val="0"/>
                    <w:jc w:val="center"/>
                    <w:rPr>
                      <w:rFonts w:hint="default" w:ascii="Times New Roman" w:hAnsi="Times New Roman" w:eastAsia="宋体" w:cs="Times New Roman"/>
                      <w:b/>
                      <w:bCs/>
                      <w:color w:val="auto"/>
                    </w:rPr>
                  </w:pPr>
                  <w:r>
                    <w:rPr>
                      <w:rFonts w:hint="default" w:ascii="Times New Roman" w:hAnsi="Times New Roman" w:eastAsia="宋体" w:cs="Times New Roman"/>
                      <w:color w:val="auto"/>
                    </w:rPr>
                    <w:t>废气</w:t>
                  </w:r>
                </w:p>
              </w:tc>
              <w:tc>
                <w:tcPr>
                  <w:tcW w:w="962" w:type="pct"/>
                  <w:vAlign w:val="center"/>
                </w:tcPr>
                <w:p w14:paraId="37F32F4D">
                  <w:pPr>
                    <w:adjustRightInd w:val="0"/>
                    <w:snapToGrid w:val="0"/>
                    <w:jc w:val="center"/>
                    <w:rPr>
                      <w:rFonts w:hint="default" w:ascii="Times New Roman" w:hAnsi="Times New Roman" w:eastAsia="宋体" w:cs="Times New Roman"/>
                      <w:b w:val="0"/>
                      <w:bCs w:val="0"/>
                      <w:color w:val="auto"/>
                      <w:lang w:val="en-US" w:eastAsia="zh-CN"/>
                    </w:rPr>
                  </w:pPr>
                  <w:r>
                    <w:rPr>
                      <w:rFonts w:hint="default" w:ascii="Times New Roman" w:hAnsi="Times New Roman" w:eastAsia="宋体" w:cs="Times New Roman"/>
                      <w:b w:val="0"/>
                      <w:bCs w:val="0"/>
                      <w:color w:val="auto"/>
                      <w:lang w:val="en-US" w:eastAsia="zh-CN"/>
                    </w:rPr>
                    <w:t>燃气锅炉天然气燃烧</w:t>
                  </w:r>
                </w:p>
              </w:tc>
              <w:tc>
                <w:tcPr>
                  <w:tcW w:w="2333" w:type="pct"/>
                  <w:vAlign w:val="center"/>
                </w:tcPr>
                <w:p w14:paraId="076A7218">
                  <w:pPr>
                    <w:adjustRightInd w:val="0"/>
                    <w:snapToGrid w:val="0"/>
                    <w:jc w:val="center"/>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lang w:val="en-US" w:eastAsia="zh-CN"/>
                    </w:rPr>
                    <w:t>低氮燃烧+8m高排气筒</w:t>
                  </w:r>
                </w:p>
              </w:tc>
              <w:tc>
                <w:tcPr>
                  <w:tcW w:w="1406" w:type="pct"/>
                  <w:tcBorders>
                    <w:right w:val="single" w:color="auto" w:sz="4" w:space="0"/>
                  </w:tcBorders>
                  <w:vAlign w:val="center"/>
                </w:tcPr>
                <w:p w14:paraId="19A7C362">
                  <w:pPr>
                    <w:adjustRightInd w:val="0"/>
                    <w:snapToGrid w:val="0"/>
                    <w:jc w:val="center"/>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《锅炉大气污染物排放标准》（GB13271-2014）新建燃气锅炉标准</w:t>
                  </w:r>
                </w:p>
              </w:tc>
            </w:tr>
            <w:tr w14:paraId="1D74D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297" w:type="pct"/>
                  <w:vMerge w:val="restart"/>
                  <w:tcBorders>
                    <w:left w:val="single" w:color="auto" w:sz="4" w:space="0"/>
                  </w:tcBorders>
                  <w:vAlign w:val="center"/>
                </w:tcPr>
                <w:p w14:paraId="3C29B57D">
                  <w:pPr>
                    <w:adjustRightInd w:val="0"/>
                    <w:snapToGrid w:val="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废水</w:t>
                  </w:r>
                </w:p>
              </w:tc>
              <w:tc>
                <w:tcPr>
                  <w:tcW w:w="962" w:type="pct"/>
                  <w:shd w:val="clear" w:color="auto" w:fill="auto"/>
                  <w:vAlign w:val="center"/>
                </w:tcPr>
                <w:p w14:paraId="27244504">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kern w:val="0"/>
                      <w:szCs w:val="21"/>
                    </w:rPr>
                    <w:t>生活污水</w:t>
                  </w:r>
                </w:p>
              </w:tc>
              <w:tc>
                <w:tcPr>
                  <w:tcW w:w="2333" w:type="pct"/>
                  <w:shd w:val="clear" w:color="auto" w:fill="auto"/>
                  <w:vAlign w:val="center"/>
                </w:tcPr>
                <w:p w14:paraId="357884AB">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kern w:val="0"/>
                      <w:szCs w:val="21"/>
                      <w:lang w:eastAsia="zh-CN"/>
                    </w:rPr>
                    <w:t>生活污水经化粪池收集后</w:t>
                  </w:r>
                  <w:r>
                    <w:rPr>
                      <w:rFonts w:hint="default" w:ascii="Times New Roman" w:hAnsi="Times New Roman" w:eastAsia="宋体" w:cs="Times New Roman"/>
                      <w:bCs/>
                      <w:color w:val="auto"/>
                      <w:kern w:val="0"/>
                      <w:szCs w:val="21"/>
                    </w:rPr>
                    <w:t>，</w:t>
                  </w:r>
                  <w:r>
                    <w:rPr>
                      <w:rFonts w:hint="default" w:ascii="Times New Roman" w:hAnsi="Times New Roman" w:eastAsia="宋体" w:cs="Times New Roman"/>
                      <w:bCs/>
                      <w:color w:val="auto"/>
                      <w:kern w:val="0"/>
                      <w:szCs w:val="21"/>
                      <w:lang w:val="en-US" w:eastAsia="zh-CN"/>
                    </w:rPr>
                    <w:t>通过市政污水管网，排至杭锦旗锡尼镇污水处理厂</w:t>
                  </w:r>
                  <w:r>
                    <w:rPr>
                      <w:rFonts w:hint="eastAsia" w:cs="Times New Roman"/>
                      <w:bCs/>
                      <w:color w:val="auto"/>
                      <w:kern w:val="0"/>
                      <w:szCs w:val="21"/>
                      <w:lang w:val="en-US" w:eastAsia="zh-CN"/>
                    </w:rPr>
                    <w:t>。</w:t>
                  </w:r>
                </w:p>
              </w:tc>
              <w:tc>
                <w:tcPr>
                  <w:tcW w:w="1406" w:type="pct"/>
                  <w:vMerge w:val="restart"/>
                  <w:tcBorders>
                    <w:right w:val="single" w:color="auto" w:sz="4" w:space="0"/>
                  </w:tcBorders>
                  <w:shd w:val="clear" w:color="auto" w:fill="auto"/>
                  <w:vAlign w:val="center"/>
                </w:tcPr>
                <w:p w14:paraId="35BEEA04">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《污水排入城镇下水道水质标准》（GB/T 31962-2015）B级标准</w:t>
                  </w:r>
                </w:p>
              </w:tc>
            </w:tr>
            <w:tr w14:paraId="02D236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97" w:type="pct"/>
                  <w:vMerge w:val="continue"/>
                  <w:tcBorders>
                    <w:left w:val="single" w:color="auto" w:sz="4" w:space="0"/>
                  </w:tcBorders>
                  <w:vAlign w:val="center"/>
                </w:tcPr>
                <w:p w14:paraId="5179B76A">
                  <w:pPr>
                    <w:adjustRightInd w:val="0"/>
                    <w:snapToGrid w:val="0"/>
                    <w:jc w:val="center"/>
                    <w:rPr>
                      <w:rFonts w:hint="default" w:ascii="Times New Roman" w:hAnsi="Times New Roman" w:eastAsia="宋体" w:cs="Times New Roman"/>
                      <w:color w:val="auto"/>
                    </w:rPr>
                  </w:pPr>
                </w:p>
              </w:tc>
              <w:tc>
                <w:tcPr>
                  <w:tcW w:w="962" w:type="pct"/>
                  <w:vMerge w:val="restart"/>
                  <w:shd w:val="clear" w:color="auto" w:fill="auto"/>
                  <w:vAlign w:val="center"/>
                </w:tcPr>
                <w:p w14:paraId="77620FD6">
                  <w:pPr>
                    <w:numPr>
                      <w:ilvl w:val="3"/>
                      <w:numId w:val="0"/>
                    </w:numPr>
                    <w:tabs>
                      <w:tab w:val="left" w:pos="851"/>
                      <w:tab w:val="left" w:pos="2880"/>
                    </w:tabs>
                    <w:adjustRightInd w:val="0"/>
                    <w:snapToGrid w:val="0"/>
                    <w:jc w:val="center"/>
                    <w:rPr>
                      <w:rFonts w:hint="default" w:ascii="Times New Roman" w:hAnsi="Times New Roman" w:eastAsia="宋体" w:cs="Times New Roman"/>
                      <w:color w:val="auto"/>
                      <w:kern w:val="0"/>
                      <w:szCs w:val="21"/>
                      <w:lang w:val="pt-BR"/>
                    </w:rPr>
                  </w:pPr>
                  <w:r>
                    <w:rPr>
                      <w:rFonts w:hint="default" w:ascii="Times New Roman" w:hAnsi="Times New Roman" w:eastAsia="宋体" w:cs="Times New Roman"/>
                      <w:color w:val="auto"/>
                      <w:kern w:val="0"/>
                      <w:szCs w:val="21"/>
                      <w:lang w:val="pt-BR"/>
                    </w:rPr>
                    <w:t>生产废水</w:t>
                  </w:r>
                </w:p>
              </w:tc>
              <w:tc>
                <w:tcPr>
                  <w:tcW w:w="2333" w:type="pct"/>
                  <w:shd w:val="clear" w:color="auto" w:fill="auto"/>
                  <w:vAlign w:val="center"/>
                </w:tcPr>
                <w:p w14:paraId="41F2E39F">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0"/>
                      <w:szCs w:val="21"/>
                      <w:lang w:eastAsia="zh-CN"/>
                    </w:rPr>
                  </w:pPr>
                  <w:r>
                    <w:rPr>
                      <w:rFonts w:hint="eastAsia" w:cs="Times New Roman"/>
                      <w:bCs/>
                      <w:color w:val="auto"/>
                      <w:kern w:val="0"/>
                      <w:szCs w:val="21"/>
                      <w:lang w:val="en-US" w:eastAsia="zh-CN"/>
                    </w:rPr>
                    <w:t>锅炉排水、</w:t>
                  </w:r>
                  <w:r>
                    <w:rPr>
                      <w:rFonts w:hint="default" w:ascii="Times New Roman" w:hAnsi="Times New Roman" w:eastAsia="宋体" w:cs="Times New Roman"/>
                      <w:bCs/>
                      <w:color w:val="auto"/>
                      <w:kern w:val="0"/>
                      <w:szCs w:val="21"/>
                      <w:lang w:val="en-US" w:eastAsia="zh-CN"/>
                    </w:rPr>
                    <w:t>设备清洗废水通过市政污水管网，排至杭锦旗锡尼镇污水处理厂</w:t>
                  </w:r>
                  <w:r>
                    <w:rPr>
                      <w:rFonts w:hint="eastAsia" w:cs="Times New Roman"/>
                      <w:bCs/>
                      <w:color w:val="auto"/>
                      <w:kern w:val="0"/>
                      <w:szCs w:val="21"/>
                      <w:lang w:val="en-US" w:eastAsia="zh-CN"/>
                    </w:rPr>
                    <w:t>。</w:t>
                  </w:r>
                </w:p>
              </w:tc>
              <w:tc>
                <w:tcPr>
                  <w:tcW w:w="1406" w:type="pct"/>
                  <w:vMerge w:val="continue"/>
                  <w:tcBorders>
                    <w:right w:val="single" w:color="auto" w:sz="4" w:space="0"/>
                  </w:tcBorders>
                  <w:shd w:val="clear" w:color="auto" w:fill="auto"/>
                  <w:vAlign w:val="center"/>
                </w:tcPr>
                <w:p w14:paraId="0759D1D1">
                  <w:pPr>
                    <w:ind w:left="0" w:leftChars="0" w:firstLine="0" w:firstLineChars="0"/>
                    <w:rPr>
                      <w:rFonts w:hint="default" w:ascii="Times New Roman" w:hAnsi="Times New Roman" w:eastAsia="宋体" w:cs="Times New Roman"/>
                      <w:color w:val="auto"/>
                      <w:lang w:val="en-US" w:eastAsia="zh-CN"/>
                    </w:rPr>
                  </w:pPr>
                </w:p>
              </w:tc>
            </w:tr>
            <w:tr w14:paraId="2814F4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297" w:type="pct"/>
                  <w:vMerge w:val="continue"/>
                  <w:tcBorders>
                    <w:left w:val="single" w:color="auto" w:sz="4" w:space="0"/>
                  </w:tcBorders>
                  <w:vAlign w:val="center"/>
                </w:tcPr>
                <w:p w14:paraId="07AC5141">
                  <w:pPr>
                    <w:adjustRightInd w:val="0"/>
                    <w:snapToGrid w:val="0"/>
                    <w:jc w:val="center"/>
                    <w:rPr>
                      <w:rFonts w:hint="default" w:ascii="Times New Roman" w:hAnsi="Times New Roman" w:eastAsia="宋体" w:cs="Times New Roman"/>
                      <w:color w:val="auto"/>
                    </w:rPr>
                  </w:pPr>
                </w:p>
              </w:tc>
              <w:tc>
                <w:tcPr>
                  <w:tcW w:w="962" w:type="pct"/>
                  <w:vMerge w:val="continue"/>
                  <w:vAlign w:val="center"/>
                </w:tcPr>
                <w:p w14:paraId="29024621">
                  <w:pPr>
                    <w:numPr>
                      <w:ilvl w:val="3"/>
                      <w:numId w:val="0"/>
                    </w:numPr>
                    <w:tabs>
                      <w:tab w:val="left" w:pos="851"/>
                      <w:tab w:val="left" w:pos="2880"/>
                    </w:tabs>
                    <w:adjustRightInd w:val="0"/>
                    <w:snapToGrid w:val="0"/>
                    <w:jc w:val="center"/>
                    <w:rPr>
                      <w:rFonts w:hint="default" w:ascii="Times New Roman" w:hAnsi="Times New Roman" w:eastAsia="宋体" w:cs="Times New Roman"/>
                      <w:color w:val="auto"/>
                      <w:kern w:val="0"/>
                      <w:szCs w:val="21"/>
                      <w:lang w:val="pt-BR"/>
                    </w:rPr>
                  </w:pPr>
                </w:p>
              </w:tc>
              <w:tc>
                <w:tcPr>
                  <w:tcW w:w="2333" w:type="pct"/>
                  <w:vAlign w:val="center"/>
                </w:tcPr>
                <w:p w14:paraId="389DA148">
                  <w:pPr>
                    <w:numPr>
                      <w:ilvl w:val="3"/>
                      <w:numId w:val="0"/>
                    </w:numPr>
                    <w:tabs>
                      <w:tab w:val="left" w:pos="851"/>
                      <w:tab w:val="left" w:pos="2880"/>
                    </w:tabs>
                    <w:adjustRightInd w:val="0"/>
                    <w:snapToGrid w:val="0"/>
                    <w:jc w:val="center"/>
                    <w:rPr>
                      <w:rFonts w:hint="default" w:ascii="Times New Roman" w:hAnsi="Times New Roman" w:eastAsia="宋体" w:cs="Times New Roman"/>
                      <w:bCs/>
                      <w:color w:val="auto"/>
                      <w:szCs w:val="21"/>
                    </w:rPr>
                  </w:pPr>
                  <w:r>
                    <w:rPr>
                      <w:rFonts w:hint="default" w:ascii="Times New Roman" w:hAnsi="Times New Roman" w:eastAsia="宋体" w:cs="Times New Roman"/>
                      <w:bCs/>
                      <w:color w:val="auto"/>
                      <w:szCs w:val="21"/>
                      <w:lang w:val="en-US" w:eastAsia="zh-CN"/>
                    </w:rPr>
                    <w:t>甘草清洗水液进行沉降分离，上清液回用于甘草清洗，不外排；蒸汽冷凝水回用于生产工艺，不外排</w:t>
                  </w:r>
                  <w:r>
                    <w:rPr>
                      <w:rFonts w:hint="eastAsia" w:cs="Times New Roman"/>
                      <w:bCs/>
                      <w:color w:val="auto"/>
                      <w:szCs w:val="21"/>
                      <w:lang w:val="en-US" w:eastAsia="zh-CN"/>
                    </w:rPr>
                    <w:t>。</w:t>
                  </w:r>
                </w:p>
              </w:tc>
              <w:tc>
                <w:tcPr>
                  <w:tcW w:w="1406" w:type="pct"/>
                  <w:tcBorders>
                    <w:right w:val="single" w:color="auto" w:sz="4" w:space="0"/>
                  </w:tcBorders>
                  <w:vAlign w:val="center"/>
                </w:tcPr>
                <w:p w14:paraId="14353F85">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《城市污水再生利用 工业用水水质》（GB-T19923-2024）</w:t>
                  </w:r>
                </w:p>
              </w:tc>
            </w:tr>
            <w:tr w14:paraId="46F1A5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7" w:type="pct"/>
                  <w:tcBorders>
                    <w:left w:val="single" w:color="auto" w:sz="4" w:space="0"/>
                  </w:tcBorders>
                  <w:vAlign w:val="center"/>
                </w:tcPr>
                <w:p w14:paraId="5C254265">
                  <w:pPr>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噪声</w:t>
                  </w:r>
                </w:p>
              </w:tc>
              <w:tc>
                <w:tcPr>
                  <w:tcW w:w="962" w:type="pct"/>
                  <w:vAlign w:val="center"/>
                </w:tcPr>
                <w:p w14:paraId="1C70F3FC">
                  <w:pPr>
                    <w:adjustRightInd w:val="0"/>
                    <w:snapToGrid w:val="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生产设备</w:t>
                  </w:r>
                </w:p>
              </w:tc>
              <w:tc>
                <w:tcPr>
                  <w:tcW w:w="2333" w:type="pct"/>
                  <w:vAlign w:val="center"/>
                </w:tcPr>
                <w:p w14:paraId="344CD57A">
                  <w:pPr>
                    <w:adjustRightInd w:val="0"/>
                    <w:snapToGrid w:val="0"/>
                    <w:jc w:val="center"/>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合理布局，基础减振，选择低噪声设备，建筑隔声</w:t>
                  </w:r>
                  <w:r>
                    <w:rPr>
                      <w:rFonts w:hint="eastAsia" w:cs="Times New Roman"/>
                      <w:color w:val="auto"/>
                      <w:lang w:val="en-US" w:eastAsia="zh-CN"/>
                    </w:rPr>
                    <w:t>。</w:t>
                  </w:r>
                </w:p>
              </w:tc>
              <w:tc>
                <w:tcPr>
                  <w:tcW w:w="1406" w:type="pct"/>
                  <w:tcBorders>
                    <w:right w:val="single" w:color="auto" w:sz="4" w:space="0"/>
                  </w:tcBorders>
                  <w:vAlign w:val="center"/>
                </w:tcPr>
                <w:p w14:paraId="02A67560">
                  <w:pPr>
                    <w:adjustRightInd w:val="0"/>
                    <w:snapToGrid w:val="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《工业企业厂界环境噪声排放标准》（GB12348-2008）</w:t>
                  </w:r>
                  <w:r>
                    <w:rPr>
                      <w:rFonts w:hint="default" w:ascii="Times New Roman" w:hAnsi="Times New Roman" w:eastAsia="宋体" w:cs="Times New Roman"/>
                      <w:color w:val="auto"/>
                      <w:lang w:eastAsia="zh-CN"/>
                    </w:rPr>
                    <w:t>2类标准</w:t>
                  </w:r>
                  <w:r>
                    <w:rPr>
                      <w:rFonts w:hint="default" w:ascii="Times New Roman" w:hAnsi="Times New Roman" w:eastAsia="宋体" w:cs="Times New Roman"/>
                      <w:color w:val="auto"/>
                    </w:rPr>
                    <w:t>要求</w:t>
                  </w:r>
                </w:p>
              </w:tc>
            </w:tr>
            <w:tr w14:paraId="068E39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7" w:type="pct"/>
                  <w:vMerge w:val="restart"/>
                  <w:tcBorders>
                    <w:left w:val="single" w:color="auto" w:sz="4" w:space="0"/>
                  </w:tcBorders>
                  <w:vAlign w:val="center"/>
                </w:tcPr>
                <w:p w14:paraId="3F61B130">
                  <w:pPr>
                    <w:adjustRightInd w:val="0"/>
                    <w:snapToGrid w:val="0"/>
                    <w:rPr>
                      <w:rFonts w:hint="default" w:ascii="Times New Roman" w:hAnsi="Times New Roman" w:eastAsia="宋体" w:cs="Times New Roman"/>
                      <w:color w:val="auto"/>
                    </w:rPr>
                  </w:pPr>
                  <w:r>
                    <w:rPr>
                      <w:rFonts w:hint="default" w:ascii="Times New Roman" w:hAnsi="Times New Roman" w:eastAsia="宋体" w:cs="Times New Roman"/>
                      <w:color w:val="auto"/>
                    </w:rPr>
                    <w:t>固废</w:t>
                  </w:r>
                </w:p>
              </w:tc>
              <w:tc>
                <w:tcPr>
                  <w:tcW w:w="962" w:type="pct"/>
                  <w:shd w:val="clear" w:color="auto" w:fill="auto"/>
                  <w:vAlign w:val="center"/>
                </w:tcPr>
                <w:p w14:paraId="21D74519">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szCs w:val="21"/>
                    </w:rPr>
                    <w:t>生活垃圾</w:t>
                  </w:r>
                </w:p>
              </w:tc>
              <w:tc>
                <w:tcPr>
                  <w:tcW w:w="2333" w:type="pct"/>
                  <w:shd w:val="clear" w:color="auto" w:fill="auto"/>
                  <w:vAlign w:val="center"/>
                </w:tcPr>
                <w:p w14:paraId="5A828E92">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0"/>
                      <w:sz w:val="21"/>
                      <w:szCs w:val="21"/>
                      <w:lang w:val="en-US" w:eastAsia="zh-CN" w:bidi="ar-SA"/>
                    </w:rPr>
                  </w:pPr>
                  <w:r>
                    <w:rPr>
                      <w:rFonts w:hint="eastAsia" w:cs="Times New Roman"/>
                      <w:color w:val="auto"/>
                      <w:szCs w:val="21"/>
                      <w:lang w:eastAsia="zh-CN"/>
                    </w:rPr>
                    <w:t>经</w:t>
                  </w:r>
                  <w:r>
                    <w:rPr>
                      <w:rFonts w:hint="default" w:ascii="Times New Roman" w:hAnsi="Times New Roman" w:eastAsia="宋体" w:cs="Times New Roman"/>
                      <w:color w:val="auto"/>
                      <w:szCs w:val="21"/>
                    </w:rPr>
                    <w:t>垃圾箱收集</w:t>
                  </w:r>
                  <w:r>
                    <w:rPr>
                      <w:rFonts w:hint="default" w:ascii="Times New Roman" w:hAnsi="Times New Roman" w:eastAsia="宋体" w:cs="Times New Roman"/>
                      <w:color w:val="auto"/>
                      <w:szCs w:val="21"/>
                      <w:lang w:val="en-US" w:eastAsia="zh-CN"/>
                    </w:rPr>
                    <w:t>后</w:t>
                  </w:r>
                  <w:r>
                    <w:rPr>
                      <w:rFonts w:hint="eastAsia" w:cs="Times New Roman"/>
                      <w:color w:val="auto"/>
                      <w:szCs w:val="21"/>
                      <w:lang w:val="en-US" w:eastAsia="zh-CN"/>
                    </w:rPr>
                    <w:t>，</w:t>
                  </w:r>
                  <w:r>
                    <w:rPr>
                      <w:rFonts w:hint="default" w:ascii="Times New Roman" w:hAnsi="Times New Roman" w:eastAsia="宋体" w:cs="Times New Roman"/>
                      <w:color w:val="auto"/>
                      <w:szCs w:val="21"/>
                      <w:lang w:val="en-US" w:eastAsia="zh-CN"/>
                    </w:rPr>
                    <w:t>交由当地环卫部门定期清运处理</w:t>
                  </w:r>
                  <w:r>
                    <w:rPr>
                      <w:rFonts w:hint="default" w:ascii="Times New Roman" w:hAnsi="Times New Roman" w:eastAsia="宋体" w:cs="Times New Roman"/>
                      <w:color w:val="auto"/>
                      <w:szCs w:val="21"/>
                    </w:rPr>
                    <w:t>。</w:t>
                  </w:r>
                </w:p>
              </w:tc>
              <w:tc>
                <w:tcPr>
                  <w:tcW w:w="1406" w:type="pct"/>
                  <w:tcBorders>
                    <w:right w:val="single" w:color="auto" w:sz="4" w:space="0"/>
                  </w:tcBorders>
                  <w:vAlign w:val="center"/>
                </w:tcPr>
                <w:p w14:paraId="5DA4639C">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403B83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7" w:type="pct"/>
                  <w:vMerge w:val="continue"/>
                  <w:tcBorders>
                    <w:left w:val="single" w:color="auto" w:sz="4" w:space="0"/>
                  </w:tcBorders>
                  <w:vAlign w:val="center"/>
                </w:tcPr>
                <w:p w14:paraId="6ADE385A">
                  <w:pPr>
                    <w:adjustRightInd w:val="0"/>
                    <w:snapToGrid w:val="0"/>
                    <w:rPr>
                      <w:rFonts w:hint="default" w:ascii="Times New Roman" w:hAnsi="Times New Roman" w:eastAsia="宋体" w:cs="Times New Roman"/>
                      <w:color w:val="auto"/>
                    </w:rPr>
                  </w:pPr>
                </w:p>
              </w:tc>
              <w:tc>
                <w:tcPr>
                  <w:tcW w:w="962" w:type="pct"/>
                  <w:shd w:val="clear" w:color="auto" w:fill="auto"/>
                  <w:vAlign w:val="center"/>
                </w:tcPr>
                <w:p w14:paraId="39F7AD3B">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甘草清洗泥渣</w:t>
                  </w:r>
                </w:p>
              </w:tc>
              <w:tc>
                <w:tcPr>
                  <w:tcW w:w="2333" w:type="pct"/>
                  <w:shd w:val="clear" w:color="auto" w:fill="auto"/>
                  <w:vAlign w:val="center"/>
                </w:tcPr>
                <w:p w14:paraId="1A4B47D5">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收集暂存于1#厂房固废隔间，定期送往甘草产地，回用于甘草种植。</w:t>
                  </w:r>
                </w:p>
              </w:tc>
              <w:tc>
                <w:tcPr>
                  <w:tcW w:w="1406" w:type="pct"/>
                  <w:vMerge w:val="restart"/>
                  <w:tcBorders>
                    <w:right w:val="single" w:color="auto" w:sz="4" w:space="0"/>
                  </w:tcBorders>
                  <w:vAlign w:val="center"/>
                </w:tcPr>
                <w:p w14:paraId="7AB2C988">
                  <w:pPr>
                    <w:adjustRightInd w:val="0"/>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《一般工业固体废物贮存和填埋污染控制标准》（GB18599-2020）</w:t>
                  </w:r>
                </w:p>
              </w:tc>
            </w:tr>
            <w:tr w14:paraId="58CD01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7" w:type="pct"/>
                  <w:vMerge w:val="continue"/>
                  <w:tcBorders>
                    <w:left w:val="single" w:color="auto" w:sz="4" w:space="0"/>
                  </w:tcBorders>
                  <w:vAlign w:val="center"/>
                </w:tcPr>
                <w:p w14:paraId="03F7C153">
                  <w:pPr>
                    <w:adjustRightInd w:val="0"/>
                    <w:snapToGrid w:val="0"/>
                    <w:rPr>
                      <w:rFonts w:hint="default" w:ascii="Times New Roman" w:hAnsi="Times New Roman" w:eastAsia="宋体" w:cs="Times New Roman"/>
                      <w:color w:val="auto"/>
                    </w:rPr>
                  </w:pPr>
                </w:p>
              </w:tc>
              <w:tc>
                <w:tcPr>
                  <w:tcW w:w="962" w:type="pct"/>
                  <w:shd w:val="clear" w:color="auto" w:fill="auto"/>
                  <w:vAlign w:val="center"/>
                </w:tcPr>
                <w:p w14:paraId="57B5A2EE">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Cs w:val="21"/>
                      <w:lang w:val="en-US" w:eastAsia="zh-CN"/>
                    </w:rPr>
                    <w:t>甘草废渣</w:t>
                  </w:r>
                </w:p>
              </w:tc>
              <w:tc>
                <w:tcPr>
                  <w:tcW w:w="2333" w:type="pct"/>
                  <w:shd w:val="clear" w:color="auto" w:fill="auto"/>
                  <w:vAlign w:val="center"/>
                </w:tcPr>
                <w:p w14:paraId="059289F8">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val="0"/>
                      <w:bCs w:val="0"/>
                      <w:color w:val="auto"/>
                      <w:szCs w:val="21"/>
                      <w:lang w:val="en-US" w:eastAsia="zh-CN"/>
                    </w:rPr>
                    <w:t>收集暂存于1#厂房固废隔间，外售于牛羊饲料生产的企业，综合利用。</w:t>
                  </w:r>
                </w:p>
              </w:tc>
              <w:tc>
                <w:tcPr>
                  <w:tcW w:w="1406" w:type="pct"/>
                  <w:vMerge w:val="continue"/>
                  <w:tcBorders>
                    <w:right w:val="single" w:color="auto" w:sz="4" w:space="0"/>
                  </w:tcBorders>
                  <w:vAlign w:val="center"/>
                </w:tcPr>
                <w:p w14:paraId="65FA3D7C">
                  <w:pPr>
                    <w:adjustRightInd w:val="0"/>
                    <w:snapToGrid w:val="0"/>
                    <w:jc w:val="center"/>
                    <w:rPr>
                      <w:rFonts w:hint="default" w:ascii="Times New Roman" w:hAnsi="Times New Roman" w:eastAsia="宋体" w:cs="Times New Roman"/>
                      <w:color w:val="auto"/>
                      <w:lang w:val="en-US" w:eastAsia="zh-CN"/>
                    </w:rPr>
                  </w:pPr>
                </w:p>
              </w:tc>
            </w:tr>
            <w:tr w14:paraId="5D9328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7" w:type="pct"/>
                  <w:vMerge w:val="continue"/>
                  <w:tcBorders>
                    <w:left w:val="single" w:color="auto" w:sz="4" w:space="0"/>
                  </w:tcBorders>
                  <w:vAlign w:val="center"/>
                </w:tcPr>
                <w:p w14:paraId="17583337">
                  <w:pPr>
                    <w:adjustRightInd w:val="0"/>
                    <w:snapToGrid w:val="0"/>
                    <w:rPr>
                      <w:rFonts w:hint="default" w:ascii="Times New Roman" w:hAnsi="Times New Roman" w:eastAsia="宋体" w:cs="Times New Roman"/>
                      <w:color w:val="auto"/>
                    </w:rPr>
                  </w:pPr>
                </w:p>
              </w:tc>
              <w:tc>
                <w:tcPr>
                  <w:tcW w:w="962" w:type="pct"/>
                  <w:shd w:val="clear" w:color="auto" w:fill="auto"/>
                  <w:vAlign w:val="center"/>
                </w:tcPr>
                <w:p w14:paraId="21AA268A">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不合格产品</w:t>
                  </w:r>
                </w:p>
              </w:tc>
              <w:tc>
                <w:tcPr>
                  <w:tcW w:w="2333" w:type="pct"/>
                  <w:shd w:val="clear" w:color="auto" w:fill="auto"/>
                  <w:vAlign w:val="center"/>
                </w:tcPr>
                <w:p w14:paraId="50688BBD">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 w:val="0"/>
                      <w:bCs w:val="0"/>
                      <w:color w:val="auto"/>
                      <w:szCs w:val="21"/>
                      <w:lang w:val="en-US" w:eastAsia="zh-CN"/>
                    </w:rPr>
                  </w:pPr>
                  <w:r>
                    <w:rPr>
                      <w:rFonts w:hint="default" w:ascii="Times New Roman" w:hAnsi="Times New Roman" w:eastAsia="宋体" w:cs="Times New Roman"/>
                      <w:b w:val="0"/>
                      <w:bCs w:val="0"/>
                      <w:color w:val="auto"/>
                      <w:szCs w:val="21"/>
                      <w:lang w:val="en-US" w:eastAsia="zh-CN"/>
                    </w:rPr>
                    <w:t>混入甘草废渣中外售</w:t>
                  </w:r>
                </w:p>
              </w:tc>
              <w:tc>
                <w:tcPr>
                  <w:tcW w:w="1406" w:type="pct"/>
                  <w:vMerge w:val="continue"/>
                  <w:tcBorders>
                    <w:right w:val="single" w:color="auto" w:sz="4" w:space="0"/>
                  </w:tcBorders>
                  <w:vAlign w:val="center"/>
                </w:tcPr>
                <w:p w14:paraId="01DCAE99">
                  <w:pPr>
                    <w:adjustRightInd w:val="0"/>
                    <w:snapToGrid w:val="0"/>
                    <w:jc w:val="center"/>
                    <w:rPr>
                      <w:rFonts w:hint="default" w:ascii="Times New Roman" w:hAnsi="Times New Roman" w:eastAsia="宋体" w:cs="Times New Roman"/>
                      <w:color w:val="auto"/>
                      <w:lang w:val="en-US" w:eastAsia="zh-CN"/>
                    </w:rPr>
                  </w:pPr>
                </w:p>
              </w:tc>
            </w:tr>
            <w:tr w14:paraId="5E23F0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7" w:type="pct"/>
                  <w:vMerge w:val="continue"/>
                  <w:tcBorders>
                    <w:left w:val="single" w:color="auto" w:sz="4" w:space="0"/>
                  </w:tcBorders>
                  <w:vAlign w:val="center"/>
                </w:tcPr>
                <w:p w14:paraId="768052BF">
                  <w:pPr>
                    <w:adjustRightInd w:val="0"/>
                    <w:snapToGrid w:val="0"/>
                    <w:rPr>
                      <w:rFonts w:hint="default" w:ascii="Times New Roman" w:hAnsi="Times New Roman" w:eastAsia="宋体" w:cs="Times New Roman"/>
                      <w:color w:val="auto"/>
                    </w:rPr>
                  </w:pPr>
                </w:p>
              </w:tc>
              <w:tc>
                <w:tcPr>
                  <w:tcW w:w="962" w:type="pct"/>
                  <w:vAlign w:val="center"/>
                </w:tcPr>
                <w:p w14:paraId="1668DC5E">
                  <w:pPr>
                    <w:numPr>
                      <w:ilvl w:val="3"/>
                      <w:numId w:val="0"/>
                    </w:numPr>
                    <w:tabs>
                      <w:tab w:val="left" w:pos="851"/>
                      <w:tab w:val="left" w:pos="2880"/>
                    </w:tabs>
                    <w:adjustRightInd w:val="0"/>
                    <w:snapToGrid w:val="0"/>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val="en-US" w:eastAsia="zh-CN"/>
                    </w:rPr>
                    <w:t>软水机废滤膜</w:t>
                  </w:r>
                </w:p>
              </w:tc>
              <w:tc>
                <w:tcPr>
                  <w:tcW w:w="2333" w:type="pct"/>
                  <w:vAlign w:val="center"/>
                </w:tcPr>
                <w:p w14:paraId="4FDAB3C0">
                  <w:pPr>
                    <w:numPr>
                      <w:ilvl w:val="3"/>
                      <w:numId w:val="0"/>
                    </w:numPr>
                    <w:tabs>
                      <w:tab w:val="left" w:pos="851"/>
                      <w:tab w:val="left" w:pos="2880"/>
                    </w:tabs>
                    <w:adjustRightInd w:val="0"/>
                    <w:snapToGrid w:val="0"/>
                    <w:jc w:val="center"/>
                    <w:rPr>
                      <w:rFonts w:hint="default" w:ascii="Times New Roman" w:hAnsi="Times New Roman" w:eastAsia="宋体" w:cs="Times New Roman"/>
                      <w:bCs/>
                      <w:color w:val="auto"/>
                      <w:kern w:val="0"/>
                      <w:szCs w:val="21"/>
                    </w:rPr>
                  </w:pPr>
                  <w:r>
                    <w:rPr>
                      <w:rFonts w:hint="default" w:ascii="Times New Roman" w:hAnsi="Times New Roman" w:eastAsia="宋体" w:cs="Times New Roman"/>
                      <w:bCs/>
                      <w:color w:val="auto"/>
                      <w:kern w:val="0"/>
                      <w:szCs w:val="21"/>
                      <w:lang w:val="en-US" w:eastAsia="zh-CN"/>
                    </w:rPr>
                    <w:t>由原生产厂家回收利用，不外排</w:t>
                  </w:r>
                  <w:r>
                    <w:rPr>
                      <w:rFonts w:hint="eastAsia" w:cs="Times New Roman"/>
                      <w:bCs/>
                      <w:color w:val="auto"/>
                      <w:kern w:val="0"/>
                      <w:szCs w:val="21"/>
                      <w:lang w:val="en-US" w:eastAsia="zh-CN"/>
                    </w:rPr>
                    <w:t>。</w:t>
                  </w:r>
                </w:p>
              </w:tc>
              <w:tc>
                <w:tcPr>
                  <w:tcW w:w="1406" w:type="pct"/>
                  <w:vMerge w:val="continue"/>
                  <w:tcBorders>
                    <w:right w:val="single" w:color="auto" w:sz="4" w:space="0"/>
                  </w:tcBorders>
                  <w:vAlign w:val="center"/>
                </w:tcPr>
                <w:p w14:paraId="142EB008">
                  <w:pPr>
                    <w:adjustRightInd w:val="0"/>
                    <w:snapToGrid w:val="0"/>
                    <w:jc w:val="center"/>
                    <w:rPr>
                      <w:rFonts w:hint="default" w:ascii="Times New Roman" w:hAnsi="Times New Roman" w:eastAsia="宋体" w:cs="Times New Roman"/>
                      <w:color w:val="auto"/>
                      <w:lang w:val="en-US" w:eastAsia="zh-CN"/>
                    </w:rPr>
                  </w:pPr>
                </w:p>
              </w:tc>
            </w:tr>
          </w:tbl>
          <w:p w14:paraId="2F40EE19">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8</w:t>
            </w:r>
            <w:r>
              <w:rPr>
                <w:rFonts w:hint="default" w:ascii="Times New Roman" w:hAnsi="Times New Roman" w:eastAsia="宋体" w:cs="Times New Roman"/>
                <w:b/>
                <w:bCs/>
                <w:color w:val="auto"/>
                <w:sz w:val="24"/>
              </w:rPr>
              <w:t>.环保治理措施及投资估算</w:t>
            </w:r>
          </w:p>
          <w:p w14:paraId="68FB1177">
            <w:pPr>
              <w:snapToGrid w:val="0"/>
              <w:spacing w:line="360" w:lineRule="auto"/>
              <w:ind w:firstLine="480" w:firstLineChars="200"/>
              <w:jc w:val="left"/>
              <w:rPr>
                <w:rFonts w:hint="default" w:ascii="Times New Roman" w:hAnsi="Times New Roman" w:eastAsia="宋体" w:cs="Times New Roman"/>
                <w:color w:val="auto"/>
                <w:sz w:val="24"/>
              </w:rPr>
            </w:pPr>
            <w:r>
              <w:rPr>
                <w:rFonts w:hint="default" w:ascii="Times New Roman" w:hAnsi="Times New Roman" w:eastAsia="宋体" w:cs="Times New Roman"/>
                <w:color w:val="auto"/>
                <w:sz w:val="24"/>
                <w:lang w:val="en-US" w:eastAsia="zh-CN"/>
              </w:rPr>
              <w:t>项目</w:t>
            </w:r>
            <w:r>
              <w:rPr>
                <w:rFonts w:hint="default" w:ascii="Times New Roman" w:hAnsi="Times New Roman" w:eastAsia="宋体" w:cs="Times New Roman"/>
                <w:color w:val="auto"/>
                <w:sz w:val="24"/>
              </w:rPr>
              <w:t>总投资为</w:t>
            </w:r>
            <w:r>
              <w:rPr>
                <w:rFonts w:hint="default" w:ascii="Times New Roman" w:hAnsi="Times New Roman" w:eastAsia="宋体" w:cs="Times New Roman"/>
                <w:color w:val="auto"/>
                <w:sz w:val="24"/>
                <w:lang w:eastAsia="zh-CN"/>
              </w:rPr>
              <w:t>3000万元</w:t>
            </w:r>
            <w:r>
              <w:rPr>
                <w:rFonts w:hint="default" w:ascii="Times New Roman" w:hAnsi="Times New Roman" w:eastAsia="宋体" w:cs="Times New Roman"/>
                <w:color w:val="auto"/>
                <w:sz w:val="24"/>
              </w:rPr>
              <w:t>，</w:t>
            </w:r>
            <w:r>
              <w:rPr>
                <w:rFonts w:hint="default" w:ascii="Times New Roman" w:hAnsi="Times New Roman" w:eastAsia="宋体" w:cs="Times New Roman"/>
                <w:color w:val="auto"/>
                <w:sz w:val="24"/>
                <w:lang w:val="en-US" w:eastAsia="zh-CN"/>
              </w:rPr>
              <w:t>其中</w:t>
            </w:r>
            <w:r>
              <w:rPr>
                <w:rFonts w:hint="default" w:ascii="Times New Roman" w:hAnsi="Times New Roman" w:eastAsia="宋体" w:cs="Times New Roman"/>
                <w:color w:val="auto"/>
                <w:sz w:val="24"/>
              </w:rPr>
              <w:t>环保投资</w:t>
            </w:r>
            <w:r>
              <w:rPr>
                <w:rFonts w:hint="default" w:ascii="Times New Roman" w:hAnsi="Times New Roman" w:eastAsia="宋体" w:cs="Times New Roman"/>
                <w:color w:val="auto"/>
                <w:sz w:val="24"/>
                <w:lang w:val="en-US" w:eastAsia="zh-CN"/>
              </w:rPr>
              <w:t>45万元，占总投资的1.5%</w:t>
            </w:r>
            <w:r>
              <w:rPr>
                <w:rFonts w:hint="default" w:ascii="Times New Roman" w:hAnsi="Times New Roman" w:eastAsia="宋体" w:cs="Times New Roman"/>
                <w:color w:val="auto"/>
                <w:sz w:val="24"/>
              </w:rPr>
              <w:t>。环保投资估算明细见表4-</w:t>
            </w:r>
            <w:r>
              <w:rPr>
                <w:rFonts w:hint="default" w:ascii="Times New Roman" w:hAnsi="Times New Roman" w:eastAsia="宋体" w:cs="Times New Roman"/>
                <w:color w:val="auto"/>
                <w:sz w:val="24"/>
                <w:lang w:val="en-US" w:eastAsia="zh-CN"/>
              </w:rPr>
              <w:t>5</w:t>
            </w:r>
            <w:r>
              <w:rPr>
                <w:rFonts w:hint="default" w:ascii="Times New Roman" w:hAnsi="Times New Roman" w:eastAsia="宋体" w:cs="Times New Roman"/>
                <w:color w:val="auto"/>
                <w:sz w:val="24"/>
              </w:rPr>
              <w:t>。</w:t>
            </w:r>
          </w:p>
          <w:p w14:paraId="02DA0103">
            <w:pPr>
              <w:pStyle w:val="14"/>
              <w:bidi w:val="0"/>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eastAsia="宋体" w:cs="Times New Roman"/>
                <w:color w:val="auto"/>
                <w:lang w:val="en-US" w:eastAsia="zh-CN"/>
              </w:rPr>
              <w:t>15</w:t>
            </w:r>
            <w:r>
              <w:rPr>
                <w:rFonts w:hint="default" w:ascii="Times New Roman" w:hAnsi="Times New Roman" w:eastAsia="宋体" w:cs="Times New Roman"/>
                <w:color w:val="auto"/>
              </w:rPr>
              <w:t xml:space="preserve"> 拟建工程环境保护投资估算一览表     单位：万元</w:t>
            </w:r>
          </w:p>
          <w:tbl>
            <w:tblPr>
              <w:tblStyle w:val="7"/>
              <w:tblW w:w="8222" w:type="dxa"/>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0" w:type="dxa"/>
                <w:bottom w:w="0" w:type="dxa"/>
                <w:right w:w="0" w:type="dxa"/>
              </w:tblCellMar>
            </w:tblPr>
            <w:tblGrid>
              <w:gridCol w:w="574"/>
              <w:gridCol w:w="1841"/>
              <w:gridCol w:w="4866"/>
              <w:gridCol w:w="941"/>
            </w:tblGrid>
            <w:tr w14:paraId="48163D4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tcBorders>
                    <w:top w:val="single" w:color="auto" w:sz="4" w:space="0"/>
                    <w:left w:val="single" w:color="auto" w:sz="0" w:space="0"/>
                    <w:bottom w:val="single" w:color="auto" w:sz="4" w:space="0"/>
                    <w:right w:val="single" w:color="auto" w:sz="4" w:space="0"/>
                  </w:tcBorders>
                  <w:shd w:val="clear" w:color="auto" w:fill="auto"/>
                  <w:vAlign w:val="center"/>
                </w:tcPr>
                <w:p w14:paraId="00659075">
                  <w:pPr>
                    <w:widowControl/>
                    <w:jc w:val="center"/>
                    <w:rPr>
                      <w:rFonts w:hint="default" w:ascii="Times New Roman" w:hAnsi="Times New Roman" w:eastAsia="宋体" w:cs="Times New Roman"/>
                      <w:color w:val="auto"/>
                      <w:kern w:val="0"/>
                      <w:szCs w:val="21"/>
                    </w:rPr>
                  </w:pPr>
                  <w:bookmarkStart w:id="6" w:name="_Hlk81554350"/>
                  <w:r>
                    <w:rPr>
                      <w:rFonts w:hint="default" w:ascii="Times New Roman" w:hAnsi="Times New Roman" w:eastAsia="宋体" w:cs="Times New Roman"/>
                      <w:color w:val="auto"/>
                      <w:kern w:val="0"/>
                      <w:szCs w:val="21"/>
                    </w:rPr>
                    <w:t>类别</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53638D1B">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污染源</w:t>
                  </w:r>
                </w:p>
              </w:tc>
              <w:tc>
                <w:tcPr>
                  <w:tcW w:w="4866" w:type="dxa"/>
                  <w:tcBorders>
                    <w:top w:val="single" w:color="auto" w:sz="4" w:space="0"/>
                    <w:left w:val="single" w:color="auto" w:sz="4" w:space="0"/>
                    <w:bottom w:val="single" w:color="auto" w:sz="4" w:space="0"/>
                    <w:right w:val="single" w:color="auto" w:sz="4" w:space="0"/>
                  </w:tcBorders>
                  <w:shd w:val="clear" w:color="auto" w:fill="auto"/>
                  <w:vAlign w:val="center"/>
                </w:tcPr>
                <w:p w14:paraId="2D2922EA">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治理措施</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1E2D39FC">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环保投资</w:t>
                  </w:r>
                </w:p>
              </w:tc>
            </w:tr>
            <w:tr w14:paraId="602B3B0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tcBorders>
                    <w:top w:val="single" w:color="auto" w:sz="4" w:space="0"/>
                    <w:left w:val="single" w:color="auto" w:sz="4" w:space="0"/>
                    <w:bottom w:val="single" w:color="auto" w:sz="4" w:space="0"/>
                    <w:right w:val="single" w:color="auto" w:sz="4" w:space="0"/>
                  </w:tcBorders>
                  <w:shd w:val="clear" w:color="auto" w:fill="auto"/>
                  <w:vAlign w:val="center"/>
                </w:tcPr>
                <w:p w14:paraId="1838D61C">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废气</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577AAE70">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b w:val="0"/>
                      <w:bCs w:val="0"/>
                      <w:color w:val="auto"/>
                      <w:lang w:val="en-US" w:eastAsia="zh-CN"/>
                    </w:rPr>
                    <w:t>燃气锅炉天然气燃烧</w:t>
                  </w:r>
                </w:p>
              </w:tc>
              <w:tc>
                <w:tcPr>
                  <w:tcW w:w="4866" w:type="dxa"/>
                  <w:tcBorders>
                    <w:top w:val="single" w:color="auto" w:sz="4" w:space="0"/>
                    <w:left w:val="single" w:color="auto" w:sz="4" w:space="0"/>
                    <w:bottom w:val="single" w:color="auto" w:sz="4" w:space="0"/>
                    <w:right w:val="single" w:color="auto" w:sz="4" w:space="0"/>
                  </w:tcBorders>
                  <w:shd w:val="clear" w:color="auto" w:fill="auto"/>
                  <w:vAlign w:val="center"/>
                </w:tcPr>
                <w:p w14:paraId="1882D65B">
                  <w:pPr>
                    <w:adjustRightInd w:val="0"/>
                    <w:snapToGrid w:val="0"/>
                    <w:jc w:val="left"/>
                    <w:rPr>
                      <w:rFonts w:hint="default" w:ascii="Times New Roman" w:hAnsi="Times New Roman" w:eastAsia="宋体" w:cs="Times New Roman"/>
                      <w:color w:val="auto"/>
                      <w:kern w:val="0"/>
                      <w:szCs w:val="21"/>
                      <w:lang w:eastAsia="zh-CN"/>
                    </w:rPr>
                  </w:pPr>
                  <w:r>
                    <w:rPr>
                      <w:rFonts w:hint="default" w:ascii="Times New Roman" w:hAnsi="Times New Roman" w:eastAsia="宋体" w:cs="Times New Roman"/>
                      <w:b w:val="0"/>
                      <w:bCs w:val="0"/>
                      <w:color w:val="auto"/>
                      <w:lang w:val="en-US" w:eastAsia="zh-CN"/>
                    </w:rPr>
                    <w:t>低氮燃烧+8m高排气筒</w:t>
                  </w:r>
                  <w:r>
                    <w:rPr>
                      <w:rFonts w:hint="eastAsia" w:cs="Times New Roman"/>
                      <w:b w:val="0"/>
                      <w:bCs w:val="0"/>
                      <w:color w:val="auto"/>
                      <w:lang w:val="en-US" w:eastAsia="zh-CN"/>
                    </w:rPr>
                    <w:t>。</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6E662876">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30</w:t>
                  </w:r>
                </w:p>
              </w:tc>
            </w:tr>
            <w:tr w14:paraId="777D13C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F2DD3B">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废水</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141DEA51">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kern w:val="0"/>
                      <w:szCs w:val="21"/>
                    </w:rPr>
                    <w:t>生活污水</w:t>
                  </w:r>
                </w:p>
              </w:tc>
              <w:tc>
                <w:tcPr>
                  <w:tcW w:w="4866" w:type="dxa"/>
                  <w:tcBorders>
                    <w:top w:val="single" w:color="auto" w:sz="4" w:space="0"/>
                    <w:left w:val="single" w:color="auto" w:sz="4" w:space="0"/>
                    <w:bottom w:val="single" w:color="auto" w:sz="4" w:space="0"/>
                    <w:right w:val="single" w:color="auto" w:sz="4" w:space="0"/>
                  </w:tcBorders>
                  <w:shd w:val="clear" w:color="auto" w:fill="auto"/>
                  <w:vAlign w:val="center"/>
                </w:tcPr>
                <w:p w14:paraId="3938B2E4">
                  <w:pPr>
                    <w:numPr>
                      <w:ilvl w:val="3"/>
                      <w:numId w:val="0"/>
                    </w:numPr>
                    <w:tabs>
                      <w:tab w:val="left" w:pos="851"/>
                      <w:tab w:val="left" w:pos="2880"/>
                    </w:tabs>
                    <w:adjustRightInd w:val="0"/>
                    <w:snapToGrid w:val="0"/>
                    <w:ind w:left="0" w:leftChars="0" w:firstLine="0" w:firstLineChars="0"/>
                    <w:jc w:val="left"/>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kern w:val="0"/>
                      <w:szCs w:val="21"/>
                      <w:lang w:eastAsia="zh-CN"/>
                    </w:rPr>
                    <w:t>生活污水经化粪池收集后</w:t>
                  </w:r>
                  <w:r>
                    <w:rPr>
                      <w:rFonts w:hint="default" w:ascii="Times New Roman" w:hAnsi="Times New Roman" w:eastAsia="宋体" w:cs="Times New Roman"/>
                      <w:bCs/>
                      <w:color w:val="auto"/>
                      <w:kern w:val="0"/>
                      <w:szCs w:val="21"/>
                    </w:rPr>
                    <w:t>，</w:t>
                  </w:r>
                  <w:r>
                    <w:rPr>
                      <w:rFonts w:hint="default" w:ascii="Times New Roman" w:hAnsi="Times New Roman" w:eastAsia="宋体" w:cs="Times New Roman"/>
                      <w:bCs/>
                      <w:color w:val="auto"/>
                      <w:kern w:val="0"/>
                      <w:szCs w:val="21"/>
                      <w:lang w:val="en-US" w:eastAsia="zh-CN"/>
                    </w:rPr>
                    <w:t>通过市政污水管网，排至杭锦旗锡尼镇污水处理厂</w:t>
                  </w:r>
                  <w:r>
                    <w:rPr>
                      <w:rFonts w:hint="eastAsia" w:cs="Times New Roman"/>
                      <w:bCs/>
                      <w:color w:val="auto"/>
                      <w:kern w:val="0"/>
                      <w:szCs w:val="21"/>
                      <w:lang w:val="en-US" w:eastAsia="zh-CN"/>
                    </w:rPr>
                    <w:t>处理。</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1AC7A120">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w:t>
                  </w:r>
                </w:p>
              </w:tc>
            </w:tr>
            <w:tr w14:paraId="2341740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6DD8C8">
                  <w:pPr>
                    <w:widowControl/>
                    <w:jc w:val="center"/>
                    <w:rPr>
                      <w:rFonts w:hint="default" w:ascii="Times New Roman" w:hAnsi="Times New Roman" w:eastAsia="宋体" w:cs="Times New Roman"/>
                      <w:color w:val="auto"/>
                      <w:kern w:val="0"/>
                      <w:szCs w:val="21"/>
                    </w:rPr>
                  </w:pP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3DCF425B">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Cs w:val="21"/>
                      <w:lang w:val="pt-BR"/>
                    </w:rPr>
                    <w:t>生产废水</w:t>
                  </w:r>
                </w:p>
              </w:tc>
              <w:tc>
                <w:tcPr>
                  <w:tcW w:w="4866" w:type="dxa"/>
                  <w:tcBorders>
                    <w:top w:val="single" w:color="auto" w:sz="4" w:space="0"/>
                    <w:left w:val="single" w:color="auto" w:sz="4" w:space="0"/>
                    <w:bottom w:val="single" w:color="auto" w:sz="4" w:space="0"/>
                    <w:right w:val="single" w:color="auto" w:sz="4" w:space="0"/>
                  </w:tcBorders>
                  <w:shd w:val="clear" w:color="auto" w:fill="auto"/>
                  <w:vAlign w:val="center"/>
                </w:tcPr>
                <w:p w14:paraId="0322D948">
                  <w:pPr>
                    <w:numPr>
                      <w:ilvl w:val="3"/>
                      <w:numId w:val="0"/>
                    </w:numPr>
                    <w:tabs>
                      <w:tab w:val="left" w:pos="851"/>
                      <w:tab w:val="left" w:pos="2880"/>
                    </w:tabs>
                    <w:adjustRightInd w:val="0"/>
                    <w:snapToGrid w:val="0"/>
                    <w:ind w:left="0" w:leftChars="0" w:firstLine="0" w:firstLineChars="0"/>
                    <w:jc w:val="left"/>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甘草清洗水液进行沉降分离，上清液回用于甘草清洗，不外排；</w:t>
                  </w:r>
                </w:p>
                <w:p w14:paraId="72D77313">
                  <w:pPr>
                    <w:numPr>
                      <w:ilvl w:val="3"/>
                      <w:numId w:val="0"/>
                    </w:numPr>
                    <w:tabs>
                      <w:tab w:val="left" w:pos="851"/>
                      <w:tab w:val="left" w:pos="2880"/>
                    </w:tabs>
                    <w:adjustRightInd w:val="0"/>
                    <w:snapToGrid w:val="0"/>
                    <w:ind w:left="0" w:leftChars="0" w:firstLine="0" w:firstLineChars="0"/>
                    <w:jc w:val="left"/>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蒸汽冷凝水回用于生产工艺，不外排；</w:t>
                  </w:r>
                </w:p>
                <w:p w14:paraId="199D22D9">
                  <w:pPr>
                    <w:numPr>
                      <w:ilvl w:val="3"/>
                      <w:numId w:val="0"/>
                    </w:numPr>
                    <w:tabs>
                      <w:tab w:val="left" w:pos="851"/>
                      <w:tab w:val="left" w:pos="2880"/>
                    </w:tabs>
                    <w:adjustRightInd w:val="0"/>
                    <w:snapToGrid w:val="0"/>
                    <w:ind w:left="0" w:leftChars="0" w:firstLine="0" w:firstLineChars="0"/>
                    <w:jc w:val="left"/>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Cs w:val="21"/>
                      <w:lang w:val="en-US" w:eastAsia="zh-CN"/>
                    </w:rPr>
                    <w:t>锅炉排水</w:t>
                  </w:r>
                  <w:r>
                    <w:rPr>
                      <w:rFonts w:hint="eastAsia" w:cs="Times New Roman"/>
                      <w:bCs/>
                      <w:color w:val="auto"/>
                      <w:szCs w:val="21"/>
                      <w:lang w:val="en-US" w:eastAsia="zh-CN"/>
                    </w:rPr>
                    <w:t>、</w:t>
                  </w:r>
                  <w:r>
                    <w:rPr>
                      <w:rFonts w:hint="default" w:ascii="Times New Roman" w:hAnsi="Times New Roman" w:eastAsia="宋体" w:cs="Times New Roman"/>
                      <w:bCs/>
                      <w:color w:val="auto"/>
                      <w:szCs w:val="21"/>
                      <w:lang w:val="en-US" w:eastAsia="zh-CN"/>
                    </w:rPr>
                    <w:t>设备清洗废水通过市政污水管网，排至杭锦旗锡尼镇污水处理厂</w:t>
                  </w:r>
                  <w:r>
                    <w:rPr>
                      <w:rFonts w:hint="eastAsia" w:cs="Times New Roman"/>
                      <w:bCs/>
                      <w:color w:val="auto"/>
                      <w:szCs w:val="21"/>
                      <w:lang w:val="en-US" w:eastAsia="zh-CN"/>
                    </w:rPr>
                    <w:t>处理</w:t>
                  </w:r>
                  <w:r>
                    <w:rPr>
                      <w:rFonts w:hint="default" w:ascii="Times New Roman" w:hAnsi="Times New Roman" w:eastAsia="宋体" w:cs="Times New Roman"/>
                      <w:color w:val="auto"/>
                      <w:lang w:eastAsia="zh-CN"/>
                    </w:rPr>
                    <w:t>。</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294835F5">
                  <w:pPr>
                    <w:widowControl/>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w:t>
                  </w:r>
                </w:p>
              </w:tc>
            </w:tr>
            <w:tr w14:paraId="5043374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3DA656">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固废</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2822F20F">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szCs w:val="21"/>
                    </w:rPr>
                    <w:t>生活垃圾</w:t>
                  </w:r>
                </w:p>
              </w:tc>
              <w:tc>
                <w:tcPr>
                  <w:tcW w:w="4866" w:type="dxa"/>
                  <w:tcBorders>
                    <w:top w:val="single" w:color="auto" w:sz="4" w:space="0"/>
                    <w:left w:val="single" w:color="auto" w:sz="4" w:space="0"/>
                    <w:bottom w:val="single" w:color="auto" w:sz="4" w:space="0"/>
                    <w:right w:val="single" w:color="auto" w:sz="4" w:space="0"/>
                  </w:tcBorders>
                  <w:shd w:val="clear" w:color="auto" w:fill="auto"/>
                  <w:vAlign w:val="center"/>
                </w:tcPr>
                <w:p w14:paraId="5FACE17E">
                  <w:pPr>
                    <w:numPr>
                      <w:ilvl w:val="3"/>
                      <w:numId w:val="0"/>
                    </w:numPr>
                    <w:tabs>
                      <w:tab w:val="left" w:pos="851"/>
                      <w:tab w:val="left" w:pos="2880"/>
                    </w:tabs>
                    <w:adjustRightInd w:val="0"/>
                    <w:snapToGrid w:val="0"/>
                    <w:ind w:left="0" w:leftChars="0" w:firstLine="0" w:firstLineChars="0"/>
                    <w:jc w:val="left"/>
                    <w:rPr>
                      <w:rFonts w:hint="default" w:ascii="Times New Roman" w:hAnsi="Times New Roman" w:eastAsia="宋体" w:cs="Times New Roman"/>
                      <w:bCs/>
                      <w:color w:val="auto"/>
                      <w:kern w:val="0"/>
                      <w:sz w:val="21"/>
                      <w:szCs w:val="21"/>
                      <w:lang w:val="en-US" w:eastAsia="zh-CN" w:bidi="ar-SA"/>
                    </w:rPr>
                  </w:pPr>
                  <w:r>
                    <w:rPr>
                      <w:rFonts w:hint="eastAsia" w:cs="Times New Roman"/>
                      <w:color w:val="auto"/>
                      <w:szCs w:val="21"/>
                      <w:lang w:eastAsia="zh-CN"/>
                    </w:rPr>
                    <w:t>经</w:t>
                  </w:r>
                  <w:r>
                    <w:rPr>
                      <w:rFonts w:hint="default" w:ascii="Times New Roman" w:hAnsi="Times New Roman" w:eastAsia="宋体" w:cs="Times New Roman"/>
                      <w:color w:val="auto"/>
                      <w:szCs w:val="21"/>
                    </w:rPr>
                    <w:t>垃圾箱收集</w:t>
                  </w:r>
                  <w:r>
                    <w:rPr>
                      <w:rFonts w:hint="default" w:ascii="Times New Roman" w:hAnsi="Times New Roman" w:eastAsia="宋体" w:cs="Times New Roman"/>
                      <w:color w:val="auto"/>
                      <w:szCs w:val="21"/>
                      <w:lang w:val="en-US" w:eastAsia="zh-CN"/>
                    </w:rPr>
                    <w:t>后</w:t>
                  </w:r>
                  <w:r>
                    <w:rPr>
                      <w:rFonts w:hint="eastAsia" w:cs="Times New Roman"/>
                      <w:color w:val="auto"/>
                      <w:szCs w:val="21"/>
                      <w:lang w:val="en-US" w:eastAsia="zh-CN"/>
                    </w:rPr>
                    <w:t>，</w:t>
                  </w:r>
                  <w:r>
                    <w:rPr>
                      <w:rFonts w:hint="default" w:ascii="Times New Roman" w:hAnsi="Times New Roman" w:eastAsia="宋体" w:cs="Times New Roman"/>
                      <w:color w:val="auto"/>
                      <w:szCs w:val="21"/>
                      <w:lang w:val="en-US" w:eastAsia="zh-CN"/>
                    </w:rPr>
                    <w:t>交由当地环卫部门定期清运处理</w:t>
                  </w:r>
                  <w:r>
                    <w:rPr>
                      <w:rFonts w:hint="default" w:ascii="Times New Roman" w:hAnsi="Times New Roman" w:eastAsia="宋体" w:cs="Times New Roman"/>
                      <w:color w:val="auto"/>
                      <w:szCs w:val="21"/>
                    </w:rPr>
                    <w:t>。</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065399E2">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w:t>
                  </w:r>
                </w:p>
              </w:tc>
            </w:tr>
            <w:tr w14:paraId="10FBAC2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3F34A6">
                  <w:pPr>
                    <w:widowControl/>
                    <w:jc w:val="center"/>
                    <w:rPr>
                      <w:rFonts w:hint="default" w:ascii="Times New Roman" w:hAnsi="Times New Roman" w:eastAsia="宋体" w:cs="Times New Roman"/>
                      <w:color w:val="auto"/>
                      <w:kern w:val="0"/>
                      <w:szCs w:val="21"/>
                    </w:rPr>
                  </w:pP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3B6D38B1">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Cs w:val="21"/>
                      <w:lang w:val="en-US" w:eastAsia="zh-CN"/>
                    </w:rPr>
                    <w:t>甘草清洗泥渣</w:t>
                  </w:r>
                </w:p>
              </w:tc>
              <w:tc>
                <w:tcPr>
                  <w:tcW w:w="4866" w:type="dxa"/>
                  <w:tcBorders>
                    <w:top w:val="single" w:color="auto" w:sz="4" w:space="0"/>
                    <w:left w:val="single" w:color="auto" w:sz="4" w:space="0"/>
                    <w:bottom w:val="single" w:color="auto" w:sz="4" w:space="0"/>
                    <w:right w:val="single" w:color="auto" w:sz="4" w:space="0"/>
                  </w:tcBorders>
                  <w:shd w:val="clear" w:color="auto" w:fill="auto"/>
                  <w:vAlign w:val="center"/>
                </w:tcPr>
                <w:p w14:paraId="7FB29725">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Cs w:val="21"/>
                      <w:lang w:val="en-US" w:eastAsia="zh-CN"/>
                    </w:rPr>
                    <w:t>收集暂存于1#厂房固废隔间，定期送往甘草产地，回用于甘草种植。</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1418DAD5">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w:t>
                  </w:r>
                </w:p>
              </w:tc>
            </w:tr>
            <w:tr w14:paraId="69E66FB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CB236C">
                  <w:pPr>
                    <w:widowControl/>
                    <w:jc w:val="center"/>
                    <w:rPr>
                      <w:rFonts w:hint="default" w:ascii="Times New Roman" w:hAnsi="Times New Roman" w:eastAsia="宋体" w:cs="Times New Roman"/>
                      <w:color w:val="auto"/>
                      <w:kern w:val="0"/>
                      <w:szCs w:val="21"/>
                    </w:rPr>
                  </w:pP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78923E0A">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eastAsia="宋体" w:cs="Times New Roman"/>
                      <w:bCs/>
                      <w:color w:val="auto"/>
                      <w:szCs w:val="21"/>
                      <w:lang w:val="en-US" w:eastAsia="zh-CN"/>
                    </w:rPr>
                    <w:t>甘草废渣</w:t>
                  </w:r>
                </w:p>
              </w:tc>
              <w:tc>
                <w:tcPr>
                  <w:tcW w:w="4866" w:type="dxa"/>
                  <w:tcBorders>
                    <w:top w:val="single" w:color="auto" w:sz="4" w:space="0"/>
                    <w:left w:val="single" w:color="auto" w:sz="4" w:space="0"/>
                    <w:bottom w:val="single" w:color="auto" w:sz="4" w:space="0"/>
                    <w:right w:val="single" w:color="auto" w:sz="4" w:space="0"/>
                  </w:tcBorders>
                  <w:shd w:val="clear" w:color="auto" w:fill="auto"/>
                  <w:vAlign w:val="center"/>
                </w:tcPr>
                <w:p w14:paraId="23CF47A6">
                  <w:pPr>
                    <w:numPr>
                      <w:ilvl w:val="3"/>
                      <w:numId w:val="0"/>
                    </w:numPr>
                    <w:tabs>
                      <w:tab w:val="left" w:pos="851"/>
                      <w:tab w:val="left" w:pos="2880"/>
                    </w:tabs>
                    <w:adjustRightInd w:val="0"/>
                    <w:snapToGrid w:val="0"/>
                    <w:ind w:left="0" w:leftChars="0" w:firstLine="0" w:firstLineChars="0"/>
                    <w:jc w:val="left"/>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val="0"/>
                      <w:bCs w:val="0"/>
                      <w:color w:val="auto"/>
                      <w:szCs w:val="21"/>
                      <w:lang w:val="en-US" w:eastAsia="zh-CN"/>
                    </w:rPr>
                    <w:t>收集暂存于1#厂房固废隔间，外售于牛羊饲料生产的企业，综合利用。</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0FE92A45">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w:t>
                  </w:r>
                </w:p>
              </w:tc>
            </w:tr>
            <w:tr w14:paraId="3937923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EA465A">
                  <w:pPr>
                    <w:widowControl/>
                    <w:jc w:val="center"/>
                    <w:rPr>
                      <w:rFonts w:hint="default" w:ascii="Times New Roman" w:hAnsi="Times New Roman" w:eastAsia="宋体" w:cs="Times New Roman"/>
                      <w:color w:val="auto"/>
                      <w:kern w:val="0"/>
                      <w:szCs w:val="21"/>
                    </w:rPr>
                  </w:pP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1713185F">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szCs w:val="21"/>
                      <w:lang w:val="en-US" w:eastAsia="zh-CN"/>
                    </w:rPr>
                  </w:pPr>
                  <w:r>
                    <w:rPr>
                      <w:rFonts w:hint="default" w:ascii="Times New Roman" w:hAnsi="Times New Roman" w:eastAsia="宋体" w:cs="Times New Roman"/>
                      <w:bCs/>
                      <w:color w:val="auto"/>
                      <w:szCs w:val="21"/>
                      <w:lang w:val="en-US" w:eastAsia="zh-CN"/>
                    </w:rPr>
                    <w:t>不合格产品</w:t>
                  </w:r>
                </w:p>
              </w:tc>
              <w:tc>
                <w:tcPr>
                  <w:tcW w:w="4866" w:type="dxa"/>
                  <w:tcBorders>
                    <w:top w:val="single" w:color="auto" w:sz="4" w:space="0"/>
                    <w:left w:val="single" w:color="auto" w:sz="4" w:space="0"/>
                    <w:bottom w:val="single" w:color="auto" w:sz="4" w:space="0"/>
                    <w:right w:val="single" w:color="auto" w:sz="4" w:space="0"/>
                  </w:tcBorders>
                  <w:shd w:val="clear" w:color="auto" w:fill="auto"/>
                  <w:vAlign w:val="center"/>
                </w:tcPr>
                <w:p w14:paraId="6A5A4195">
                  <w:pPr>
                    <w:numPr>
                      <w:ilvl w:val="3"/>
                      <w:numId w:val="0"/>
                    </w:numPr>
                    <w:tabs>
                      <w:tab w:val="left" w:pos="851"/>
                      <w:tab w:val="left" w:pos="2880"/>
                    </w:tabs>
                    <w:adjustRightInd w:val="0"/>
                    <w:snapToGrid w:val="0"/>
                    <w:ind w:left="0" w:leftChars="0" w:firstLine="0" w:firstLineChars="0"/>
                    <w:jc w:val="left"/>
                    <w:rPr>
                      <w:rFonts w:hint="default" w:ascii="Times New Roman" w:hAnsi="Times New Roman" w:eastAsia="宋体" w:cs="Times New Roman"/>
                      <w:b w:val="0"/>
                      <w:bCs w:val="0"/>
                      <w:color w:val="auto"/>
                      <w:szCs w:val="21"/>
                      <w:lang w:val="en-US" w:eastAsia="zh-CN"/>
                    </w:rPr>
                  </w:pPr>
                  <w:r>
                    <w:rPr>
                      <w:rFonts w:hint="default" w:ascii="Times New Roman" w:hAnsi="Times New Roman" w:eastAsia="宋体" w:cs="Times New Roman"/>
                      <w:b w:val="0"/>
                      <w:bCs w:val="0"/>
                      <w:color w:val="auto"/>
                      <w:szCs w:val="21"/>
                      <w:lang w:val="en-US" w:eastAsia="zh-CN"/>
                    </w:rPr>
                    <w:t>混入甘草废渣中外售</w:t>
                  </w:r>
                  <w:r>
                    <w:rPr>
                      <w:rFonts w:hint="eastAsia" w:cs="Times New Roman"/>
                      <w:b w:val="0"/>
                      <w:bCs w:val="0"/>
                      <w:color w:val="auto"/>
                      <w:szCs w:val="21"/>
                      <w:lang w:val="en-US" w:eastAsia="zh-CN"/>
                    </w:rPr>
                    <w:t>。</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734892B6">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w:t>
                  </w:r>
                </w:p>
              </w:tc>
            </w:tr>
            <w:tr w14:paraId="76D47F1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347CD5">
                  <w:pPr>
                    <w:widowControl/>
                    <w:jc w:val="center"/>
                    <w:rPr>
                      <w:rFonts w:hint="default" w:ascii="Times New Roman" w:hAnsi="Times New Roman" w:eastAsia="宋体" w:cs="Times New Roman"/>
                      <w:color w:val="auto"/>
                      <w:kern w:val="0"/>
                      <w:szCs w:val="21"/>
                    </w:rPr>
                  </w:pP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6591590C">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kern w:val="0"/>
                      <w:szCs w:val="21"/>
                      <w:lang w:val="en-US" w:eastAsia="zh-CN"/>
                    </w:rPr>
                    <w:t>软水机废滤膜</w:t>
                  </w:r>
                </w:p>
              </w:tc>
              <w:tc>
                <w:tcPr>
                  <w:tcW w:w="4866" w:type="dxa"/>
                  <w:tcBorders>
                    <w:top w:val="single" w:color="auto" w:sz="4" w:space="0"/>
                    <w:left w:val="single" w:color="auto" w:sz="4" w:space="0"/>
                    <w:bottom w:val="single" w:color="auto" w:sz="4" w:space="0"/>
                    <w:right w:val="single" w:color="auto" w:sz="4" w:space="0"/>
                  </w:tcBorders>
                  <w:shd w:val="clear" w:color="auto" w:fill="auto"/>
                  <w:vAlign w:val="center"/>
                </w:tcPr>
                <w:p w14:paraId="14121EB8">
                  <w:pPr>
                    <w:numPr>
                      <w:ilvl w:val="3"/>
                      <w:numId w:val="0"/>
                    </w:numPr>
                    <w:tabs>
                      <w:tab w:val="left" w:pos="851"/>
                      <w:tab w:val="left" w:pos="2880"/>
                    </w:tabs>
                    <w:adjustRightInd w:val="0"/>
                    <w:snapToGrid w:val="0"/>
                    <w:ind w:left="0" w:leftChars="0" w:firstLine="0" w:firstLineChars="0"/>
                    <w:jc w:val="left"/>
                    <w:rPr>
                      <w:rFonts w:hint="default" w:ascii="Times New Roman" w:hAnsi="Times New Roman" w:eastAsia="宋体" w:cs="Times New Roman"/>
                      <w:bCs/>
                      <w:color w:val="auto"/>
                      <w:kern w:val="0"/>
                      <w:sz w:val="21"/>
                      <w:szCs w:val="21"/>
                      <w:lang w:val="en-US" w:eastAsia="zh-CN" w:bidi="ar-SA"/>
                    </w:rPr>
                  </w:pPr>
                  <w:r>
                    <w:rPr>
                      <w:rFonts w:hint="default" w:ascii="Times New Roman" w:hAnsi="Times New Roman" w:eastAsia="宋体" w:cs="Times New Roman"/>
                      <w:bCs/>
                      <w:color w:val="auto"/>
                      <w:kern w:val="0"/>
                      <w:szCs w:val="21"/>
                      <w:lang w:val="en-US" w:eastAsia="zh-CN"/>
                    </w:rPr>
                    <w:t>由原生产厂家回收利用，不外排</w:t>
                  </w:r>
                  <w:r>
                    <w:rPr>
                      <w:rFonts w:hint="eastAsia" w:cs="Times New Roman"/>
                      <w:bCs/>
                      <w:color w:val="auto"/>
                      <w:kern w:val="0"/>
                      <w:szCs w:val="21"/>
                      <w:lang w:val="en-US" w:eastAsia="zh-CN"/>
                    </w:rPr>
                    <w:t>。</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163127E7">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0</w:t>
                  </w:r>
                </w:p>
              </w:tc>
            </w:tr>
            <w:tr w14:paraId="520D538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74" w:type="dxa"/>
                  <w:tcBorders>
                    <w:top w:val="single" w:color="auto" w:sz="4" w:space="0"/>
                    <w:left w:val="single" w:color="auto" w:sz="4" w:space="0"/>
                    <w:bottom w:val="single" w:color="auto" w:sz="4" w:space="0"/>
                    <w:right w:val="single" w:color="auto" w:sz="4" w:space="0"/>
                  </w:tcBorders>
                  <w:shd w:val="clear" w:color="auto" w:fill="auto"/>
                  <w:vAlign w:val="center"/>
                </w:tcPr>
                <w:p w14:paraId="511C7BB5">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噪声</w:t>
                  </w:r>
                </w:p>
              </w:tc>
              <w:tc>
                <w:tcPr>
                  <w:tcW w:w="1841" w:type="dxa"/>
                  <w:tcBorders>
                    <w:top w:val="single" w:color="auto" w:sz="4" w:space="0"/>
                    <w:left w:val="single" w:color="auto" w:sz="4" w:space="0"/>
                    <w:bottom w:val="single" w:color="auto" w:sz="4" w:space="0"/>
                    <w:right w:val="single" w:color="auto" w:sz="4" w:space="0"/>
                  </w:tcBorders>
                  <w:shd w:val="clear" w:color="auto" w:fill="auto"/>
                  <w:vAlign w:val="center"/>
                </w:tcPr>
                <w:p w14:paraId="4CC2AD63">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设备运转、运输噪声等</w:t>
                  </w:r>
                </w:p>
              </w:tc>
              <w:tc>
                <w:tcPr>
                  <w:tcW w:w="4866" w:type="dxa"/>
                  <w:tcBorders>
                    <w:top w:val="single" w:color="auto" w:sz="4" w:space="0"/>
                    <w:left w:val="single" w:color="auto" w:sz="4" w:space="0"/>
                    <w:bottom w:val="single" w:color="auto" w:sz="4" w:space="0"/>
                    <w:right w:val="single" w:color="auto" w:sz="4" w:space="0"/>
                  </w:tcBorders>
                  <w:shd w:val="clear" w:color="auto" w:fill="auto"/>
                  <w:vAlign w:val="center"/>
                </w:tcPr>
                <w:p w14:paraId="6382989D">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采用隔声、减振等措施。</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24259D39">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10</w:t>
                  </w:r>
                </w:p>
              </w:tc>
            </w:tr>
            <w:tr w14:paraId="4FF908F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72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44AF268">
                  <w:pPr>
                    <w:widowControl/>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合计</w:t>
                  </w:r>
                </w:p>
              </w:tc>
              <w:tc>
                <w:tcPr>
                  <w:tcW w:w="941" w:type="dxa"/>
                  <w:tcBorders>
                    <w:top w:val="single" w:color="auto" w:sz="4" w:space="0"/>
                    <w:left w:val="single" w:color="auto" w:sz="4" w:space="0"/>
                    <w:bottom w:val="single" w:color="auto" w:sz="4" w:space="0"/>
                    <w:right w:val="single" w:color="auto" w:sz="4" w:space="0"/>
                  </w:tcBorders>
                  <w:shd w:val="clear" w:color="auto" w:fill="auto"/>
                  <w:vAlign w:val="center"/>
                </w:tcPr>
                <w:p w14:paraId="2A4263BD">
                  <w:pPr>
                    <w:widowControl/>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val="en-US" w:eastAsia="zh-CN"/>
                    </w:rPr>
                    <w:t>45</w:t>
                  </w:r>
                </w:p>
              </w:tc>
            </w:tr>
            <w:bookmarkEnd w:id="6"/>
          </w:tbl>
          <w:p w14:paraId="239AA0A6">
            <w:pPr>
              <w:spacing w:line="360" w:lineRule="auto"/>
              <w:rPr>
                <w:rFonts w:hint="default" w:ascii="Times New Roman" w:hAnsi="Times New Roman" w:eastAsia="宋体" w:cs="Times New Roman"/>
                <w:bCs/>
                <w:color w:val="auto"/>
                <w:sz w:val="24"/>
              </w:rPr>
            </w:pPr>
          </w:p>
        </w:tc>
      </w:tr>
    </w:tbl>
    <w:p w14:paraId="357BD7C5">
      <w:pPr>
        <w:adjustRightInd w:val="0"/>
        <w:snapToGrid w:val="0"/>
        <w:spacing w:line="360" w:lineRule="auto"/>
        <w:rPr>
          <w:rFonts w:hint="default" w:ascii="Times New Roman" w:hAnsi="Times New Roman" w:eastAsia="宋体" w:cs="Times New Roman"/>
          <w:b/>
          <w:color w:val="auto"/>
          <w:kern w:val="0"/>
          <w:sz w:val="28"/>
          <w:szCs w:val="28"/>
        </w:rPr>
        <w:sectPr>
          <w:pgSz w:w="11907" w:h="16840"/>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D98F993">
      <w:pPr>
        <w:pStyle w:val="2"/>
        <w:bidi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snapToGrid w:val="0"/>
          <w:color w:val="auto"/>
          <w:sz w:val="30"/>
          <w:szCs w:val="30"/>
        </w:rPr>
        <w:t>五、</w:t>
      </w:r>
      <w:bookmarkStart w:id="7" w:name="_Hlk54167917"/>
      <w:r>
        <w:rPr>
          <w:rFonts w:hint="default" w:ascii="Times New Roman" w:hAnsi="Times New Roman" w:eastAsia="宋体" w:cs="Times New Roman"/>
          <w:snapToGrid w:val="0"/>
          <w:color w:val="auto"/>
          <w:sz w:val="30"/>
          <w:szCs w:val="30"/>
        </w:rPr>
        <w:t>环境保护措施监督检查清单</w:t>
      </w:r>
      <w:bookmarkEnd w:id="7"/>
    </w:p>
    <w:tbl>
      <w:tblPr>
        <w:tblStyle w:val="7"/>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701"/>
        <w:gridCol w:w="1431"/>
        <w:gridCol w:w="2112"/>
        <w:gridCol w:w="2018"/>
      </w:tblGrid>
      <w:tr w14:paraId="7C90B4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tcBorders>
              <w:tl2br w:val="single" w:color="auto" w:sz="4" w:space="0"/>
            </w:tcBorders>
          </w:tcPr>
          <w:p w14:paraId="60AB4D9F">
            <w:pPr>
              <w:adjustRightInd w:val="0"/>
              <w:snapToGrid w:val="0"/>
              <w:ind w:firstLine="84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内容</w:t>
            </w:r>
          </w:p>
          <w:p w14:paraId="26CDC912">
            <w:pPr>
              <w:adjustRightInd w:val="0"/>
              <w:snapToGrid w:val="0"/>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要素</w:t>
            </w:r>
          </w:p>
        </w:tc>
        <w:tc>
          <w:tcPr>
            <w:tcW w:w="1701" w:type="dxa"/>
            <w:vAlign w:val="center"/>
          </w:tcPr>
          <w:p w14:paraId="3FA77821">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排放口（编号、</w:t>
            </w:r>
          </w:p>
          <w:p w14:paraId="16B8537F">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名称）/污染源</w:t>
            </w:r>
          </w:p>
        </w:tc>
        <w:tc>
          <w:tcPr>
            <w:tcW w:w="1431" w:type="dxa"/>
            <w:vAlign w:val="center"/>
          </w:tcPr>
          <w:p w14:paraId="3867E9E2">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污染物项目</w:t>
            </w:r>
          </w:p>
        </w:tc>
        <w:tc>
          <w:tcPr>
            <w:tcW w:w="2112" w:type="dxa"/>
            <w:vAlign w:val="center"/>
          </w:tcPr>
          <w:p w14:paraId="0584462B">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环境保护措施</w:t>
            </w:r>
          </w:p>
        </w:tc>
        <w:tc>
          <w:tcPr>
            <w:tcW w:w="2018" w:type="dxa"/>
            <w:vAlign w:val="center"/>
          </w:tcPr>
          <w:p w14:paraId="3E84828A">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执行标准</w:t>
            </w:r>
          </w:p>
        </w:tc>
      </w:tr>
      <w:tr w14:paraId="252CA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566316AA">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大气环境</w:t>
            </w:r>
          </w:p>
        </w:tc>
        <w:tc>
          <w:tcPr>
            <w:tcW w:w="1701" w:type="dxa"/>
            <w:shd w:val="clear" w:color="auto" w:fill="auto"/>
            <w:vAlign w:val="center"/>
          </w:tcPr>
          <w:p w14:paraId="32696647">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b w:val="0"/>
                <w:bCs w:val="0"/>
                <w:color w:val="auto"/>
                <w:sz w:val="24"/>
                <w:szCs w:val="24"/>
                <w:lang w:val="en-US" w:eastAsia="zh-CN"/>
              </w:rPr>
              <w:t>燃气锅炉天然气燃烧</w:t>
            </w:r>
          </w:p>
        </w:tc>
        <w:tc>
          <w:tcPr>
            <w:tcW w:w="1431" w:type="dxa"/>
            <w:shd w:val="clear" w:color="auto" w:fill="auto"/>
            <w:vAlign w:val="center"/>
          </w:tcPr>
          <w:p w14:paraId="10858890">
            <w:pPr>
              <w:adjustRightInd w:val="0"/>
              <w:snapToGrid w:val="0"/>
              <w:jc w:val="center"/>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颗粒物、氮氧化物、二氧化硫、烟气林格曼黑度</w:t>
            </w:r>
          </w:p>
        </w:tc>
        <w:tc>
          <w:tcPr>
            <w:tcW w:w="2112" w:type="dxa"/>
            <w:shd w:val="clear" w:color="auto" w:fill="auto"/>
            <w:vAlign w:val="center"/>
          </w:tcPr>
          <w:p w14:paraId="6DD4BCD3">
            <w:pPr>
              <w:adjustRightInd w:val="0"/>
              <w:snapToGrid w:val="0"/>
              <w:jc w:val="center"/>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sz w:val="24"/>
                <w:szCs w:val="24"/>
                <w:lang w:val="en-US" w:eastAsia="zh-CN"/>
              </w:rPr>
              <w:t>低氮燃烧+8m高排气筒</w:t>
            </w:r>
          </w:p>
        </w:tc>
        <w:tc>
          <w:tcPr>
            <w:tcW w:w="2018" w:type="dxa"/>
            <w:vAlign w:val="center"/>
          </w:tcPr>
          <w:p w14:paraId="155CD38E">
            <w:pPr>
              <w:adjustRightInd w:val="0"/>
              <w:snapToGrid w:val="0"/>
              <w:jc w:val="center"/>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《锅炉大气污染物排放标准》（GB13271-2014）新建燃气锅炉</w:t>
            </w:r>
            <w:r>
              <w:rPr>
                <w:rFonts w:hint="eastAsia" w:cs="Times New Roman"/>
                <w:color w:val="auto"/>
                <w:sz w:val="24"/>
                <w:szCs w:val="24"/>
                <w:lang w:eastAsia="zh-CN"/>
              </w:rPr>
              <w:t>排放</w:t>
            </w:r>
            <w:r>
              <w:rPr>
                <w:rFonts w:hint="default" w:ascii="Times New Roman" w:hAnsi="Times New Roman" w:eastAsia="宋体" w:cs="Times New Roman"/>
                <w:color w:val="auto"/>
                <w:sz w:val="24"/>
                <w:szCs w:val="24"/>
              </w:rPr>
              <w:t>标准</w:t>
            </w:r>
            <w:r>
              <w:rPr>
                <w:rFonts w:hint="eastAsia" w:cs="Times New Roman"/>
                <w:color w:val="auto"/>
                <w:sz w:val="24"/>
                <w:szCs w:val="24"/>
                <w:lang w:eastAsia="zh-CN"/>
              </w:rPr>
              <w:t>。</w:t>
            </w:r>
          </w:p>
        </w:tc>
      </w:tr>
      <w:tr w14:paraId="19878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01F1B711">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地表水环境</w:t>
            </w:r>
          </w:p>
        </w:tc>
        <w:tc>
          <w:tcPr>
            <w:tcW w:w="1701" w:type="dxa"/>
            <w:shd w:val="clear" w:color="auto" w:fill="auto"/>
            <w:vAlign w:val="center"/>
          </w:tcPr>
          <w:p w14:paraId="3108A779">
            <w:pPr>
              <w:adjustRightInd w:val="0"/>
              <w:snapToGrid w:val="0"/>
              <w:jc w:val="center"/>
              <w:rPr>
                <w:rFonts w:hint="default" w:ascii="Times New Roman" w:hAnsi="Times New Roman" w:eastAsia="宋体" w:cs="Times New Roman"/>
                <w:color w:val="auto"/>
                <w:kern w:val="2"/>
                <w:sz w:val="24"/>
                <w:szCs w:val="24"/>
                <w:lang w:val="en-US" w:eastAsia="zh-CN" w:bidi="ar"/>
              </w:rPr>
            </w:pPr>
            <w:r>
              <w:rPr>
                <w:rFonts w:hint="default" w:ascii="Times New Roman" w:hAnsi="Times New Roman" w:eastAsia="宋体" w:cs="Times New Roman"/>
                <w:color w:val="auto"/>
                <w:sz w:val="24"/>
                <w:szCs w:val="24"/>
                <w:lang w:val="en-US" w:eastAsia="zh-CN" w:bidi="ar"/>
              </w:rPr>
              <w:t>/</w:t>
            </w:r>
          </w:p>
        </w:tc>
        <w:tc>
          <w:tcPr>
            <w:tcW w:w="1431" w:type="dxa"/>
            <w:shd w:val="clear" w:color="auto" w:fill="auto"/>
            <w:vAlign w:val="center"/>
          </w:tcPr>
          <w:p w14:paraId="340D8B73">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w:t>
            </w:r>
          </w:p>
        </w:tc>
        <w:tc>
          <w:tcPr>
            <w:tcW w:w="2112" w:type="dxa"/>
            <w:shd w:val="clear" w:color="auto" w:fill="auto"/>
            <w:vAlign w:val="center"/>
          </w:tcPr>
          <w:p w14:paraId="06AB97FE">
            <w:pPr>
              <w:numPr>
                <w:ilvl w:val="3"/>
                <w:numId w:val="0"/>
              </w:numPr>
              <w:tabs>
                <w:tab w:val="left" w:pos="851"/>
                <w:tab w:val="left" w:pos="2880"/>
              </w:tabs>
              <w:adjustRightInd w:val="0"/>
              <w:snapToGrid w:val="0"/>
              <w:ind w:left="0" w:leftChars="0" w:firstLine="0" w:firstLineChars="0"/>
              <w:jc w:val="center"/>
              <w:rPr>
                <w:rFonts w:hint="default" w:ascii="Times New Roman" w:hAnsi="Times New Roman" w:eastAsia="宋体" w:cs="Times New Roman"/>
                <w:bCs/>
                <w:color w:val="auto"/>
                <w:kern w:val="0"/>
                <w:sz w:val="24"/>
                <w:szCs w:val="24"/>
                <w:lang w:val="en-US" w:eastAsia="zh-CN" w:bidi="ar-SA"/>
              </w:rPr>
            </w:pPr>
            <w:r>
              <w:rPr>
                <w:rFonts w:hint="default" w:ascii="Times New Roman" w:hAnsi="Times New Roman" w:eastAsia="宋体" w:cs="Times New Roman"/>
                <w:bCs/>
                <w:color w:val="auto"/>
                <w:kern w:val="0"/>
                <w:sz w:val="24"/>
                <w:szCs w:val="24"/>
                <w:lang w:val="en-US" w:eastAsia="zh-CN" w:bidi="ar-SA"/>
              </w:rPr>
              <w:t>/</w:t>
            </w:r>
          </w:p>
        </w:tc>
        <w:tc>
          <w:tcPr>
            <w:tcW w:w="2018" w:type="dxa"/>
            <w:vAlign w:val="center"/>
          </w:tcPr>
          <w:p w14:paraId="7FF29D3F">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w:t>
            </w:r>
          </w:p>
        </w:tc>
      </w:tr>
      <w:tr w14:paraId="360A1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2C1FB206">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声环境</w:t>
            </w:r>
          </w:p>
        </w:tc>
        <w:tc>
          <w:tcPr>
            <w:tcW w:w="1701" w:type="dxa"/>
            <w:vAlign w:val="center"/>
          </w:tcPr>
          <w:p w14:paraId="56FD5F87">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bidi="ar"/>
              </w:rPr>
              <w:t>生产</w:t>
            </w:r>
            <w:r>
              <w:rPr>
                <w:rFonts w:hint="default" w:ascii="Times New Roman" w:hAnsi="Times New Roman" w:eastAsia="宋体" w:cs="Times New Roman"/>
                <w:color w:val="auto"/>
                <w:sz w:val="24"/>
                <w:szCs w:val="24"/>
                <w:lang w:bidi="ar"/>
              </w:rPr>
              <w:t>设备</w:t>
            </w:r>
          </w:p>
        </w:tc>
        <w:tc>
          <w:tcPr>
            <w:tcW w:w="1431" w:type="dxa"/>
            <w:vAlign w:val="center"/>
          </w:tcPr>
          <w:p w14:paraId="5146A598">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等效连续A声级</w:t>
            </w:r>
          </w:p>
        </w:tc>
        <w:tc>
          <w:tcPr>
            <w:tcW w:w="2112" w:type="dxa"/>
            <w:vAlign w:val="center"/>
          </w:tcPr>
          <w:p w14:paraId="1E4B931C">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采取</w:t>
            </w:r>
            <w:r>
              <w:rPr>
                <w:rFonts w:hint="default" w:ascii="Times New Roman" w:hAnsi="Times New Roman" w:eastAsia="宋体" w:cs="Times New Roman"/>
                <w:color w:val="auto"/>
                <w:sz w:val="24"/>
                <w:szCs w:val="24"/>
                <w:lang w:val="en-US" w:eastAsia="zh-CN"/>
              </w:rPr>
              <w:t>合理布局</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基础减振</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选择低噪声设备</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建筑隔声</w:t>
            </w:r>
            <w:r>
              <w:rPr>
                <w:rFonts w:hint="eastAsia" w:cs="Times New Roman"/>
                <w:color w:val="auto"/>
                <w:sz w:val="24"/>
                <w:szCs w:val="24"/>
                <w:lang w:val="en-US" w:eastAsia="zh-CN"/>
              </w:rPr>
              <w:t>等措施。</w:t>
            </w:r>
          </w:p>
        </w:tc>
        <w:tc>
          <w:tcPr>
            <w:tcW w:w="2018" w:type="dxa"/>
            <w:vAlign w:val="center"/>
          </w:tcPr>
          <w:p w14:paraId="5457594F">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《工业企业厂界环境噪声排放标准》（GB12348-2008）</w:t>
            </w:r>
            <w:r>
              <w:rPr>
                <w:rFonts w:hint="default" w:ascii="Times New Roman" w:hAnsi="Times New Roman" w:eastAsia="宋体" w:cs="Times New Roman"/>
                <w:color w:val="auto"/>
                <w:sz w:val="24"/>
                <w:szCs w:val="24"/>
                <w:lang w:eastAsia="zh-CN"/>
              </w:rPr>
              <w:t>2类标准</w:t>
            </w:r>
            <w:r>
              <w:rPr>
                <w:rFonts w:hint="default" w:ascii="Times New Roman" w:hAnsi="Times New Roman" w:eastAsia="宋体" w:cs="Times New Roman"/>
                <w:color w:val="auto"/>
                <w:sz w:val="24"/>
                <w:szCs w:val="24"/>
              </w:rPr>
              <w:t>要求</w:t>
            </w:r>
          </w:p>
        </w:tc>
      </w:tr>
      <w:tr w14:paraId="735ED9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538" w:type="dxa"/>
            <w:vAlign w:val="center"/>
          </w:tcPr>
          <w:p w14:paraId="3C4C30BB">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固体废物</w:t>
            </w:r>
          </w:p>
        </w:tc>
        <w:tc>
          <w:tcPr>
            <w:tcW w:w="7262" w:type="dxa"/>
            <w:gridSpan w:val="4"/>
            <w:vAlign w:val="center"/>
          </w:tcPr>
          <w:p w14:paraId="51F65D1C">
            <w:pPr>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生活垃圾经厂内垃圾箱收集后交由当地环卫部门定期清运处理。</w:t>
            </w:r>
            <w:r>
              <w:rPr>
                <w:rFonts w:hint="default" w:ascii="Times New Roman" w:hAnsi="Times New Roman" w:eastAsia="宋体" w:cs="Times New Roman"/>
                <w:color w:val="auto"/>
                <w:sz w:val="24"/>
                <w:szCs w:val="24"/>
                <w:lang w:val="en-US" w:eastAsia="zh-CN"/>
              </w:rPr>
              <w:t>甘草清洗泥渣收集暂存于1#厂房固废隔间，定期送往甘草产地，回用于甘草种植。甘草废渣收集暂存于1#厂房固废隔间，外售于牛羊饲料生产的企业，综合利用。不合格产品混入甘草废渣中外售。软水机废滤膜由原生产厂家回收利用，不外排。</w:t>
            </w:r>
          </w:p>
        </w:tc>
      </w:tr>
      <w:tr w14:paraId="64EE2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538" w:type="dxa"/>
            <w:vAlign w:val="center"/>
          </w:tcPr>
          <w:p w14:paraId="31913EA3">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土壤及地下水污染防治措施</w:t>
            </w:r>
          </w:p>
        </w:tc>
        <w:tc>
          <w:tcPr>
            <w:tcW w:w="7262" w:type="dxa"/>
            <w:gridSpan w:val="4"/>
            <w:vAlign w:val="center"/>
          </w:tcPr>
          <w:p w14:paraId="2C1CB8E6">
            <w:pPr>
              <w:adjustRightInd w:val="0"/>
              <w:snapToGrid w:val="0"/>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参照</w:t>
            </w:r>
            <w:r>
              <w:rPr>
                <w:rFonts w:hint="default" w:ascii="Times New Roman" w:hAnsi="Times New Roman" w:eastAsia="宋体" w:cs="Times New Roman"/>
                <w:color w:val="auto"/>
                <w:sz w:val="24"/>
                <w:szCs w:val="24"/>
              </w:rPr>
              <w:t>《环境影响评价技术导则 地下水环境》（HJ610-2016）</w:t>
            </w:r>
            <w:r>
              <w:rPr>
                <w:rFonts w:hint="default" w:ascii="Times New Roman" w:hAnsi="Times New Roman" w:eastAsia="宋体" w:cs="Times New Roman"/>
                <w:color w:val="auto"/>
                <w:sz w:val="24"/>
                <w:szCs w:val="24"/>
                <w:lang w:bidi="ar"/>
              </w:rPr>
              <w:t>一般防渗区要求，对</w:t>
            </w:r>
            <w:r>
              <w:rPr>
                <w:rFonts w:hint="default" w:ascii="Times New Roman" w:hAnsi="Times New Roman" w:eastAsia="宋体" w:cs="Times New Roman"/>
                <w:color w:val="auto"/>
                <w:sz w:val="24"/>
                <w:szCs w:val="24"/>
                <w:lang w:val="en-US" w:eastAsia="zh-CN" w:bidi="ar"/>
              </w:rPr>
              <w:t>化粪池池底及四周采用钢筋混凝土浇筑</w:t>
            </w:r>
            <w:r>
              <w:rPr>
                <w:rFonts w:hint="default" w:ascii="Times New Roman" w:hAnsi="Times New Roman" w:eastAsia="宋体" w:cs="Times New Roman"/>
                <w:color w:val="auto"/>
                <w:sz w:val="24"/>
                <w:szCs w:val="24"/>
                <w:lang w:bidi="ar"/>
              </w:rPr>
              <w:t>，</w:t>
            </w:r>
            <w:r>
              <w:rPr>
                <w:rFonts w:hint="default" w:ascii="Times New Roman" w:hAnsi="Times New Roman" w:eastAsia="宋体" w:cs="Times New Roman"/>
                <w:color w:val="auto"/>
                <w:sz w:val="24"/>
                <w:szCs w:val="24"/>
                <w:lang w:eastAsia="zh-CN" w:bidi="ar"/>
              </w:rPr>
              <w:t>等效黏</w:t>
            </w:r>
            <w:r>
              <w:rPr>
                <w:rFonts w:hint="default" w:ascii="Times New Roman" w:hAnsi="Times New Roman" w:eastAsia="宋体" w:cs="Times New Roman"/>
                <w:color w:val="auto"/>
                <w:sz w:val="24"/>
                <w:szCs w:val="24"/>
                <w:lang w:val="en-US" w:eastAsia="zh-CN" w:bidi="ar"/>
              </w:rPr>
              <w:t>土</w:t>
            </w:r>
            <w:r>
              <w:rPr>
                <w:rFonts w:hint="default" w:ascii="Times New Roman" w:hAnsi="Times New Roman" w:eastAsia="宋体" w:cs="Times New Roman"/>
                <w:color w:val="auto"/>
                <w:sz w:val="24"/>
                <w:szCs w:val="24"/>
                <w:lang w:bidi="ar"/>
              </w:rPr>
              <w:t>防渗层Mb≥1.5</w:t>
            </w:r>
            <w:r>
              <w:rPr>
                <w:rFonts w:hint="default" w:ascii="Times New Roman" w:hAnsi="Times New Roman" w:eastAsia="宋体" w:cs="Times New Roman"/>
                <w:color w:val="auto"/>
                <w:sz w:val="24"/>
                <w:szCs w:val="24"/>
                <w:vertAlign w:val="baseline"/>
                <w:lang w:eastAsia="zh-CN" w:bidi="ar"/>
              </w:rPr>
              <w:t>m</w:t>
            </w:r>
            <w:r>
              <w:rPr>
                <w:rFonts w:hint="default" w:ascii="Times New Roman" w:hAnsi="Times New Roman" w:eastAsia="宋体" w:cs="Times New Roman"/>
                <w:color w:val="auto"/>
                <w:sz w:val="24"/>
                <w:szCs w:val="24"/>
                <w:lang w:bidi="ar"/>
              </w:rPr>
              <w:t>，渗透系数小于1×10</w:t>
            </w:r>
            <w:r>
              <w:rPr>
                <w:rFonts w:hint="default" w:ascii="Times New Roman" w:hAnsi="Times New Roman" w:eastAsia="宋体" w:cs="Times New Roman"/>
                <w:color w:val="auto"/>
                <w:sz w:val="24"/>
                <w:szCs w:val="24"/>
                <w:vertAlign w:val="superscript"/>
                <w:lang w:bidi="ar"/>
              </w:rPr>
              <w:t>-7</w:t>
            </w:r>
            <w:r>
              <w:rPr>
                <w:rFonts w:hint="default" w:ascii="Times New Roman" w:hAnsi="Times New Roman" w:eastAsia="宋体" w:cs="Times New Roman"/>
                <w:color w:val="auto"/>
                <w:sz w:val="24"/>
                <w:szCs w:val="24"/>
                <w:lang w:bidi="ar"/>
              </w:rPr>
              <w:t>c</w:t>
            </w:r>
            <w:r>
              <w:rPr>
                <w:rFonts w:hint="default" w:ascii="Times New Roman" w:hAnsi="Times New Roman" w:eastAsia="宋体" w:cs="Times New Roman"/>
                <w:color w:val="auto"/>
                <w:sz w:val="24"/>
                <w:szCs w:val="24"/>
                <w:vertAlign w:val="baseline"/>
                <w:lang w:eastAsia="zh-CN" w:bidi="ar"/>
              </w:rPr>
              <w:t>m</w:t>
            </w:r>
            <w:r>
              <w:rPr>
                <w:rFonts w:hint="default" w:ascii="Times New Roman" w:hAnsi="Times New Roman" w:eastAsia="宋体" w:cs="Times New Roman"/>
                <w:color w:val="auto"/>
                <w:sz w:val="24"/>
                <w:szCs w:val="24"/>
                <w:lang w:bidi="ar"/>
              </w:rPr>
              <w:t>/s。</w:t>
            </w:r>
            <w:r>
              <w:rPr>
                <w:rFonts w:hint="default" w:ascii="Times New Roman" w:hAnsi="Times New Roman" w:eastAsia="宋体" w:cs="Times New Roman"/>
                <w:color w:val="auto"/>
                <w:sz w:val="24"/>
                <w:szCs w:val="24"/>
                <w:lang w:val="en-US" w:eastAsia="zh-CN" w:bidi="ar"/>
              </w:rPr>
              <w:t>车间地面、</w:t>
            </w:r>
            <w:r>
              <w:rPr>
                <w:rFonts w:hint="default" w:ascii="Times New Roman" w:hAnsi="Times New Roman" w:eastAsia="宋体" w:cs="Times New Roman"/>
                <w:color w:val="auto"/>
                <w:sz w:val="24"/>
                <w:szCs w:val="24"/>
                <w:lang w:eastAsia="zh-CN" w:bidi="ar"/>
              </w:rPr>
              <w:t>室外地面等，</w:t>
            </w:r>
            <w:r>
              <w:rPr>
                <w:rFonts w:hint="default" w:ascii="Times New Roman" w:hAnsi="Times New Roman" w:eastAsia="宋体" w:cs="Times New Roman"/>
                <w:color w:val="auto"/>
                <w:sz w:val="24"/>
                <w:szCs w:val="24"/>
                <w:lang w:val="en-US" w:eastAsia="zh-CN" w:bidi="ar"/>
              </w:rPr>
              <w:t>采用混凝土进行</w:t>
            </w:r>
            <w:r>
              <w:rPr>
                <w:rFonts w:hint="default" w:ascii="Times New Roman" w:hAnsi="Times New Roman" w:eastAsia="宋体" w:cs="Times New Roman"/>
                <w:color w:val="auto"/>
                <w:sz w:val="24"/>
                <w:szCs w:val="24"/>
                <w:lang w:eastAsia="zh-CN" w:bidi="ar"/>
              </w:rPr>
              <w:t>一般地面硬化。</w:t>
            </w:r>
          </w:p>
        </w:tc>
      </w:tr>
      <w:tr w14:paraId="3C160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1F499E48">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生态保护措施</w:t>
            </w:r>
          </w:p>
        </w:tc>
        <w:tc>
          <w:tcPr>
            <w:tcW w:w="7262" w:type="dxa"/>
            <w:gridSpan w:val="4"/>
            <w:vAlign w:val="center"/>
          </w:tcPr>
          <w:p w14:paraId="6649E654">
            <w:pPr>
              <w:adjustRightInd w:val="0"/>
              <w:snapToGrid w:val="0"/>
              <w:ind w:firstLine="480" w:firstLineChars="200"/>
              <w:jc w:val="left"/>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lang w:val="en-US" w:eastAsia="zh-CN"/>
              </w:rPr>
              <w:t>无</w:t>
            </w:r>
            <w:r>
              <w:rPr>
                <w:rFonts w:hint="default" w:ascii="Times New Roman" w:hAnsi="Times New Roman" w:eastAsia="宋体" w:cs="Times New Roman"/>
                <w:bCs/>
                <w:color w:val="auto"/>
                <w:sz w:val="24"/>
                <w:szCs w:val="24"/>
              </w:rPr>
              <w:t>。</w:t>
            </w:r>
          </w:p>
        </w:tc>
      </w:tr>
      <w:tr w14:paraId="5B6C1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538" w:type="dxa"/>
            <w:vAlign w:val="center"/>
          </w:tcPr>
          <w:p w14:paraId="34ABC522">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环境风险</w:t>
            </w:r>
          </w:p>
          <w:p w14:paraId="3CB68510">
            <w:pPr>
              <w:adjustRightInd w:val="0"/>
              <w:snapToGrid w:val="0"/>
              <w:jc w:val="center"/>
              <w:rPr>
                <w:rFonts w:hint="default" w:ascii="Times New Roman" w:hAnsi="Times New Roman" w:eastAsia="宋体" w:cs="Times New Roman"/>
                <w:b/>
                <w:bCs/>
                <w:color w:val="auto"/>
                <w:spacing w:val="-8"/>
                <w:sz w:val="24"/>
                <w:szCs w:val="24"/>
              </w:rPr>
            </w:pPr>
            <w:r>
              <w:rPr>
                <w:rFonts w:hint="default" w:ascii="Times New Roman" w:hAnsi="Times New Roman" w:eastAsia="宋体" w:cs="Times New Roman"/>
                <w:b/>
                <w:bCs/>
                <w:color w:val="auto"/>
                <w:sz w:val="24"/>
                <w:szCs w:val="24"/>
              </w:rPr>
              <w:t>防范措施</w:t>
            </w:r>
          </w:p>
        </w:tc>
        <w:tc>
          <w:tcPr>
            <w:tcW w:w="7262" w:type="dxa"/>
            <w:gridSpan w:val="4"/>
            <w:vAlign w:val="center"/>
          </w:tcPr>
          <w:p w14:paraId="1C9F01AA">
            <w:pPr>
              <w:adjustRightInd w:val="0"/>
              <w:snapToGrid w:val="0"/>
              <w:ind w:firstLine="480" w:firstLineChars="200"/>
              <w:jc w:val="left"/>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val="en-US" w:eastAsia="zh-CN" w:bidi="ar"/>
              </w:rPr>
              <w:t>①建立健全规章制度，车间严禁烟火；加强管理，防止因管理不善而导致车间火灾；每天对车间设备进行检查，防止因为设备故障而引起火灾；对员工进行上岗培训，使其了解作业中应该注意的具体事项；</w:t>
            </w:r>
          </w:p>
          <w:p w14:paraId="75923FF1">
            <w:pPr>
              <w:adjustRightInd w:val="0"/>
              <w:snapToGrid w:val="0"/>
              <w:ind w:firstLine="480" w:firstLineChars="200"/>
              <w:jc w:val="left"/>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val="en-US" w:eastAsia="zh-CN" w:bidi="ar"/>
              </w:rPr>
              <w:t>②建立完善的消防设施，在各建筑物内、工艺装置区等配置适量手提式及推车式灭火器，用于扑灭初期火灾，保持疏散通道畅通；</w:t>
            </w:r>
          </w:p>
          <w:p w14:paraId="411B9D3D">
            <w:pPr>
              <w:adjustRightInd w:val="0"/>
              <w:snapToGrid w:val="0"/>
              <w:ind w:firstLine="480" w:firstLineChars="200"/>
              <w:jc w:val="left"/>
              <w:rPr>
                <w:rFonts w:hint="default" w:ascii="Times New Roman" w:hAnsi="Times New Roman" w:eastAsia="宋体" w:cs="Times New Roman"/>
                <w:color w:val="auto"/>
                <w:sz w:val="24"/>
                <w:szCs w:val="24"/>
                <w:lang w:bidi="zh-CN"/>
              </w:rPr>
            </w:pPr>
            <w:r>
              <w:rPr>
                <w:rFonts w:hint="default" w:ascii="Times New Roman" w:hAnsi="Times New Roman" w:eastAsia="宋体" w:cs="Times New Roman"/>
                <w:color w:val="auto"/>
                <w:sz w:val="24"/>
                <w:szCs w:val="24"/>
                <w:lang w:val="en-US" w:eastAsia="zh-CN" w:bidi="ar"/>
              </w:rPr>
              <w:t>③车间内设备布置合理，各机械设备之间保持一定的距离，禁止在通道上堆放原料或者成品</w:t>
            </w:r>
            <w:r>
              <w:rPr>
                <w:rFonts w:hint="eastAsia" w:cs="Times New Roman"/>
                <w:color w:val="auto"/>
                <w:sz w:val="24"/>
                <w:szCs w:val="24"/>
                <w:lang w:val="en-US" w:eastAsia="zh-CN" w:bidi="ar"/>
              </w:rPr>
              <w:t>。</w:t>
            </w:r>
            <w:r>
              <w:rPr>
                <w:rFonts w:hint="default" w:ascii="Times New Roman" w:hAnsi="Times New Roman" w:eastAsia="宋体" w:cs="Times New Roman"/>
                <w:color w:val="auto"/>
                <w:sz w:val="24"/>
                <w:szCs w:val="24"/>
                <w:lang w:val="en-US" w:eastAsia="zh-CN" w:bidi="ar"/>
              </w:rPr>
              <w:t>机械设备要加强维护，定期检修，保障正常运行。高速转动的轴、轮等部位要定期、按时保养，各设备要有良好的接地或接零装置。</w:t>
            </w:r>
          </w:p>
        </w:tc>
      </w:tr>
      <w:tr w14:paraId="391A8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38" w:type="dxa"/>
            <w:vAlign w:val="center"/>
          </w:tcPr>
          <w:p w14:paraId="5C12E8A0">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其他环境</w:t>
            </w:r>
          </w:p>
          <w:p w14:paraId="5C7328ED">
            <w:pPr>
              <w:adjustRightInd w:val="0"/>
              <w:snapToGrid w:val="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管理要求</w:t>
            </w:r>
          </w:p>
        </w:tc>
        <w:tc>
          <w:tcPr>
            <w:tcW w:w="7262" w:type="dxa"/>
            <w:gridSpan w:val="4"/>
            <w:vAlign w:val="center"/>
          </w:tcPr>
          <w:p w14:paraId="48F5EE07">
            <w:pPr>
              <w:adjustRightInd w:val="0"/>
              <w:snapToGrid w:val="0"/>
              <w:ind w:firstLine="480" w:firstLineChars="200"/>
              <w:jc w:val="left"/>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1.环境保护管理</w:t>
            </w:r>
          </w:p>
          <w:p w14:paraId="1DB96BE5">
            <w:pPr>
              <w:adjustRightInd w:val="0"/>
              <w:snapToGrid w:val="0"/>
              <w:ind w:firstLine="480" w:firstLineChars="200"/>
              <w:jc w:val="left"/>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p w14:paraId="2273737D">
            <w:pPr>
              <w:adjustRightInd w:val="0"/>
              <w:snapToGrid w:val="0"/>
              <w:ind w:firstLine="480" w:firstLineChars="200"/>
              <w:jc w:val="left"/>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val="en-US" w:eastAsia="zh-CN" w:bidi="ar"/>
              </w:rPr>
              <w:t>2</w:t>
            </w:r>
            <w:r>
              <w:rPr>
                <w:rFonts w:hint="default" w:ascii="Times New Roman" w:hAnsi="Times New Roman" w:eastAsia="宋体" w:cs="Times New Roman"/>
                <w:color w:val="auto"/>
                <w:sz w:val="24"/>
                <w:szCs w:val="24"/>
                <w:lang w:bidi="ar"/>
              </w:rPr>
              <w:t>.竣工环保验收要求</w:t>
            </w:r>
          </w:p>
          <w:p w14:paraId="42224E17">
            <w:pPr>
              <w:adjustRightInd w:val="0"/>
              <w:snapToGrid w:val="0"/>
              <w:ind w:firstLine="480" w:firstLineChars="200"/>
              <w:jc w:val="left"/>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根据《建设项目竣工环境保护验收暂行办法》的规定，建设项目竣工后，建设单位应当如实查验、监测、记载建设项目环境保护设施的建设和调试情况，并编制验收监测报告。</w:t>
            </w:r>
          </w:p>
        </w:tc>
      </w:tr>
    </w:tbl>
    <w:p w14:paraId="4AAE0DCA">
      <w:pPr>
        <w:pStyle w:val="2"/>
        <w:bidi w:val="0"/>
        <w:rPr>
          <w:rFonts w:hint="default" w:ascii="Times New Roman" w:hAnsi="Times New Roman" w:eastAsia="宋体" w:cs="Times New Roman"/>
          <w:snapToGrid w:val="0"/>
          <w:color w:val="auto"/>
          <w:sz w:val="30"/>
          <w:szCs w:val="30"/>
        </w:rPr>
      </w:pPr>
      <w:r>
        <w:rPr>
          <w:rFonts w:hint="default" w:ascii="Times New Roman" w:hAnsi="Times New Roman" w:eastAsia="宋体" w:cs="Times New Roman"/>
          <w:snapToGrid w:val="0"/>
          <w:color w:val="auto"/>
        </w:rPr>
        <w:br w:type="page"/>
      </w:r>
      <w:r>
        <w:rPr>
          <w:rFonts w:hint="default" w:ascii="Times New Roman" w:hAnsi="Times New Roman" w:eastAsia="宋体" w:cs="Times New Roman"/>
          <w:snapToGrid w:val="0"/>
          <w:color w:val="auto"/>
          <w:sz w:val="30"/>
          <w:szCs w:val="30"/>
        </w:rPr>
        <w:t>六、结论</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6A6D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1253D288">
            <w:pPr>
              <w:spacing w:line="360" w:lineRule="auto"/>
              <w:ind w:firstLine="420" w:firstLineChars="200"/>
              <w:rPr>
                <w:rFonts w:hint="default" w:ascii="Times New Roman" w:hAnsi="Times New Roman" w:eastAsia="宋体" w:cs="Times New Roman"/>
                <w:bCs/>
                <w:color w:val="auto"/>
                <w:szCs w:val="21"/>
              </w:rPr>
            </w:pPr>
          </w:p>
          <w:p w14:paraId="34C05E35">
            <w:pPr>
              <w:spacing w:line="360" w:lineRule="auto"/>
              <w:ind w:firstLine="480" w:firstLineChars="200"/>
              <w:rPr>
                <w:rFonts w:hint="default" w:ascii="Times New Roman" w:hAnsi="Times New Roman" w:eastAsia="宋体" w:cs="Times New Roman"/>
                <w:bCs/>
                <w:color w:val="auto"/>
                <w:sz w:val="24"/>
                <w:szCs w:val="24"/>
              </w:rPr>
            </w:pPr>
            <w:r>
              <w:rPr>
                <w:rFonts w:hint="default" w:ascii="Times New Roman" w:hAnsi="Times New Roman" w:eastAsia="宋体" w:cs="Times New Roman"/>
                <w:bCs/>
                <w:color w:val="auto"/>
                <w:sz w:val="24"/>
                <w:szCs w:val="24"/>
              </w:rPr>
              <w:t xml:space="preserve">本项目符合产业政策、选址合理，项目的建设对周围环境会产生一定影响。在认真落实本报告中提出的各项污染防治措施及建议的前提下，加强环境管理，其废气、废水、噪声、固体废弃物等对周围环境的影响控制在可接受范围内。项目建设对周边生态影响较小。从环境保护角度分析，该项目建设可行。 </w:t>
            </w:r>
          </w:p>
          <w:p w14:paraId="52EAF6F0">
            <w:pPr>
              <w:spacing w:line="360" w:lineRule="auto"/>
              <w:ind w:firstLine="480" w:firstLineChars="200"/>
              <w:rPr>
                <w:rFonts w:hint="default" w:ascii="Times New Roman" w:hAnsi="Times New Roman" w:eastAsia="宋体" w:cs="Times New Roman"/>
                <w:bCs/>
                <w:color w:val="auto"/>
                <w:sz w:val="24"/>
                <w:szCs w:val="24"/>
              </w:rPr>
            </w:pPr>
          </w:p>
          <w:p w14:paraId="1B102D4E">
            <w:pPr>
              <w:spacing w:line="360" w:lineRule="auto"/>
              <w:ind w:firstLine="420" w:firstLineChars="200"/>
              <w:rPr>
                <w:rFonts w:hint="default" w:ascii="Times New Roman" w:hAnsi="Times New Roman" w:eastAsia="宋体" w:cs="Times New Roman"/>
                <w:color w:val="auto"/>
                <w:szCs w:val="21"/>
              </w:rPr>
            </w:pPr>
          </w:p>
        </w:tc>
      </w:tr>
    </w:tbl>
    <w:p w14:paraId="16F5CDA3">
      <w:pPr>
        <w:rPr>
          <w:rFonts w:hint="default" w:ascii="Times New Roman" w:hAnsi="Times New Roman" w:eastAsia="宋体" w:cs="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D256A13">
      <w:pPr>
        <w:pStyle w:val="3"/>
        <w:adjustRightInd w:val="0"/>
        <w:snapToGrid w:val="0"/>
        <w:spacing w:before="0" w:beforeAutospacing="0" w:after="0" w:afterAutospacing="0"/>
        <w:outlineLvl w:val="0"/>
        <w:rPr>
          <w:rFonts w:hint="default" w:ascii="Times New Roman" w:hAnsi="Times New Roman" w:eastAsia="宋体" w:cs="Times New Roman"/>
          <w:b/>
          <w:bCs/>
          <w:snapToGrid w:val="0"/>
          <w:color w:val="auto"/>
          <w:sz w:val="32"/>
          <w:szCs w:val="32"/>
        </w:rPr>
      </w:pPr>
      <w:r>
        <w:rPr>
          <w:rFonts w:hint="default" w:ascii="Times New Roman" w:hAnsi="Times New Roman" w:eastAsia="宋体" w:cs="Times New Roman"/>
          <w:b/>
          <w:bCs/>
          <w:snapToGrid w:val="0"/>
          <w:color w:val="auto"/>
          <w:sz w:val="32"/>
          <w:szCs w:val="32"/>
        </w:rPr>
        <w:t>附表</w:t>
      </w:r>
    </w:p>
    <w:p w14:paraId="2F632AED">
      <w:pPr>
        <w:pStyle w:val="3"/>
        <w:adjustRightInd w:val="0"/>
        <w:snapToGrid w:val="0"/>
        <w:spacing w:before="0" w:beforeAutospacing="0" w:after="0" w:afterAutospacing="0"/>
        <w:jc w:val="center"/>
        <w:rPr>
          <w:rFonts w:hint="default" w:ascii="Times New Roman" w:hAnsi="Times New Roman" w:eastAsia="宋体" w:cs="Times New Roman"/>
          <w:b/>
          <w:bCs/>
          <w:snapToGrid w:val="0"/>
          <w:color w:val="auto"/>
          <w:sz w:val="38"/>
          <w:szCs w:val="38"/>
        </w:rPr>
      </w:pPr>
      <w:r>
        <w:rPr>
          <w:rFonts w:hint="default" w:ascii="Times New Roman" w:hAnsi="Times New Roman" w:eastAsia="宋体" w:cs="Times New Roman"/>
          <w:b/>
          <w:bCs/>
          <w:snapToGrid w:val="0"/>
          <w:color w:val="auto"/>
          <w:sz w:val="38"/>
          <w:szCs w:val="38"/>
        </w:rPr>
        <w:t>建设项目污染物排放量汇总表</w:t>
      </w:r>
    </w:p>
    <w:tbl>
      <w:tblPr>
        <w:tblStyle w:val="7"/>
        <w:tblW w:w="139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565"/>
        <w:gridCol w:w="1701"/>
        <w:gridCol w:w="1276"/>
        <w:gridCol w:w="1701"/>
        <w:gridCol w:w="1559"/>
        <w:gridCol w:w="1761"/>
        <w:gridCol w:w="1641"/>
        <w:gridCol w:w="1276"/>
      </w:tblGrid>
      <w:tr w14:paraId="35149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440" w:type="dxa"/>
            <w:tcBorders>
              <w:tl2br w:val="single" w:color="auto" w:sz="4" w:space="0"/>
            </w:tcBorders>
            <w:tcMar>
              <w:left w:w="28" w:type="dxa"/>
              <w:right w:w="28" w:type="dxa"/>
            </w:tcMar>
            <w:vAlign w:val="center"/>
          </w:tcPr>
          <w:p w14:paraId="0A729FA4">
            <w:pPr>
              <w:pStyle w:val="11"/>
              <w:spacing w:beforeLines="0" w:afterLines="0" w:line="240" w:lineRule="auto"/>
              <w:jc w:val="right"/>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项目</w:t>
            </w:r>
          </w:p>
          <w:p w14:paraId="6A630C60">
            <w:pPr>
              <w:pStyle w:val="11"/>
              <w:spacing w:beforeLines="0" w:afterLines="0" w:line="240" w:lineRule="auto"/>
              <w:jc w:val="left"/>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分类</w:t>
            </w:r>
          </w:p>
        </w:tc>
        <w:tc>
          <w:tcPr>
            <w:tcW w:w="1565" w:type="dxa"/>
            <w:tcMar>
              <w:left w:w="28" w:type="dxa"/>
              <w:right w:w="28" w:type="dxa"/>
            </w:tcMar>
            <w:vAlign w:val="center"/>
          </w:tcPr>
          <w:p w14:paraId="74DEA8BF">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污染物名称</w:t>
            </w:r>
          </w:p>
        </w:tc>
        <w:tc>
          <w:tcPr>
            <w:tcW w:w="1701" w:type="dxa"/>
            <w:tcMar>
              <w:left w:w="28" w:type="dxa"/>
              <w:right w:w="28" w:type="dxa"/>
            </w:tcMar>
            <w:vAlign w:val="center"/>
          </w:tcPr>
          <w:p w14:paraId="1CFC9A7B">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现有工程</w:t>
            </w:r>
          </w:p>
          <w:p w14:paraId="21BF1429">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排放量（固体废物产生量）</w:t>
            </w:r>
            <w:r>
              <w:rPr>
                <w:rFonts w:hint="default" w:ascii="Times New Roman" w:hAnsi="Times New Roman" w:eastAsia="宋体" w:cs="Times New Roman"/>
                <w:b/>
                <w:bCs/>
                <w:snapToGrid w:val="0"/>
                <w:color w:val="auto"/>
                <w:spacing w:val="-6"/>
                <w:kern w:val="21"/>
                <w:sz w:val="24"/>
                <w:szCs w:val="24"/>
              </w:rPr>
              <w:fldChar w:fldCharType="begin"/>
            </w:r>
            <w:r>
              <w:rPr>
                <w:rFonts w:hint="default" w:ascii="Times New Roman" w:hAnsi="Times New Roman" w:eastAsia="宋体" w:cs="Times New Roman"/>
                <w:b/>
                <w:bCs/>
                <w:snapToGrid w:val="0"/>
                <w:color w:val="auto"/>
                <w:spacing w:val="-6"/>
                <w:kern w:val="21"/>
                <w:sz w:val="24"/>
                <w:szCs w:val="24"/>
              </w:rPr>
              <w:instrText xml:space="preserve"> = 1 \* GB3 \* MERGEFORMAT </w:instrText>
            </w:r>
            <w:r>
              <w:rPr>
                <w:rFonts w:hint="default" w:ascii="Times New Roman" w:hAnsi="Times New Roman" w:eastAsia="宋体" w:cs="Times New Roman"/>
                <w:b/>
                <w:bCs/>
                <w:snapToGrid w:val="0"/>
                <w:color w:val="auto"/>
                <w:spacing w:val="-6"/>
                <w:kern w:val="21"/>
                <w:sz w:val="24"/>
                <w:szCs w:val="24"/>
              </w:rPr>
              <w:fldChar w:fldCharType="separate"/>
            </w:r>
            <w:r>
              <w:rPr>
                <w:rFonts w:hint="default" w:ascii="Times New Roman" w:hAnsi="Times New Roman" w:eastAsia="宋体" w:cs="Times New Roman"/>
                <w:b/>
                <w:bCs/>
                <w:color w:val="auto"/>
                <w:kern w:val="2"/>
                <w:sz w:val="24"/>
                <w:szCs w:val="24"/>
              </w:rPr>
              <w:t>①</w:t>
            </w:r>
            <w:r>
              <w:rPr>
                <w:rFonts w:hint="default" w:ascii="Times New Roman" w:hAnsi="Times New Roman" w:eastAsia="宋体" w:cs="Times New Roman"/>
                <w:b/>
                <w:bCs/>
                <w:snapToGrid w:val="0"/>
                <w:color w:val="auto"/>
                <w:spacing w:val="-6"/>
                <w:kern w:val="21"/>
                <w:sz w:val="24"/>
                <w:szCs w:val="24"/>
              </w:rPr>
              <w:fldChar w:fldCharType="end"/>
            </w:r>
          </w:p>
        </w:tc>
        <w:tc>
          <w:tcPr>
            <w:tcW w:w="1276" w:type="dxa"/>
            <w:tcMar>
              <w:left w:w="28" w:type="dxa"/>
              <w:right w:w="28" w:type="dxa"/>
            </w:tcMar>
            <w:vAlign w:val="center"/>
          </w:tcPr>
          <w:p w14:paraId="3A753A91">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现有工程</w:t>
            </w:r>
          </w:p>
          <w:p w14:paraId="3E54A611">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许可排放量</w:t>
            </w:r>
          </w:p>
          <w:p w14:paraId="5073A866">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fldChar w:fldCharType="begin"/>
            </w:r>
            <w:r>
              <w:rPr>
                <w:rFonts w:hint="default" w:ascii="Times New Roman" w:hAnsi="Times New Roman" w:eastAsia="宋体" w:cs="Times New Roman"/>
                <w:b/>
                <w:bCs/>
                <w:snapToGrid w:val="0"/>
                <w:color w:val="auto"/>
                <w:spacing w:val="-6"/>
                <w:kern w:val="21"/>
                <w:sz w:val="24"/>
                <w:szCs w:val="24"/>
              </w:rPr>
              <w:instrText xml:space="preserve"> = 2 \* GB3 \* MERGEFORMAT </w:instrText>
            </w:r>
            <w:r>
              <w:rPr>
                <w:rFonts w:hint="default" w:ascii="Times New Roman" w:hAnsi="Times New Roman" w:eastAsia="宋体" w:cs="Times New Roman"/>
                <w:b/>
                <w:bCs/>
                <w:snapToGrid w:val="0"/>
                <w:color w:val="auto"/>
                <w:spacing w:val="-6"/>
                <w:kern w:val="21"/>
                <w:sz w:val="24"/>
                <w:szCs w:val="24"/>
              </w:rPr>
              <w:fldChar w:fldCharType="separate"/>
            </w:r>
            <w:r>
              <w:rPr>
                <w:rFonts w:hint="default" w:ascii="Times New Roman" w:hAnsi="Times New Roman" w:eastAsia="宋体" w:cs="Times New Roman"/>
                <w:b/>
                <w:bCs/>
                <w:snapToGrid w:val="0"/>
                <w:color w:val="auto"/>
                <w:spacing w:val="-6"/>
                <w:kern w:val="21"/>
                <w:sz w:val="24"/>
                <w:szCs w:val="24"/>
              </w:rPr>
              <w:t>②</w:t>
            </w:r>
            <w:r>
              <w:rPr>
                <w:rFonts w:hint="default" w:ascii="Times New Roman" w:hAnsi="Times New Roman" w:eastAsia="宋体" w:cs="Times New Roman"/>
                <w:b/>
                <w:bCs/>
                <w:snapToGrid w:val="0"/>
                <w:color w:val="auto"/>
                <w:spacing w:val="-6"/>
                <w:kern w:val="21"/>
                <w:sz w:val="24"/>
                <w:szCs w:val="24"/>
              </w:rPr>
              <w:fldChar w:fldCharType="end"/>
            </w:r>
          </w:p>
        </w:tc>
        <w:tc>
          <w:tcPr>
            <w:tcW w:w="1701" w:type="dxa"/>
            <w:tcMar>
              <w:left w:w="28" w:type="dxa"/>
              <w:right w:w="28" w:type="dxa"/>
            </w:tcMar>
            <w:vAlign w:val="center"/>
          </w:tcPr>
          <w:p w14:paraId="0010432D">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在建工程</w:t>
            </w:r>
          </w:p>
          <w:p w14:paraId="0AEDBAF7">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排放量（固体废物产生量）</w:t>
            </w:r>
            <w:r>
              <w:rPr>
                <w:rFonts w:hint="default" w:ascii="Times New Roman" w:hAnsi="Times New Roman" w:eastAsia="宋体" w:cs="Times New Roman"/>
                <w:b/>
                <w:bCs/>
                <w:snapToGrid w:val="0"/>
                <w:color w:val="auto"/>
                <w:spacing w:val="-6"/>
                <w:kern w:val="21"/>
                <w:sz w:val="24"/>
                <w:szCs w:val="24"/>
              </w:rPr>
              <w:fldChar w:fldCharType="begin"/>
            </w:r>
            <w:r>
              <w:rPr>
                <w:rFonts w:hint="default" w:ascii="Times New Roman" w:hAnsi="Times New Roman" w:eastAsia="宋体" w:cs="Times New Roman"/>
                <w:b/>
                <w:bCs/>
                <w:snapToGrid w:val="0"/>
                <w:color w:val="auto"/>
                <w:spacing w:val="-6"/>
                <w:kern w:val="21"/>
                <w:sz w:val="24"/>
                <w:szCs w:val="24"/>
              </w:rPr>
              <w:instrText xml:space="preserve"> = 3 \* GB3 \* MERGEFORMAT </w:instrText>
            </w:r>
            <w:r>
              <w:rPr>
                <w:rFonts w:hint="default" w:ascii="Times New Roman" w:hAnsi="Times New Roman" w:eastAsia="宋体" w:cs="Times New Roman"/>
                <w:b/>
                <w:bCs/>
                <w:snapToGrid w:val="0"/>
                <w:color w:val="auto"/>
                <w:spacing w:val="-6"/>
                <w:kern w:val="21"/>
                <w:sz w:val="24"/>
                <w:szCs w:val="24"/>
              </w:rPr>
              <w:fldChar w:fldCharType="separate"/>
            </w:r>
            <w:r>
              <w:rPr>
                <w:rFonts w:hint="default" w:ascii="Times New Roman" w:hAnsi="Times New Roman" w:eastAsia="宋体" w:cs="Times New Roman"/>
                <w:b/>
                <w:bCs/>
                <w:color w:val="auto"/>
                <w:kern w:val="2"/>
                <w:sz w:val="24"/>
                <w:szCs w:val="24"/>
              </w:rPr>
              <w:t>③</w:t>
            </w:r>
            <w:r>
              <w:rPr>
                <w:rFonts w:hint="default" w:ascii="Times New Roman" w:hAnsi="Times New Roman" w:eastAsia="宋体" w:cs="Times New Roman"/>
                <w:b/>
                <w:bCs/>
                <w:snapToGrid w:val="0"/>
                <w:color w:val="auto"/>
                <w:spacing w:val="-6"/>
                <w:kern w:val="21"/>
                <w:sz w:val="24"/>
                <w:szCs w:val="24"/>
              </w:rPr>
              <w:fldChar w:fldCharType="end"/>
            </w:r>
          </w:p>
        </w:tc>
        <w:tc>
          <w:tcPr>
            <w:tcW w:w="1559" w:type="dxa"/>
            <w:tcMar>
              <w:left w:w="28" w:type="dxa"/>
              <w:right w:w="28" w:type="dxa"/>
            </w:tcMar>
            <w:vAlign w:val="center"/>
          </w:tcPr>
          <w:p w14:paraId="5D2A5040">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本项目</w:t>
            </w:r>
          </w:p>
          <w:p w14:paraId="3B55896D">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排放量（固体废物产生量）</w:t>
            </w:r>
            <w:r>
              <w:rPr>
                <w:rFonts w:hint="default" w:ascii="Times New Roman" w:hAnsi="Times New Roman" w:eastAsia="宋体" w:cs="Times New Roman"/>
                <w:b/>
                <w:bCs/>
                <w:snapToGrid w:val="0"/>
                <w:color w:val="auto"/>
                <w:spacing w:val="-6"/>
                <w:kern w:val="21"/>
                <w:sz w:val="24"/>
                <w:szCs w:val="24"/>
              </w:rPr>
              <w:fldChar w:fldCharType="begin"/>
            </w:r>
            <w:r>
              <w:rPr>
                <w:rFonts w:hint="default" w:ascii="Times New Roman" w:hAnsi="Times New Roman" w:eastAsia="宋体" w:cs="Times New Roman"/>
                <w:b/>
                <w:bCs/>
                <w:snapToGrid w:val="0"/>
                <w:color w:val="auto"/>
                <w:spacing w:val="-6"/>
                <w:kern w:val="21"/>
                <w:sz w:val="24"/>
                <w:szCs w:val="24"/>
              </w:rPr>
              <w:instrText xml:space="preserve"> = 4 \* GB3 \* MERGEFORMAT </w:instrText>
            </w:r>
            <w:r>
              <w:rPr>
                <w:rFonts w:hint="default" w:ascii="Times New Roman" w:hAnsi="Times New Roman" w:eastAsia="宋体" w:cs="Times New Roman"/>
                <w:b/>
                <w:bCs/>
                <w:snapToGrid w:val="0"/>
                <w:color w:val="auto"/>
                <w:spacing w:val="-6"/>
                <w:kern w:val="21"/>
                <w:sz w:val="24"/>
                <w:szCs w:val="24"/>
              </w:rPr>
              <w:fldChar w:fldCharType="separate"/>
            </w:r>
            <w:r>
              <w:rPr>
                <w:rFonts w:hint="default" w:ascii="Times New Roman" w:hAnsi="Times New Roman" w:eastAsia="宋体" w:cs="Times New Roman"/>
                <w:b/>
                <w:bCs/>
                <w:color w:val="auto"/>
                <w:kern w:val="2"/>
                <w:sz w:val="24"/>
                <w:szCs w:val="24"/>
              </w:rPr>
              <w:t>④</w:t>
            </w:r>
            <w:r>
              <w:rPr>
                <w:rFonts w:hint="default" w:ascii="Times New Roman" w:hAnsi="Times New Roman" w:eastAsia="宋体" w:cs="Times New Roman"/>
                <w:b/>
                <w:bCs/>
                <w:snapToGrid w:val="0"/>
                <w:color w:val="auto"/>
                <w:spacing w:val="-6"/>
                <w:kern w:val="21"/>
                <w:sz w:val="24"/>
                <w:szCs w:val="24"/>
              </w:rPr>
              <w:fldChar w:fldCharType="end"/>
            </w:r>
          </w:p>
        </w:tc>
        <w:tc>
          <w:tcPr>
            <w:tcW w:w="1761" w:type="dxa"/>
            <w:tcMar>
              <w:left w:w="28" w:type="dxa"/>
              <w:right w:w="28" w:type="dxa"/>
            </w:tcMar>
            <w:vAlign w:val="center"/>
          </w:tcPr>
          <w:p w14:paraId="5B85EA9F">
            <w:pPr>
              <w:pStyle w:val="11"/>
              <w:spacing w:beforeLines="0" w:afterLines="0" w:line="240" w:lineRule="auto"/>
              <w:rPr>
                <w:rFonts w:hint="default" w:ascii="Times New Roman" w:hAnsi="Times New Roman" w:eastAsia="宋体" w:cs="Times New Roman"/>
                <w:b/>
                <w:bCs/>
                <w:snapToGrid w:val="0"/>
                <w:color w:val="auto"/>
                <w:spacing w:val="-16"/>
                <w:kern w:val="21"/>
                <w:sz w:val="24"/>
                <w:szCs w:val="24"/>
              </w:rPr>
            </w:pPr>
            <w:r>
              <w:rPr>
                <w:rFonts w:hint="default" w:ascii="Times New Roman" w:hAnsi="Times New Roman" w:eastAsia="宋体" w:cs="Times New Roman"/>
                <w:b/>
                <w:bCs/>
                <w:snapToGrid w:val="0"/>
                <w:color w:val="auto"/>
                <w:spacing w:val="-16"/>
                <w:kern w:val="21"/>
                <w:sz w:val="24"/>
                <w:szCs w:val="24"/>
              </w:rPr>
              <w:t>以新带老削减总量</w:t>
            </w:r>
          </w:p>
          <w:p w14:paraId="3B86AF4D">
            <w:pPr>
              <w:pStyle w:val="11"/>
              <w:spacing w:beforeLines="0" w:afterLines="0" w:line="240" w:lineRule="auto"/>
              <w:rPr>
                <w:rFonts w:hint="default" w:ascii="Times New Roman" w:hAnsi="Times New Roman" w:eastAsia="宋体" w:cs="Times New Roman"/>
                <w:b/>
                <w:bCs/>
                <w:snapToGrid w:val="0"/>
                <w:color w:val="auto"/>
                <w:spacing w:val="-16"/>
                <w:kern w:val="21"/>
                <w:sz w:val="24"/>
                <w:szCs w:val="24"/>
              </w:rPr>
            </w:pPr>
            <w:r>
              <w:rPr>
                <w:rFonts w:hint="default" w:ascii="Times New Roman" w:hAnsi="Times New Roman" w:eastAsia="宋体" w:cs="Times New Roman"/>
                <w:b/>
                <w:bCs/>
                <w:snapToGrid w:val="0"/>
                <w:color w:val="auto"/>
                <w:spacing w:val="-16"/>
                <w:kern w:val="21"/>
                <w:sz w:val="24"/>
                <w:szCs w:val="24"/>
              </w:rPr>
              <w:t>（新建项目不填）</w:t>
            </w:r>
            <w:r>
              <w:rPr>
                <w:rFonts w:hint="default" w:ascii="Times New Roman" w:hAnsi="Times New Roman" w:eastAsia="宋体" w:cs="Times New Roman"/>
                <w:b/>
                <w:bCs/>
                <w:snapToGrid w:val="0"/>
                <w:color w:val="auto"/>
                <w:spacing w:val="-16"/>
                <w:kern w:val="21"/>
                <w:sz w:val="24"/>
                <w:szCs w:val="24"/>
              </w:rPr>
              <w:fldChar w:fldCharType="begin"/>
            </w:r>
            <w:r>
              <w:rPr>
                <w:rFonts w:hint="default" w:ascii="Times New Roman" w:hAnsi="Times New Roman" w:eastAsia="宋体" w:cs="Times New Roman"/>
                <w:b/>
                <w:bCs/>
                <w:snapToGrid w:val="0"/>
                <w:color w:val="auto"/>
                <w:spacing w:val="-16"/>
                <w:kern w:val="21"/>
                <w:sz w:val="24"/>
                <w:szCs w:val="24"/>
              </w:rPr>
              <w:instrText xml:space="preserve"> = 5 \* GB3 \* MERGEFORMAT </w:instrText>
            </w:r>
            <w:r>
              <w:rPr>
                <w:rFonts w:hint="default" w:ascii="Times New Roman" w:hAnsi="Times New Roman" w:eastAsia="宋体" w:cs="Times New Roman"/>
                <w:b/>
                <w:bCs/>
                <w:snapToGrid w:val="0"/>
                <w:color w:val="auto"/>
                <w:spacing w:val="-16"/>
                <w:kern w:val="21"/>
                <w:sz w:val="24"/>
                <w:szCs w:val="24"/>
              </w:rPr>
              <w:fldChar w:fldCharType="separate"/>
            </w:r>
            <w:r>
              <w:rPr>
                <w:rFonts w:hint="default" w:ascii="Times New Roman" w:hAnsi="Times New Roman" w:eastAsia="宋体" w:cs="Times New Roman"/>
                <w:b/>
                <w:bCs/>
                <w:color w:val="auto"/>
                <w:kern w:val="2"/>
                <w:sz w:val="24"/>
                <w:szCs w:val="24"/>
              </w:rPr>
              <w:t>⑤</w:t>
            </w:r>
            <w:r>
              <w:rPr>
                <w:rFonts w:hint="default" w:ascii="Times New Roman" w:hAnsi="Times New Roman" w:eastAsia="宋体" w:cs="Times New Roman"/>
                <w:b/>
                <w:bCs/>
                <w:snapToGrid w:val="0"/>
                <w:color w:val="auto"/>
                <w:spacing w:val="-16"/>
                <w:kern w:val="21"/>
                <w:sz w:val="24"/>
                <w:szCs w:val="24"/>
              </w:rPr>
              <w:fldChar w:fldCharType="end"/>
            </w:r>
          </w:p>
        </w:tc>
        <w:tc>
          <w:tcPr>
            <w:tcW w:w="1641" w:type="dxa"/>
            <w:tcMar>
              <w:left w:w="28" w:type="dxa"/>
              <w:right w:w="28" w:type="dxa"/>
            </w:tcMar>
            <w:vAlign w:val="center"/>
          </w:tcPr>
          <w:p w14:paraId="38FFF923">
            <w:pPr>
              <w:pStyle w:val="11"/>
              <w:spacing w:beforeLines="0" w:afterLines="0" w:line="240" w:lineRule="auto"/>
              <w:rPr>
                <w:rFonts w:hint="default" w:ascii="Times New Roman" w:hAnsi="Times New Roman" w:eastAsia="宋体" w:cs="Times New Roman"/>
                <w:b/>
                <w:bCs/>
                <w:snapToGrid w:val="0"/>
                <w:color w:val="auto"/>
                <w:spacing w:val="-16"/>
                <w:kern w:val="21"/>
                <w:sz w:val="24"/>
                <w:szCs w:val="24"/>
              </w:rPr>
            </w:pPr>
            <w:r>
              <w:rPr>
                <w:rFonts w:hint="default" w:ascii="Times New Roman" w:hAnsi="Times New Roman" w:eastAsia="宋体" w:cs="Times New Roman"/>
                <w:b/>
                <w:bCs/>
                <w:snapToGrid w:val="0"/>
                <w:color w:val="auto"/>
                <w:spacing w:val="-16"/>
                <w:kern w:val="21"/>
                <w:sz w:val="24"/>
                <w:szCs w:val="24"/>
              </w:rPr>
              <w:t>本项目建成后</w:t>
            </w:r>
          </w:p>
          <w:p w14:paraId="4F05773A">
            <w:pPr>
              <w:pStyle w:val="11"/>
              <w:spacing w:beforeLines="0" w:afterLines="0" w:line="240" w:lineRule="auto"/>
              <w:rPr>
                <w:rFonts w:hint="default" w:ascii="Times New Roman" w:hAnsi="Times New Roman" w:eastAsia="宋体" w:cs="Times New Roman"/>
                <w:b/>
                <w:bCs/>
                <w:snapToGrid w:val="0"/>
                <w:color w:val="auto"/>
                <w:spacing w:val="-16"/>
                <w:kern w:val="21"/>
                <w:sz w:val="24"/>
                <w:szCs w:val="24"/>
              </w:rPr>
            </w:pPr>
            <w:r>
              <w:rPr>
                <w:rFonts w:hint="default" w:ascii="Times New Roman" w:hAnsi="Times New Roman" w:eastAsia="宋体" w:cs="Times New Roman"/>
                <w:b/>
                <w:bCs/>
                <w:snapToGrid w:val="0"/>
                <w:color w:val="auto"/>
                <w:spacing w:val="-16"/>
                <w:kern w:val="21"/>
                <w:sz w:val="24"/>
                <w:szCs w:val="24"/>
              </w:rPr>
              <w:t>全厂排放量（固体废物产生量）</w:t>
            </w:r>
            <w:r>
              <w:rPr>
                <w:rFonts w:hint="default" w:ascii="Times New Roman" w:hAnsi="Times New Roman" w:eastAsia="宋体" w:cs="Times New Roman"/>
                <w:b/>
                <w:bCs/>
                <w:snapToGrid w:val="0"/>
                <w:color w:val="auto"/>
                <w:spacing w:val="-16"/>
                <w:kern w:val="21"/>
                <w:sz w:val="24"/>
                <w:szCs w:val="24"/>
              </w:rPr>
              <w:fldChar w:fldCharType="begin"/>
            </w:r>
            <w:r>
              <w:rPr>
                <w:rFonts w:hint="default" w:ascii="Times New Roman" w:hAnsi="Times New Roman" w:eastAsia="宋体" w:cs="Times New Roman"/>
                <w:b/>
                <w:bCs/>
                <w:snapToGrid w:val="0"/>
                <w:color w:val="auto"/>
                <w:spacing w:val="-16"/>
                <w:kern w:val="21"/>
                <w:sz w:val="24"/>
                <w:szCs w:val="24"/>
              </w:rPr>
              <w:instrText xml:space="preserve"> = 6 \* GB3 \* MERGEFORMAT </w:instrText>
            </w:r>
            <w:r>
              <w:rPr>
                <w:rFonts w:hint="default" w:ascii="Times New Roman" w:hAnsi="Times New Roman" w:eastAsia="宋体" w:cs="Times New Roman"/>
                <w:b/>
                <w:bCs/>
                <w:snapToGrid w:val="0"/>
                <w:color w:val="auto"/>
                <w:spacing w:val="-16"/>
                <w:kern w:val="21"/>
                <w:sz w:val="24"/>
                <w:szCs w:val="24"/>
              </w:rPr>
              <w:fldChar w:fldCharType="separate"/>
            </w:r>
            <w:r>
              <w:rPr>
                <w:rFonts w:hint="default" w:ascii="Times New Roman" w:hAnsi="Times New Roman" w:eastAsia="宋体" w:cs="Times New Roman"/>
                <w:b/>
                <w:bCs/>
                <w:color w:val="auto"/>
                <w:kern w:val="2"/>
                <w:sz w:val="24"/>
                <w:szCs w:val="24"/>
              </w:rPr>
              <w:t>⑥</w:t>
            </w:r>
            <w:r>
              <w:rPr>
                <w:rFonts w:hint="default" w:ascii="Times New Roman" w:hAnsi="Times New Roman" w:eastAsia="宋体" w:cs="Times New Roman"/>
                <w:b/>
                <w:bCs/>
                <w:snapToGrid w:val="0"/>
                <w:color w:val="auto"/>
                <w:spacing w:val="-16"/>
                <w:kern w:val="21"/>
                <w:sz w:val="24"/>
                <w:szCs w:val="24"/>
              </w:rPr>
              <w:fldChar w:fldCharType="end"/>
            </w:r>
          </w:p>
        </w:tc>
        <w:tc>
          <w:tcPr>
            <w:tcW w:w="1276" w:type="dxa"/>
            <w:tcMar>
              <w:left w:w="28" w:type="dxa"/>
              <w:right w:w="28" w:type="dxa"/>
            </w:tcMar>
            <w:vAlign w:val="center"/>
          </w:tcPr>
          <w:p w14:paraId="1FBBB8CD">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spacing w:val="-6"/>
                <w:kern w:val="21"/>
                <w:sz w:val="24"/>
                <w:szCs w:val="24"/>
              </w:rPr>
              <w:t>变化量</w:t>
            </w:r>
          </w:p>
          <w:p w14:paraId="7FAD43F2">
            <w:pPr>
              <w:pStyle w:val="11"/>
              <w:spacing w:beforeLines="0" w:afterLines="0" w:line="240" w:lineRule="auto"/>
              <w:rPr>
                <w:rFonts w:hint="default" w:ascii="Times New Roman" w:hAnsi="Times New Roman" w:eastAsia="宋体" w:cs="Times New Roman"/>
                <w:b/>
                <w:bCs/>
                <w:snapToGrid w:val="0"/>
                <w:color w:val="auto"/>
                <w:spacing w:val="-6"/>
                <w:kern w:val="21"/>
                <w:sz w:val="24"/>
                <w:szCs w:val="24"/>
              </w:rPr>
            </w:pPr>
            <w:r>
              <w:rPr>
                <w:rFonts w:hint="default" w:ascii="Times New Roman" w:hAnsi="Times New Roman" w:eastAsia="宋体" w:cs="Times New Roman"/>
                <w:b/>
                <w:bCs/>
                <w:snapToGrid w:val="0"/>
                <w:color w:val="auto"/>
                <w:kern w:val="21"/>
                <w:sz w:val="24"/>
                <w:szCs w:val="24"/>
              </w:rPr>
              <w:fldChar w:fldCharType="begin"/>
            </w:r>
            <w:r>
              <w:rPr>
                <w:rFonts w:hint="default" w:ascii="Times New Roman" w:hAnsi="Times New Roman" w:eastAsia="宋体" w:cs="Times New Roman"/>
                <w:b/>
                <w:bCs/>
                <w:snapToGrid w:val="0"/>
                <w:color w:val="auto"/>
                <w:kern w:val="21"/>
                <w:sz w:val="24"/>
                <w:szCs w:val="24"/>
              </w:rPr>
              <w:instrText xml:space="preserve"> = 7 \* GB3 \* MERGEFORMAT </w:instrText>
            </w:r>
            <w:r>
              <w:rPr>
                <w:rFonts w:hint="default" w:ascii="Times New Roman" w:hAnsi="Times New Roman" w:eastAsia="宋体" w:cs="Times New Roman"/>
                <w:b/>
                <w:bCs/>
                <w:snapToGrid w:val="0"/>
                <w:color w:val="auto"/>
                <w:kern w:val="21"/>
                <w:sz w:val="24"/>
                <w:szCs w:val="24"/>
              </w:rPr>
              <w:fldChar w:fldCharType="separate"/>
            </w:r>
            <w:r>
              <w:rPr>
                <w:rFonts w:hint="default" w:ascii="Times New Roman" w:hAnsi="Times New Roman" w:eastAsia="宋体" w:cs="Times New Roman"/>
                <w:b/>
                <w:bCs/>
                <w:snapToGrid w:val="0"/>
                <w:color w:val="auto"/>
                <w:kern w:val="21"/>
                <w:sz w:val="24"/>
                <w:szCs w:val="24"/>
              </w:rPr>
              <w:t>⑦</w:t>
            </w:r>
            <w:r>
              <w:rPr>
                <w:rFonts w:hint="default" w:ascii="Times New Roman" w:hAnsi="Times New Roman" w:eastAsia="宋体" w:cs="Times New Roman"/>
                <w:b/>
                <w:bCs/>
                <w:snapToGrid w:val="0"/>
                <w:color w:val="auto"/>
                <w:kern w:val="21"/>
                <w:sz w:val="24"/>
                <w:szCs w:val="24"/>
              </w:rPr>
              <w:fldChar w:fldCharType="end"/>
            </w:r>
          </w:p>
        </w:tc>
      </w:tr>
      <w:tr w14:paraId="6A243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vMerge w:val="restart"/>
            <w:vAlign w:val="center"/>
          </w:tcPr>
          <w:p w14:paraId="71564DD0">
            <w:pPr>
              <w:pStyle w:val="11"/>
              <w:spacing w:beforeLines="0" w:afterLines="0" w:line="240" w:lineRule="auto"/>
              <w:rPr>
                <w:rFonts w:hint="default" w:ascii="Times New Roman" w:hAnsi="Times New Roman" w:eastAsia="宋体" w:cs="Times New Roman"/>
                <w:b/>
                <w:bCs/>
                <w:snapToGrid w:val="0"/>
                <w:color w:val="auto"/>
                <w:kern w:val="21"/>
                <w:sz w:val="24"/>
                <w:szCs w:val="24"/>
              </w:rPr>
            </w:pPr>
            <w:r>
              <w:rPr>
                <w:rFonts w:hint="default" w:ascii="Times New Roman" w:hAnsi="Times New Roman" w:eastAsia="宋体" w:cs="Times New Roman"/>
                <w:b/>
                <w:bCs/>
                <w:snapToGrid w:val="0"/>
                <w:color w:val="auto"/>
                <w:kern w:val="21"/>
                <w:sz w:val="24"/>
                <w:szCs w:val="24"/>
              </w:rPr>
              <w:t>废气</w:t>
            </w:r>
          </w:p>
        </w:tc>
        <w:tc>
          <w:tcPr>
            <w:tcW w:w="1565" w:type="dxa"/>
            <w:shd w:val="clear" w:color="auto" w:fill="auto"/>
            <w:vAlign w:val="center"/>
          </w:tcPr>
          <w:p w14:paraId="16F42717">
            <w:pPr>
              <w:keepNext w:val="0"/>
              <w:keepLines w:val="0"/>
              <w:widowControl/>
              <w:suppressLineNumbers w:val="0"/>
              <w:jc w:val="center"/>
              <w:textAlignment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氮氧化物</w:t>
            </w:r>
          </w:p>
        </w:tc>
        <w:tc>
          <w:tcPr>
            <w:tcW w:w="1701" w:type="dxa"/>
            <w:vAlign w:val="center"/>
          </w:tcPr>
          <w:p w14:paraId="2F8C6104">
            <w:pPr>
              <w:pStyle w:val="11"/>
              <w:spacing w:beforeLines="0" w:afterLines="0" w:line="240" w:lineRule="auto"/>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w:t>
            </w:r>
          </w:p>
        </w:tc>
        <w:tc>
          <w:tcPr>
            <w:tcW w:w="1276" w:type="dxa"/>
            <w:vAlign w:val="center"/>
          </w:tcPr>
          <w:p w14:paraId="3772B11E">
            <w:pPr>
              <w:pStyle w:val="11"/>
              <w:spacing w:beforeLines="0" w:afterLines="0" w:line="240" w:lineRule="auto"/>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w:t>
            </w:r>
          </w:p>
        </w:tc>
        <w:tc>
          <w:tcPr>
            <w:tcW w:w="1701" w:type="dxa"/>
            <w:vAlign w:val="center"/>
          </w:tcPr>
          <w:p w14:paraId="46019D7F">
            <w:pPr>
              <w:pStyle w:val="11"/>
              <w:spacing w:beforeLines="0" w:afterLines="0" w:line="240" w:lineRule="auto"/>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w:t>
            </w:r>
          </w:p>
        </w:tc>
        <w:tc>
          <w:tcPr>
            <w:tcW w:w="1559" w:type="dxa"/>
            <w:vAlign w:val="center"/>
          </w:tcPr>
          <w:p w14:paraId="4703E38F">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eastAsia" w:ascii="Times New Roman" w:cs="Times New Roman"/>
                <w:snapToGrid w:val="0"/>
                <w:color w:val="auto"/>
                <w:kern w:val="21"/>
                <w:sz w:val="24"/>
                <w:szCs w:val="24"/>
                <w:lang w:val="en-US" w:eastAsia="zh-CN"/>
              </w:rPr>
              <w:t>1.309</w:t>
            </w:r>
            <w:r>
              <w:rPr>
                <w:rFonts w:hint="default" w:ascii="Times New Roman" w:hAnsi="Times New Roman" w:eastAsia="宋体" w:cs="Times New Roman"/>
                <w:snapToGrid w:val="0"/>
                <w:color w:val="auto"/>
                <w:kern w:val="21"/>
                <w:sz w:val="24"/>
                <w:szCs w:val="24"/>
                <w:lang w:val="en-US" w:eastAsia="zh-CN"/>
              </w:rPr>
              <w:t xml:space="preserve"> t/a</w:t>
            </w:r>
          </w:p>
        </w:tc>
        <w:tc>
          <w:tcPr>
            <w:tcW w:w="1761" w:type="dxa"/>
            <w:shd w:val="clear" w:color="auto" w:fill="auto"/>
            <w:vAlign w:val="center"/>
          </w:tcPr>
          <w:p w14:paraId="7B3DB74B">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w:t>
            </w:r>
          </w:p>
        </w:tc>
        <w:tc>
          <w:tcPr>
            <w:tcW w:w="1641" w:type="dxa"/>
            <w:shd w:val="clear" w:color="auto" w:fill="auto"/>
            <w:vAlign w:val="center"/>
          </w:tcPr>
          <w:p w14:paraId="09ADA9FE">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eastAsia" w:ascii="Times New Roman" w:cs="Times New Roman"/>
                <w:snapToGrid w:val="0"/>
                <w:color w:val="auto"/>
                <w:kern w:val="21"/>
                <w:sz w:val="24"/>
                <w:szCs w:val="24"/>
                <w:lang w:val="en-US" w:eastAsia="zh-CN"/>
              </w:rPr>
              <w:t>1.309</w:t>
            </w:r>
            <w:r>
              <w:rPr>
                <w:rFonts w:hint="default" w:ascii="Times New Roman" w:hAnsi="Times New Roman" w:eastAsia="宋体" w:cs="Times New Roman"/>
                <w:snapToGrid w:val="0"/>
                <w:color w:val="auto"/>
                <w:kern w:val="21"/>
                <w:sz w:val="24"/>
                <w:szCs w:val="24"/>
                <w:lang w:val="en-US" w:eastAsia="zh-CN"/>
              </w:rPr>
              <w:t xml:space="preserve"> t/a</w:t>
            </w:r>
          </w:p>
        </w:tc>
        <w:tc>
          <w:tcPr>
            <w:tcW w:w="1276" w:type="dxa"/>
            <w:shd w:val="clear" w:color="auto" w:fill="auto"/>
            <w:vAlign w:val="center"/>
          </w:tcPr>
          <w:p w14:paraId="665F1E8F">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w:t>
            </w:r>
            <w:r>
              <w:rPr>
                <w:rFonts w:hint="eastAsia" w:ascii="Times New Roman" w:cs="Times New Roman"/>
                <w:snapToGrid w:val="0"/>
                <w:color w:val="auto"/>
                <w:kern w:val="21"/>
                <w:sz w:val="24"/>
                <w:szCs w:val="24"/>
                <w:lang w:val="en-US" w:eastAsia="zh-CN"/>
              </w:rPr>
              <w:t>1.309</w:t>
            </w:r>
            <w:r>
              <w:rPr>
                <w:rFonts w:hint="default" w:ascii="Times New Roman" w:hAnsi="Times New Roman" w:eastAsia="宋体" w:cs="Times New Roman"/>
                <w:snapToGrid w:val="0"/>
                <w:color w:val="auto"/>
                <w:kern w:val="21"/>
                <w:sz w:val="24"/>
                <w:szCs w:val="24"/>
                <w:lang w:val="en-US" w:eastAsia="zh-CN"/>
              </w:rPr>
              <w:t xml:space="preserve"> t/a</w:t>
            </w:r>
          </w:p>
        </w:tc>
      </w:tr>
      <w:tr w14:paraId="70A268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vMerge w:val="continue"/>
            <w:vAlign w:val="center"/>
          </w:tcPr>
          <w:p w14:paraId="0B34E074">
            <w:pPr>
              <w:pStyle w:val="11"/>
              <w:spacing w:beforeLines="0" w:afterLines="0" w:line="240" w:lineRule="auto"/>
              <w:rPr>
                <w:rFonts w:hint="default" w:ascii="Times New Roman" w:hAnsi="Times New Roman" w:eastAsia="宋体" w:cs="Times New Roman"/>
                <w:b/>
                <w:bCs/>
                <w:snapToGrid w:val="0"/>
                <w:color w:val="auto"/>
                <w:kern w:val="21"/>
                <w:sz w:val="24"/>
                <w:szCs w:val="24"/>
              </w:rPr>
            </w:pPr>
          </w:p>
        </w:tc>
        <w:tc>
          <w:tcPr>
            <w:tcW w:w="1565" w:type="dxa"/>
            <w:shd w:val="clear" w:color="auto" w:fill="auto"/>
            <w:vAlign w:val="center"/>
          </w:tcPr>
          <w:p w14:paraId="47BE562F">
            <w:pPr>
              <w:keepNext w:val="0"/>
              <w:keepLines w:val="0"/>
              <w:widowControl/>
              <w:suppressLineNumbers w:val="0"/>
              <w:jc w:val="center"/>
              <w:textAlignment w:val="center"/>
              <w:rPr>
                <w:rFonts w:hint="default" w:ascii="Times New Roman" w:hAnsi="Times New Roman" w:eastAsia="宋体" w:cs="Times New Roman"/>
                <w:color w:val="auto"/>
                <w:kern w:val="0"/>
                <w:sz w:val="24"/>
                <w:szCs w:val="24"/>
              </w:rPr>
            </w:pPr>
            <w:r>
              <w:rPr>
                <w:rFonts w:hint="default" w:ascii="Times New Roman" w:hAnsi="Times New Roman" w:eastAsia="宋体" w:cs="Times New Roman"/>
                <w:i w:val="0"/>
                <w:iCs w:val="0"/>
                <w:color w:val="auto"/>
                <w:kern w:val="0"/>
                <w:sz w:val="24"/>
                <w:szCs w:val="24"/>
                <w:u w:val="none"/>
                <w:lang w:val="en-US" w:eastAsia="zh-CN" w:bidi="ar"/>
              </w:rPr>
              <w:t>二氧化硫</w:t>
            </w:r>
          </w:p>
        </w:tc>
        <w:tc>
          <w:tcPr>
            <w:tcW w:w="1701" w:type="dxa"/>
            <w:vAlign w:val="center"/>
          </w:tcPr>
          <w:p w14:paraId="4E4D6EF7">
            <w:pPr>
              <w:spacing w:beforeLines="0" w:afterLines="0" w:line="240" w:lineRule="auto"/>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color w:val="auto"/>
                <w:sz w:val="24"/>
                <w:szCs w:val="24"/>
              </w:rPr>
              <w:t>/</w:t>
            </w:r>
          </w:p>
        </w:tc>
        <w:tc>
          <w:tcPr>
            <w:tcW w:w="1276" w:type="dxa"/>
            <w:vAlign w:val="center"/>
          </w:tcPr>
          <w:p w14:paraId="19FA3EB1">
            <w:pPr>
              <w:spacing w:beforeLines="0" w:afterLines="0" w:line="240" w:lineRule="auto"/>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color w:val="auto"/>
                <w:sz w:val="24"/>
                <w:szCs w:val="24"/>
              </w:rPr>
              <w:t>/</w:t>
            </w:r>
          </w:p>
        </w:tc>
        <w:tc>
          <w:tcPr>
            <w:tcW w:w="1701" w:type="dxa"/>
            <w:vAlign w:val="center"/>
          </w:tcPr>
          <w:p w14:paraId="5DE4A827">
            <w:pPr>
              <w:spacing w:beforeLines="0" w:afterLines="0" w:line="240" w:lineRule="auto"/>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color w:val="auto"/>
                <w:sz w:val="24"/>
                <w:szCs w:val="24"/>
              </w:rPr>
              <w:t>/</w:t>
            </w:r>
          </w:p>
        </w:tc>
        <w:tc>
          <w:tcPr>
            <w:tcW w:w="1559" w:type="dxa"/>
            <w:vAlign w:val="center"/>
          </w:tcPr>
          <w:p w14:paraId="78BFD7E4">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0.518 t/a</w:t>
            </w:r>
          </w:p>
        </w:tc>
        <w:tc>
          <w:tcPr>
            <w:tcW w:w="1761" w:type="dxa"/>
            <w:shd w:val="clear" w:color="auto" w:fill="auto"/>
            <w:vAlign w:val="center"/>
          </w:tcPr>
          <w:p w14:paraId="67A16CB0">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w:t>
            </w:r>
          </w:p>
        </w:tc>
        <w:tc>
          <w:tcPr>
            <w:tcW w:w="1641" w:type="dxa"/>
            <w:shd w:val="clear" w:color="auto" w:fill="auto"/>
            <w:vAlign w:val="center"/>
          </w:tcPr>
          <w:p w14:paraId="200E2402">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0.518 t/a</w:t>
            </w:r>
          </w:p>
        </w:tc>
        <w:tc>
          <w:tcPr>
            <w:tcW w:w="1276" w:type="dxa"/>
            <w:shd w:val="clear" w:color="auto" w:fill="auto"/>
            <w:vAlign w:val="center"/>
          </w:tcPr>
          <w:p w14:paraId="250E151C">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 xml:space="preserve">+0.518t/a </w:t>
            </w:r>
          </w:p>
        </w:tc>
      </w:tr>
      <w:tr w14:paraId="7E8F1B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vMerge w:val="continue"/>
            <w:vAlign w:val="center"/>
          </w:tcPr>
          <w:p w14:paraId="7D79C6AC">
            <w:pPr>
              <w:pStyle w:val="11"/>
              <w:spacing w:beforeLines="0" w:afterLines="0" w:line="240" w:lineRule="auto"/>
              <w:rPr>
                <w:rFonts w:hint="default" w:ascii="Times New Roman" w:hAnsi="Times New Roman" w:eastAsia="宋体" w:cs="Times New Roman"/>
                <w:b/>
                <w:bCs/>
                <w:snapToGrid w:val="0"/>
                <w:color w:val="auto"/>
                <w:kern w:val="21"/>
                <w:sz w:val="24"/>
                <w:szCs w:val="24"/>
              </w:rPr>
            </w:pPr>
          </w:p>
        </w:tc>
        <w:tc>
          <w:tcPr>
            <w:tcW w:w="1565" w:type="dxa"/>
            <w:shd w:val="clear" w:color="auto" w:fill="auto"/>
            <w:vAlign w:val="center"/>
          </w:tcPr>
          <w:p w14:paraId="3C775A4E">
            <w:pPr>
              <w:keepNext w:val="0"/>
              <w:keepLines w:val="0"/>
              <w:widowControl/>
              <w:suppressLineNumbers w:val="0"/>
              <w:jc w:val="center"/>
              <w:textAlignment w:val="center"/>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i w:val="0"/>
                <w:iCs w:val="0"/>
                <w:color w:val="auto"/>
                <w:kern w:val="0"/>
                <w:sz w:val="24"/>
                <w:szCs w:val="24"/>
                <w:u w:val="none"/>
                <w:lang w:val="en-US" w:eastAsia="zh-CN" w:bidi="ar"/>
              </w:rPr>
              <w:t>颗粒物</w:t>
            </w:r>
          </w:p>
        </w:tc>
        <w:tc>
          <w:tcPr>
            <w:tcW w:w="1701" w:type="dxa"/>
            <w:vAlign w:val="center"/>
          </w:tcPr>
          <w:p w14:paraId="1ECCAFE6">
            <w:pPr>
              <w:spacing w:beforeLines="0" w:afterLines="0" w:line="240" w:lineRule="auto"/>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color w:val="auto"/>
                <w:sz w:val="24"/>
                <w:szCs w:val="24"/>
              </w:rPr>
              <w:t>/</w:t>
            </w:r>
          </w:p>
        </w:tc>
        <w:tc>
          <w:tcPr>
            <w:tcW w:w="1276" w:type="dxa"/>
            <w:vAlign w:val="center"/>
          </w:tcPr>
          <w:p w14:paraId="0824E756">
            <w:pPr>
              <w:spacing w:beforeLines="0" w:afterLines="0" w:line="240" w:lineRule="auto"/>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color w:val="auto"/>
                <w:sz w:val="24"/>
                <w:szCs w:val="24"/>
              </w:rPr>
              <w:t>/</w:t>
            </w:r>
          </w:p>
        </w:tc>
        <w:tc>
          <w:tcPr>
            <w:tcW w:w="1701" w:type="dxa"/>
            <w:vAlign w:val="center"/>
          </w:tcPr>
          <w:p w14:paraId="34A9301F">
            <w:pPr>
              <w:spacing w:beforeLines="0" w:afterLines="0" w:line="240" w:lineRule="auto"/>
              <w:jc w:val="center"/>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color w:val="auto"/>
                <w:sz w:val="24"/>
                <w:szCs w:val="24"/>
              </w:rPr>
              <w:t>/</w:t>
            </w:r>
          </w:p>
        </w:tc>
        <w:tc>
          <w:tcPr>
            <w:tcW w:w="1559" w:type="dxa"/>
            <w:vAlign w:val="center"/>
          </w:tcPr>
          <w:p w14:paraId="728F5B02">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 xml:space="preserve">0.432t/a </w:t>
            </w:r>
          </w:p>
        </w:tc>
        <w:tc>
          <w:tcPr>
            <w:tcW w:w="1761" w:type="dxa"/>
            <w:shd w:val="clear" w:color="auto" w:fill="auto"/>
            <w:vAlign w:val="center"/>
          </w:tcPr>
          <w:p w14:paraId="7FAA48D1">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w:t>
            </w:r>
          </w:p>
        </w:tc>
        <w:tc>
          <w:tcPr>
            <w:tcW w:w="1641" w:type="dxa"/>
            <w:shd w:val="clear" w:color="auto" w:fill="auto"/>
            <w:vAlign w:val="center"/>
          </w:tcPr>
          <w:p w14:paraId="4AFF3192">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0.432 t/a</w:t>
            </w:r>
          </w:p>
        </w:tc>
        <w:tc>
          <w:tcPr>
            <w:tcW w:w="1276" w:type="dxa"/>
            <w:shd w:val="clear" w:color="auto" w:fill="auto"/>
            <w:vAlign w:val="center"/>
          </w:tcPr>
          <w:p w14:paraId="716E0932">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 xml:space="preserve">+0.432t/a </w:t>
            </w:r>
          </w:p>
        </w:tc>
      </w:tr>
      <w:tr w14:paraId="14383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vAlign w:val="center"/>
          </w:tcPr>
          <w:p w14:paraId="097AD9D9">
            <w:pPr>
              <w:pStyle w:val="11"/>
              <w:spacing w:beforeLines="0" w:afterLines="0" w:line="240" w:lineRule="auto"/>
              <w:rPr>
                <w:rFonts w:hint="default" w:ascii="Times New Roman" w:hAnsi="Times New Roman" w:eastAsia="宋体" w:cs="Times New Roman"/>
                <w:b/>
                <w:bCs/>
                <w:snapToGrid w:val="0"/>
                <w:color w:val="auto"/>
                <w:kern w:val="21"/>
                <w:sz w:val="24"/>
                <w:szCs w:val="24"/>
              </w:rPr>
            </w:pPr>
            <w:r>
              <w:rPr>
                <w:rFonts w:hint="default" w:ascii="Times New Roman" w:hAnsi="Times New Roman" w:eastAsia="宋体" w:cs="Times New Roman"/>
                <w:b/>
                <w:bCs/>
                <w:snapToGrid w:val="0"/>
                <w:color w:val="auto"/>
                <w:kern w:val="21"/>
                <w:sz w:val="24"/>
                <w:szCs w:val="24"/>
              </w:rPr>
              <w:t>废水</w:t>
            </w:r>
          </w:p>
        </w:tc>
        <w:tc>
          <w:tcPr>
            <w:tcW w:w="1565" w:type="dxa"/>
            <w:vAlign w:val="center"/>
          </w:tcPr>
          <w:p w14:paraId="7D298617">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w:t>
            </w:r>
          </w:p>
        </w:tc>
        <w:tc>
          <w:tcPr>
            <w:tcW w:w="1701" w:type="dxa"/>
            <w:shd w:val="clear" w:color="auto" w:fill="auto"/>
            <w:vAlign w:val="center"/>
          </w:tcPr>
          <w:p w14:paraId="3C87D579">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276" w:type="dxa"/>
            <w:shd w:val="clear" w:color="auto" w:fill="auto"/>
            <w:vAlign w:val="center"/>
          </w:tcPr>
          <w:p w14:paraId="421560D8">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701" w:type="dxa"/>
            <w:shd w:val="clear" w:color="auto" w:fill="auto"/>
            <w:vAlign w:val="center"/>
          </w:tcPr>
          <w:p w14:paraId="493108CC">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559" w:type="dxa"/>
            <w:shd w:val="clear" w:color="auto" w:fill="auto"/>
            <w:vAlign w:val="center"/>
          </w:tcPr>
          <w:p w14:paraId="792B5B23">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761" w:type="dxa"/>
            <w:shd w:val="clear" w:color="auto" w:fill="auto"/>
            <w:vAlign w:val="center"/>
          </w:tcPr>
          <w:p w14:paraId="0F54568A">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641" w:type="dxa"/>
            <w:shd w:val="clear" w:color="auto" w:fill="auto"/>
            <w:vAlign w:val="center"/>
          </w:tcPr>
          <w:p w14:paraId="31889352">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276" w:type="dxa"/>
            <w:shd w:val="clear" w:color="auto" w:fill="auto"/>
            <w:vAlign w:val="center"/>
          </w:tcPr>
          <w:p w14:paraId="5F888A8D">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r>
      <w:tr w14:paraId="7538C1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vMerge w:val="restart"/>
            <w:vAlign w:val="center"/>
          </w:tcPr>
          <w:p w14:paraId="1CE229A9">
            <w:pPr>
              <w:pStyle w:val="11"/>
              <w:spacing w:beforeLines="0" w:afterLines="0" w:line="240" w:lineRule="auto"/>
              <w:rPr>
                <w:rFonts w:hint="default" w:ascii="Times New Roman" w:hAnsi="Times New Roman" w:eastAsia="宋体" w:cs="Times New Roman"/>
                <w:b/>
                <w:bCs/>
                <w:snapToGrid w:val="0"/>
                <w:color w:val="auto"/>
                <w:kern w:val="21"/>
                <w:sz w:val="24"/>
                <w:szCs w:val="24"/>
              </w:rPr>
            </w:pPr>
            <w:r>
              <w:rPr>
                <w:rFonts w:hint="default" w:ascii="Times New Roman" w:hAnsi="Times New Roman" w:eastAsia="宋体" w:cs="Times New Roman"/>
                <w:b/>
                <w:bCs/>
                <w:snapToGrid w:val="0"/>
                <w:color w:val="auto"/>
                <w:kern w:val="21"/>
                <w:sz w:val="24"/>
                <w:szCs w:val="24"/>
              </w:rPr>
              <w:t>固体废物</w:t>
            </w:r>
          </w:p>
        </w:tc>
        <w:tc>
          <w:tcPr>
            <w:tcW w:w="1565" w:type="dxa"/>
            <w:vAlign w:val="center"/>
          </w:tcPr>
          <w:p w14:paraId="2454EBBD">
            <w:pPr>
              <w:pStyle w:val="11"/>
              <w:spacing w:beforeLines="0" w:afterLines="0" w:line="240" w:lineRule="auto"/>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rPr>
              <w:t>生活垃圾</w:t>
            </w:r>
          </w:p>
        </w:tc>
        <w:tc>
          <w:tcPr>
            <w:tcW w:w="1701" w:type="dxa"/>
            <w:shd w:val="clear" w:color="auto" w:fill="auto"/>
            <w:vAlign w:val="center"/>
          </w:tcPr>
          <w:p w14:paraId="0C26BC4A">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276" w:type="dxa"/>
            <w:shd w:val="clear" w:color="auto" w:fill="auto"/>
            <w:vAlign w:val="center"/>
          </w:tcPr>
          <w:p w14:paraId="518AFEAD">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701" w:type="dxa"/>
            <w:shd w:val="clear" w:color="auto" w:fill="auto"/>
            <w:vAlign w:val="center"/>
          </w:tcPr>
          <w:p w14:paraId="08EB033F">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559" w:type="dxa"/>
            <w:shd w:val="clear" w:color="auto" w:fill="auto"/>
            <w:vAlign w:val="center"/>
          </w:tcPr>
          <w:p w14:paraId="35BE0109">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lang w:val="en-US" w:eastAsia="zh-CN"/>
              </w:rPr>
              <w:t>7.5t/a</w:t>
            </w:r>
          </w:p>
        </w:tc>
        <w:tc>
          <w:tcPr>
            <w:tcW w:w="1761" w:type="dxa"/>
            <w:shd w:val="clear" w:color="auto" w:fill="auto"/>
            <w:vAlign w:val="center"/>
          </w:tcPr>
          <w:p w14:paraId="5CF1D4EC">
            <w:pPr>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w:t>
            </w:r>
          </w:p>
        </w:tc>
        <w:tc>
          <w:tcPr>
            <w:tcW w:w="1641" w:type="dxa"/>
            <w:shd w:val="clear" w:color="auto" w:fill="auto"/>
            <w:vAlign w:val="center"/>
          </w:tcPr>
          <w:p w14:paraId="35ECFEB6">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lang w:val="en-US" w:eastAsia="zh-CN"/>
              </w:rPr>
              <w:t>7.5t/a</w:t>
            </w:r>
          </w:p>
        </w:tc>
        <w:tc>
          <w:tcPr>
            <w:tcW w:w="1276" w:type="dxa"/>
            <w:shd w:val="clear" w:color="auto" w:fill="auto"/>
            <w:vAlign w:val="center"/>
          </w:tcPr>
          <w:p w14:paraId="71DAF254">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lang w:val="en-US" w:eastAsia="zh-CN"/>
              </w:rPr>
              <w:t>+7.5t/a</w:t>
            </w:r>
          </w:p>
        </w:tc>
      </w:tr>
      <w:tr w14:paraId="0DE037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vMerge w:val="continue"/>
            <w:vAlign w:val="center"/>
          </w:tcPr>
          <w:p w14:paraId="2609BDE5">
            <w:pPr>
              <w:pStyle w:val="11"/>
              <w:spacing w:beforeLines="0" w:afterLines="0" w:line="240" w:lineRule="auto"/>
              <w:rPr>
                <w:rFonts w:hint="default" w:ascii="Times New Roman" w:hAnsi="Times New Roman" w:eastAsia="宋体" w:cs="Times New Roman"/>
                <w:snapToGrid w:val="0"/>
                <w:color w:val="auto"/>
                <w:kern w:val="21"/>
                <w:sz w:val="24"/>
                <w:szCs w:val="24"/>
              </w:rPr>
            </w:pPr>
          </w:p>
        </w:tc>
        <w:tc>
          <w:tcPr>
            <w:tcW w:w="1565" w:type="dxa"/>
            <w:vAlign w:val="center"/>
          </w:tcPr>
          <w:p w14:paraId="51A7A316">
            <w:pPr>
              <w:pStyle w:val="11"/>
              <w:spacing w:beforeLines="0" w:afterLines="0" w:line="240" w:lineRule="auto"/>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lang w:val="en-US" w:eastAsia="zh-CN"/>
              </w:rPr>
              <w:t>甘草废渣</w:t>
            </w:r>
          </w:p>
        </w:tc>
        <w:tc>
          <w:tcPr>
            <w:tcW w:w="1701" w:type="dxa"/>
            <w:shd w:val="clear" w:color="auto" w:fill="auto"/>
            <w:vAlign w:val="center"/>
          </w:tcPr>
          <w:p w14:paraId="15C9E68E">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276" w:type="dxa"/>
            <w:shd w:val="clear" w:color="auto" w:fill="auto"/>
            <w:vAlign w:val="center"/>
          </w:tcPr>
          <w:p w14:paraId="2B7EE082">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701" w:type="dxa"/>
            <w:shd w:val="clear" w:color="auto" w:fill="auto"/>
            <w:vAlign w:val="center"/>
          </w:tcPr>
          <w:p w14:paraId="663A991B">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559" w:type="dxa"/>
            <w:shd w:val="clear" w:color="auto" w:fill="auto"/>
            <w:vAlign w:val="center"/>
          </w:tcPr>
          <w:p w14:paraId="718AB04F">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lang w:val="en-US" w:eastAsia="zh-CN"/>
              </w:rPr>
              <w:t>7340t/a</w:t>
            </w:r>
          </w:p>
        </w:tc>
        <w:tc>
          <w:tcPr>
            <w:tcW w:w="1761" w:type="dxa"/>
            <w:shd w:val="clear" w:color="auto" w:fill="auto"/>
            <w:vAlign w:val="center"/>
          </w:tcPr>
          <w:p w14:paraId="446CCB53">
            <w:pPr>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w:t>
            </w:r>
          </w:p>
        </w:tc>
        <w:tc>
          <w:tcPr>
            <w:tcW w:w="1641" w:type="dxa"/>
            <w:shd w:val="clear" w:color="auto" w:fill="auto"/>
            <w:vAlign w:val="center"/>
          </w:tcPr>
          <w:p w14:paraId="1F614587">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lang w:val="en-US" w:eastAsia="zh-CN"/>
              </w:rPr>
              <w:t>7340t/a</w:t>
            </w:r>
          </w:p>
        </w:tc>
        <w:tc>
          <w:tcPr>
            <w:tcW w:w="1276" w:type="dxa"/>
            <w:shd w:val="clear" w:color="auto" w:fill="auto"/>
            <w:vAlign w:val="center"/>
          </w:tcPr>
          <w:p w14:paraId="1FFE2751">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lang w:val="en-US" w:eastAsia="zh-CN"/>
              </w:rPr>
              <w:t>+7340t/a</w:t>
            </w:r>
          </w:p>
        </w:tc>
      </w:tr>
      <w:tr w14:paraId="41C7B5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vMerge w:val="continue"/>
            <w:vAlign w:val="center"/>
          </w:tcPr>
          <w:p w14:paraId="76DD7C50">
            <w:pPr>
              <w:pStyle w:val="11"/>
              <w:spacing w:beforeLines="0" w:afterLines="0" w:line="240" w:lineRule="auto"/>
              <w:rPr>
                <w:rFonts w:hint="default" w:ascii="Times New Roman" w:hAnsi="Times New Roman" w:eastAsia="宋体" w:cs="Times New Roman"/>
                <w:snapToGrid w:val="0"/>
                <w:color w:val="auto"/>
                <w:kern w:val="21"/>
                <w:sz w:val="24"/>
                <w:szCs w:val="24"/>
              </w:rPr>
            </w:pPr>
          </w:p>
        </w:tc>
        <w:tc>
          <w:tcPr>
            <w:tcW w:w="1565" w:type="dxa"/>
            <w:vAlign w:val="center"/>
          </w:tcPr>
          <w:p w14:paraId="1C856E1D">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不合格产品</w:t>
            </w:r>
          </w:p>
        </w:tc>
        <w:tc>
          <w:tcPr>
            <w:tcW w:w="1701" w:type="dxa"/>
            <w:shd w:val="clear" w:color="auto" w:fill="auto"/>
            <w:vAlign w:val="center"/>
          </w:tcPr>
          <w:p w14:paraId="6F13D69F">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276" w:type="dxa"/>
            <w:shd w:val="clear" w:color="auto" w:fill="auto"/>
            <w:vAlign w:val="center"/>
          </w:tcPr>
          <w:p w14:paraId="0D1713C8">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701" w:type="dxa"/>
            <w:shd w:val="clear" w:color="auto" w:fill="auto"/>
            <w:vAlign w:val="center"/>
          </w:tcPr>
          <w:p w14:paraId="01A2562D">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559" w:type="dxa"/>
            <w:shd w:val="clear" w:color="auto" w:fill="auto"/>
            <w:vAlign w:val="center"/>
          </w:tcPr>
          <w:p w14:paraId="69F36526">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1t/a</w:t>
            </w:r>
          </w:p>
        </w:tc>
        <w:tc>
          <w:tcPr>
            <w:tcW w:w="1761" w:type="dxa"/>
            <w:shd w:val="clear" w:color="auto" w:fill="auto"/>
            <w:vAlign w:val="center"/>
          </w:tcPr>
          <w:p w14:paraId="3500C732">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w:t>
            </w:r>
          </w:p>
        </w:tc>
        <w:tc>
          <w:tcPr>
            <w:tcW w:w="1641" w:type="dxa"/>
            <w:shd w:val="clear" w:color="auto" w:fill="auto"/>
            <w:vAlign w:val="center"/>
          </w:tcPr>
          <w:p w14:paraId="472E9D30">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1t/a</w:t>
            </w:r>
          </w:p>
        </w:tc>
        <w:tc>
          <w:tcPr>
            <w:tcW w:w="1276" w:type="dxa"/>
            <w:shd w:val="clear" w:color="auto" w:fill="auto"/>
            <w:vAlign w:val="center"/>
          </w:tcPr>
          <w:p w14:paraId="3451B4D7">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rPr>
            </w:pPr>
            <w:r>
              <w:rPr>
                <w:rFonts w:hint="default" w:ascii="Times New Roman" w:hAnsi="Times New Roman" w:eastAsia="宋体" w:cs="Times New Roman"/>
                <w:snapToGrid w:val="0"/>
                <w:color w:val="auto"/>
                <w:kern w:val="21"/>
                <w:sz w:val="24"/>
                <w:szCs w:val="24"/>
                <w:lang w:val="en-US" w:eastAsia="zh-CN"/>
              </w:rPr>
              <w:t>1t/a</w:t>
            </w:r>
          </w:p>
        </w:tc>
      </w:tr>
      <w:tr w14:paraId="36C70B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40" w:type="dxa"/>
            <w:vMerge w:val="continue"/>
            <w:vAlign w:val="center"/>
          </w:tcPr>
          <w:p w14:paraId="7ED9B39E">
            <w:pPr>
              <w:pStyle w:val="11"/>
              <w:spacing w:beforeLines="0" w:afterLines="0" w:line="240" w:lineRule="auto"/>
              <w:rPr>
                <w:rFonts w:hint="default" w:ascii="Times New Roman" w:hAnsi="Times New Roman" w:eastAsia="宋体" w:cs="Times New Roman"/>
                <w:snapToGrid w:val="0"/>
                <w:color w:val="auto"/>
                <w:kern w:val="21"/>
                <w:sz w:val="24"/>
                <w:szCs w:val="24"/>
              </w:rPr>
            </w:pPr>
          </w:p>
        </w:tc>
        <w:tc>
          <w:tcPr>
            <w:tcW w:w="1565" w:type="dxa"/>
            <w:vAlign w:val="center"/>
          </w:tcPr>
          <w:p w14:paraId="081EB9C9">
            <w:pPr>
              <w:pStyle w:val="11"/>
              <w:spacing w:beforeLines="0" w:afterLines="0" w:line="240" w:lineRule="auto"/>
              <w:rPr>
                <w:rFonts w:hint="default" w:ascii="Times New Roman" w:hAnsi="Times New Roman" w:eastAsia="宋体" w:cs="Times New Roman"/>
                <w:snapToGrid w:val="0"/>
                <w:color w:val="auto"/>
                <w:kern w:val="21"/>
                <w:sz w:val="24"/>
                <w:szCs w:val="24"/>
              </w:rPr>
            </w:pPr>
            <w:r>
              <w:rPr>
                <w:rFonts w:hint="default" w:ascii="Times New Roman" w:hAnsi="Times New Roman" w:eastAsia="宋体" w:cs="Times New Roman"/>
                <w:snapToGrid w:val="0"/>
                <w:color w:val="auto"/>
                <w:kern w:val="21"/>
                <w:sz w:val="24"/>
                <w:szCs w:val="24"/>
                <w:lang w:val="en-US" w:eastAsia="zh-CN"/>
              </w:rPr>
              <w:t>软水机废滤膜</w:t>
            </w:r>
          </w:p>
        </w:tc>
        <w:tc>
          <w:tcPr>
            <w:tcW w:w="1701" w:type="dxa"/>
            <w:shd w:val="clear" w:color="auto" w:fill="auto"/>
            <w:vAlign w:val="center"/>
          </w:tcPr>
          <w:p w14:paraId="5F4C4726">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276" w:type="dxa"/>
            <w:shd w:val="clear" w:color="auto" w:fill="auto"/>
            <w:vAlign w:val="center"/>
          </w:tcPr>
          <w:p w14:paraId="424377F0">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701" w:type="dxa"/>
            <w:shd w:val="clear" w:color="auto" w:fill="auto"/>
            <w:vAlign w:val="center"/>
          </w:tcPr>
          <w:p w14:paraId="5DAF565A">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rPr>
              <w:t>/</w:t>
            </w:r>
          </w:p>
        </w:tc>
        <w:tc>
          <w:tcPr>
            <w:tcW w:w="1559" w:type="dxa"/>
            <w:shd w:val="clear" w:color="auto" w:fill="auto"/>
            <w:vAlign w:val="center"/>
          </w:tcPr>
          <w:p w14:paraId="20CA6438">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lang w:val="en-US" w:eastAsia="zh-CN"/>
              </w:rPr>
              <w:t>2t/3年</w:t>
            </w:r>
          </w:p>
        </w:tc>
        <w:tc>
          <w:tcPr>
            <w:tcW w:w="1761" w:type="dxa"/>
            <w:shd w:val="clear" w:color="auto" w:fill="auto"/>
            <w:vAlign w:val="center"/>
          </w:tcPr>
          <w:p w14:paraId="20C53014">
            <w:pPr>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rPr>
              <w:t>/</w:t>
            </w:r>
          </w:p>
        </w:tc>
        <w:tc>
          <w:tcPr>
            <w:tcW w:w="1641" w:type="dxa"/>
            <w:shd w:val="clear" w:color="auto" w:fill="auto"/>
            <w:vAlign w:val="center"/>
          </w:tcPr>
          <w:p w14:paraId="22FA4031">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lang w:val="en-US" w:eastAsia="zh-CN"/>
              </w:rPr>
              <w:t>2t/3年</w:t>
            </w:r>
          </w:p>
        </w:tc>
        <w:tc>
          <w:tcPr>
            <w:tcW w:w="1276" w:type="dxa"/>
            <w:shd w:val="clear" w:color="auto" w:fill="auto"/>
            <w:vAlign w:val="center"/>
          </w:tcPr>
          <w:p w14:paraId="20492E9D">
            <w:pPr>
              <w:pStyle w:val="11"/>
              <w:spacing w:beforeLines="0" w:afterLines="0" w:line="240" w:lineRule="auto"/>
              <w:rPr>
                <w:rFonts w:hint="default" w:ascii="Times New Roman" w:hAnsi="Times New Roman" w:eastAsia="宋体" w:cs="Times New Roman"/>
                <w:snapToGrid w:val="0"/>
                <w:color w:val="auto"/>
                <w:kern w:val="21"/>
                <w:sz w:val="24"/>
                <w:szCs w:val="24"/>
                <w:lang w:val="en-US" w:eastAsia="zh-CN" w:bidi="ar-SA"/>
              </w:rPr>
            </w:pPr>
            <w:r>
              <w:rPr>
                <w:rFonts w:hint="default" w:ascii="Times New Roman" w:hAnsi="Times New Roman" w:eastAsia="宋体" w:cs="Times New Roman"/>
                <w:snapToGrid w:val="0"/>
                <w:color w:val="auto"/>
                <w:kern w:val="21"/>
                <w:sz w:val="24"/>
                <w:szCs w:val="24"/>
                <w:lang w:val="en-US" w:eastAsia="zh-CN"/>
              </w:rPr>
              <w:t>+2t/3年</w:t>
            </w:r>
          </w:p>
        </w:tc>
      </w:tr>
    </w:tbl>
    <w:p w14:paraId="49AD0B9D">
      <w:pPr>
        <w:pStyle w:val="11"/>
        <w:spacing w:before="192" w:beforeLines="80" w:after="24"/>
        <w:jc w:val="left"/>
        <w:rPr>
          <w:rFonts w:hint="default" w:ascii="Times New Roman" w:hAnsi="Times New Roman" w:eastAsia="宋体" w:cs="Times New Roman"/>
          <w:snapToGrid w:val="0"/>
          <w:color w:val="auto"/>
          <w:spacing w:val="-6"/>
          <w:kern w:val="21"/>
          <w:szCs w:val="21"/>
        </w:rPr>
      </w:pPr>
      <w:r>
        <w:rPr>
          <w:rFonts w:hint="default" w:ascii="Times New Roman" w:hAnsi="Times New Roman" w:eastAsia="宋体" w:cs="Times New Roman"/>
          <w:snapToGrid w:val="0"/>
          <w:color w:val="auto"/>
          <w:kern w:val="21"/>
          <w:szCs w:val="21"/>
        </w:rPr>
        <w:t>注：</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3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③</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4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④</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5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⑤</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7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⑦</w:t>
      </w:r>
      <w:r>
        <w:rPr>
          <w:rFonts w:hint="default" w:ascii="Times New Roman" w:hAnsi="Times New Roman" w:eastAsia="宋体" w:cs="Times New Roman"/>
          <w:snapToGrid w:val="0"/>
          <w:color w:val="auto"/>
          <w:spacing w:val="-6"/>
          <w:kern w:val="21"/>
          <w:szCs w:val="21"/>
        </w:rPr>
        <w:fldChar w:fldCharType="end"/>
      </w:r>
      <w:r>
        <w:rPr>
          <w:rFonts w:hint="default" w:ascii="Times New Roman" w:hAnsi="Times New Roman" w:eastAsia="宋体" w:cs="Times New Roman"/>
          <w:snapToGrid w:val="0"/>
          <w:color w:val="auto"/>
          <w:spacing w:val="-6"/>
          <w:kern w:val="21"/>
          <w:szCs w:val="21"/>
        </w:rPr>
        <w:t>=</w:t>
      </w:r>
      <w:r>
        <w:rPr>
          <w:rFonts w:hint="default" w:ascii="Times New Roman" w:hAnsi="Times New Roman" w:eastAsia="宋体" w:cs="Times New Roman"/>
          <w:snapToGrid w:val="0"/>
          <w:color w:val="auto"/>
          <w:spacing w:val="-16"/>
          <w:kern w:val="21"/>
          <w:szCs w:val="21"/>
        </w:rPr>
        <w:fldChar w:fldCharType="begin"/>
      </w:r>
      <w:r>
        <w:rPr>
          <w:rFonts w:hint="default" w:ascii="Times New Roman" w:hAnsi="Times New Roman" w:eastAsia="宋体" w:cs="Times New Roman"/>
          <w:snapToGrid w:val="0"/>
          <w:color w:val="auto"/>
          <w:spacing w:val="-16"/>
          <w:kern w:val="21"/>
          <w:szCs w:val="21"/>
        </w:rPr>
        <w:instrText xml:space="preserve"> = 6 \* GB3 \* MERGEFORMAT </w:instrText>
      </w:r>
      <w:r>
        <w:rPr>
          <w:rFonts w:hint="default" w:ascii="Times New Roman" w:hAnsi="Times New Roman" w:eastAsia="宋体" w:cs="Times New Roman"/>
          <w:snapToGrid w:val="0"/>
          <w:color w:val="auto"/>
          <w:spacing w:val="-16"/>
          <w:kern w:val="21"/>
          <w:szCs w:val="21"/>
        </w:rPr>
        <w:fldChar w:fldCharType="separate"/>
      </w:r>
      <w:r>
        <w:rPr>
          <w:rFonts w:hint="default" w:ascii="Times New Roman" w:hAnsi="Times New Roman" w:eastAsia="宋体" w:cs="Times New Roman"/>
          <w:color w:val="auto"/>
          <w:szCs w:val="21"/>
        </w:rPr>
        <w:t>⑥</w:t>
      </w:r>
      <w:r>
        <w:rPr>
          <w:rFonts w:hint="default" w:ascii="Times New Roman" w:hAnsi="Times New Roman" w:eastAsia="宋体" w:cs="Times New Roman"/>
          <w:snapToGrid w:val="0"/>
          <w:color w:val="auto"/>
          <w:spacing w:val="-16"/>
          <w:kern w:val="21"/>
          <w:szCs w:val="21"/>
        </w:rPr>
        <w:fldChar w:fldCharType="end"/>
      </w:r>
      <w:r>
        <w:rPr>
          <w:rFonts w:hint="default" w:ascii="Times New Roman" w:hAnsi="Times New Roman" w:eastAsia="宋体" w:cs="Times New Roman"/>
          <w:snapToGrid w:val="0"/>
          <w:color w:val="auto"/>
          <w:spacing w:val="-16"/>
          <w:kern w:val="21"/>
          <w:szCs w:val="21"/>
        </w:rPr>
        <w:t>-</w:t>
      </w:r>
      <w:r>
        <w:rPr>
          <w:rFonts w:hint="default" w:ascii="Times New Roman" w:hAnsi="Times New Roman" w:eastAsia="宋体" w:cs="Times New Roman"/>
          <w:snapToGrid w:val="0"/>
          <w:color w:val="auto"/>
          <w:spacing w:val="-6"/>
          <w:kern w:val="21"/>
          <w:szCs w:val="21"/>
        </w:rPr>
        <w:fldChar w:fldCharType="begin"/>
      </w:r>
      <w:r>
        <w:rPr>
          <w:rFonts w:hint="default" w:ascii="Times New Roman" w:hAnsi="Times New Roman" w:eastAsia="宋体" w:cs="Times New Roman"/>
          <w:snapToGrid w:val="0"/>
          <w:color w:val="auto"/>
          <w:spacing w:val="-6"/>
          <w:kern w:val="21"/>
          <w:szCs w:val="21"/>
        </w:rPr>
        <w:instrText xml:space="preserve"> = 1 \* GB3 \* MERGEFORMAT </w:instrText>
      </w:r>
      <w:r>
        <w:rPr>
          <w:rFonts w:hint="default" w:ascii="Times New Roman" w:hAnsi="Times New Roman" w:eastAsia="宋体" w:cs="Times New Roman"/>
          <w:snapToGrid w:val="0"/>
          <w:color w:val="auto"/>
          <w:spacing w:val="-6"/>
          <w:kern w:val="21"/>
          <w:szCs w:val="21"/>
        </w:rPr>
        <w:fldChar w:fldCharType="separate"/>
      </w:r>
      <w:r>
        <w:rPr>
          <w:rFonts w:hint="default" w:ascii="Times New Roman" w:hAnsi="Times New Roman" w:eastAsia="宋体" w:cs="Times New Roman"/>
          <w:color w:val="auto"/>
          <w:szCs w:val="21"/>
        </w:rPr>
        <w:t>①</w:t>
      </w:r>
      <w:r>
        <w:rPr>
          <w:rFonts w:hint="default" w:ascii="Times New Roman" w:hAnsi="Times New Roman" w:eastAsia="宋体" w:cs="Times New Roman"/>
          <w:snapToGrid w:val="0"/>
          <w:color w:val="auto"/>
          <w:spacing w:val="-6"/>
          <w:kern w:val="21"/>
          <w:szCs w:val="21"/>
        </w:rPr>
        <w:fldChar w:fldCharType="end"/>
      </w:r>
    </w:p>
    <w:p w14:paraId="0EA36C17">
      <w:pPr>
        <w:rPr>
          <w:rFonts w:hint="default" w:ascii="Times New Roman" w:hAnsi="Times New Roman" w:eastAsia="宋体" w:cs="Times New Roman"/>
          <w:color w:val="auto"/>
        </w:rPr>
      </w:pPr>
    </w:p>
    <w:p w14:paraId="2E7670F8">
      <w:pPr>
        <w:rPr>
          <w:rFonts w:hint="default" w:ascii="Times New Roman" w:hAnsi="Times New Roman" w:eastAsia="宋体" w:cs="Times New Roman"/>
          <w:color w:val="auto"/>
        </w:rPr>
      </w:pPr>
    </w:p>
    <w:p w14:paraId="0925F0C2">
      <w:pPr>
        <w:pStyle w:val="3"/>
        <w:adjustRightInd w:val="0"/>
        <w:snapToGrid w:val="0"/>
        <w:spacing w:before="0" w:beforeAutospacing="0" w:after="0" w:afterAutospacing="0" w:line="360" w:lineRule="auto"/>
        <w:outlineLvl w:val="0"/>
        <w:rPr>
          <w:rFonts w:hint="default" w:ascii="Times New Roman" w:hAnsi="Times New Roman" w:eastAsia="宋体" w:cs="Times New Roman"/>
          <w:snapToGrid w:val="0"/>
          <w:color w:val="auto"/>
          <w:sz w:val="32"/>
          <w:szCs w:val="32"/>
        </w:rPr>
        <w:sectPr>
          <w:footerReference r:id="rId6" w:type="default"/>
          <w:pgSz w:w="16838" w:h="11906" w:orient="landscape"/>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bookmarkStart w:id="9" w:name="_GoBack"/>
      <w:bookmarkEnd w:id="9"/>
    </w:p>
    <w:p w14:paraId="3C1AA57A">
      <w:pPr>
        <w:pStyle w:val="3"/>
        <w:adjustRightInd w:val="0"/>
        <w:snapToGrid w:val="0"/>
        <w:spacing w:before="0" w:beforeAutospacing="0" w:after="0" w:afterAutospacing="0" w:line="360" w:lineRule="auto"/>
        <w:outlineLvl w:val="0"/>
        <w:rPr>
          <w:rFonts w:hint="default" w:ascii="Times New Roman" w:hAnsi="Times New Roman" w:eastAsia="宋体" w:cs="Times New Roman"/>
          <w:b/>
          <w:bCs/>
          <w:snapToGrid w:val="0"/>
          <w:color w:val="auto"/>
          <w:sz w:val="32"/>
          <w:szCs w:val="32"/>
        </w:rPr>
      </w:pPr>
      <w:r>
        <w:rPr>
          <w:rFonts w:hint="default" w:ascii="Times New Roman" w:hAnsi="Times New Roman" w:eastAsia="宋体" w:cs="Times New Roman"/>
          <w:b/>
          <w:bCs/>
          <w:snapToGrid w:val="0"/>
          <w:color w:val="auto"/>
          <w:sz w:val="32"/>
          <w:szCs w:val="32"/>
        </w:rPr>
        <w:t>附图</w:t>
      </w:r>
    </w:p>
    <w:p w14:paraId="654B0765">
      <w:pPr>
        <w:tabs>
          <w:tab w:val="left" w:pos="0"/>
        </w:tabs>
        <w:adjustRightInd w:val="0"/>
        <w:snapToGrid w:val="0"/>
        <w:spacing w:line="360" w:lineRule="auto"/>
        <w:textAlignment w:val="baseline"/>
        <w:outlineLvl w:val="1"/>
        <w:rPr>
          <w:rFonts w:hint="default" w:ascii="Times New Roman" w:hAnsi="Times New Roman" w:eastAsia="宋体" w:cs="Times New Roman"/>
          <w:b/>
          <w:bCs/>
          <w:color w:val="auto"/>
          <w:kern w:val="0"/>
          <w:sz w:val="24"/>
          <w:szCs w:val="20"/>
        </w:rPr>
      </w:pPr>
      <w:bookmarkStart w:id="8" w:name="_Hlk71902401"/>
      <w:r>
        <w:rPr>
          <w:rFonts w:hint="default" w:ascii="Times New Roman" w:hAnsi="Times New Roman" w:eastAsia="宋体" w:cs="Times New Roman"/>
          <w:b/>
          <w:color w:val="auto"/>
          <w:kern w:val="0"/>
          <w:sz w:val="24"/>
          <w:szCs w:val="20"/>
        </w:rPr>
        <w:t>附图1：</w:t>
      </w:r>
      <w:r>
        <w:rPr>
          <w:rFonts w:hint="default" w:ascii="Times New Roman" w:hAnsi="Times New Roman" w:eastAsia="宋体" w:cs="Times New Roman"/>
          <w:b/>
          <w:bCs/>
          <w:color w:val="auto"/>
          <w:kern w:val="0"/>
          <w:sz w:val="24"/>
          <w:szCs w:val="20"/>
        </w:rPr>
        <w:t>本项目在鄂尔多斯市环境管控单元图中的位置</w:t>
      </w:r>
    </w:p>
    <w:p w14:paraId="0A6791E0">
      <w:pPr>
        <w:tabs>
          <w:tab w:val="left" w:pos="0"/>
        </w:tabs>
        <w:adjustRightInd w:val="0"/>
        <w:snapToGrid w:val="0"/>
        <w:spacing w:line="360" w:lineRule="auto"/>
        <w:jc w:val="center"/>
        <w:textAlignment w:val="baseline"/>
        <w:rPr>
          <w:rFonts w:hint="default" w:ascii="Times New Roman" w:hAnsi="Times New Roman" w:eastAsia="宋体" w:cs="Times New Roman"/>
          <w:b/>
          <w:color w:val="auto"/>
          <w:kern w:val="0"/>
          <w:sz w:val="24"/>
          <w:szCs w:val="20"/>
        </w:rPr>
      </w:pPr>
      <w:r>
        <w:rPr>
          <w:rFonts w:hint="default" w:ascii="Times New Roman" w:hAnsi="Times New Roman" w:eastAsia="宋体" w:cs="Times New Roman"/>
          <w:b/>
          <w:color w:val="auto"/>
          <w:kern w:val="0"/>
          <w:szCs w:val="21"/>
        </w:rPr>
        <mc:AlternateContent>
          <mc:Choice Requires="wps">
            <w:drawing>
              <wp:anchor distT="0" distB="0" distL="114300" distR="114300" simplePos="0" relativeHeight="251664384" behindDoc="0" locked="0" layoutInCell="1" allowOverlap="1">
                <wp:simplePos x="0" y="0"/>
                <wp:positionH relativeFrom="column">
                  <wp:posOffset>2625090</wp:posOffset>
                </wp:positionH>
                <wp:positionV relativeFrom="paragraph">
                  <wp:posOffset>3089275</wp:posOffset>
                </wp:positionV>
                <wp:extent cx="991870" cy="284480"/>
                <wp:effectExtent l="5080" t="548640" r="12700" b="5080"/>
                <wp:wrapNone/>
                <wp:docPr id="2" name="矩形标注 2"/>
                <wp:cNvGraphicFramePr/>
                <a:graphic xmlns:a="http://schemas.openxmlformats.org/drawingml/2006/main">
                  <a:graphicData uri="http://schemas.microsoft.com/office/word/2010/wordprocessingShape">
                    <wps:wsp>
                      <wps:cNvSpPr/>
                      <wps:spPr>
                        <a:xfrm>
                          <a:off x="0" y="0"/>
                          <a:ext cx="991870" cy="284480"/>
                        </a:xfrm>
                        <a:prstGeom prst="wedgeRectCallout">
                          <a:avLst>
                            <a:gd name="adj1" fmla="val 31884"/>
                            <a:gd name="adj2" fmla="val -235492"/>
                          </a:avLst>
                        </a:prstGeom>
                        <a:noFill/>
                        <a:ln w="9525" cap="flat" cmpd="sng">
                          <a:solidFill>
                            <a:srgbClr val="000000"/>
                          </a:solidFill>
                          <a:prstDash val="solid"/>
                          <a:miter/>
                          <a:headEnd type="none" w="med" len="med"/>
                          <a:tailEnd type="none" w="med" len="med"/>
                        </a:ln>
                      </wps:spPr>
                      <wps:txbx>
                        <w:txbxContent>
                          <w:p w14:paraId="10DBDF89">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wps:txbx>
                      <wps:bodyPr wrap="square" upright="1">
                        <a:noAutofit/>
                      </wps:bodyPr>
                    </wps:wsp>
                  </a:graphicData>
                </a:graphic>
              </wp:anchor>
            </w:drawing>
          </mc:Choice>
          <mc:Fallback>
            <w:pict>
              <v:shape id="_x0000_s1026" o:spid="_x0000_s1026" o:spt="61" type="#_x0000_t61" style="position:absolute;left:0pt;margin-left:206.7pt;margin-top:243.25pt;height:22.4pt;width:78.1pt;z-index:251664384;mso-width-relative:page;mso-height-relative:page;" filled="f" stroked="t" coordsize="21600,21600" o:gfxdata="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xUrRkdoAAAALAQAADwAAAAAA&#10;AAABACAAAAAiAAAAZHJzL2Rvd25yZXYueG1sUEsBAhQAFAAAAAgAh07iQHTyHmNKAgAAjAQAAA4A&#10;AAAAAAAAAQAgAAAAKQEAAGRycy9lMm9Eb2MueG1sUEsFBgAAAAAGAAYAWQEAAOUFAAAAAA==&#10;" adj="17687,-40066">
                <v:fill on="f" focussize="0,0"/>
                <v:stroke color="#000000" joinstyle="miter"/>
                <v:imagedata o:title=""/>
                <o:lock v:ext="edit" aspectratio="f"/>
                <v:textbox>
                  <w:txbxContent>
                    <w:p w14:paraId="10DBDF89">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v:textbox>
              </v:shape>
            </w:pict>
          </mc:Fallback>
        </mc:AlternateContent>
      </w:r>
      <w:r>
        <w:rPr>
          <w:rFonts w:hint="default" w:ascii="Times New Roman" w:hAnsi="Times New Roman" w:eastAsia="宋体" w:cs="Times New Roman"/>
          <w:color w:val="auto"/>
          <w:sz w:val="24"/>
        </w:rPr>
        <mc:AlternateContent>
          <mc:Choice Requires="wps">
            <w:drawing>
              <wp:anchor distT="0" distB="0" distL="114300" distR="114300" simplePos="0" relativeHeight="251659264" behindDoc="0" locked="0" layoutInCell="1" allowOverlap="1">
                <wp:simplePos x="0" y="0"/>
                <wp:positionH relativeFrom="column">
                  <wp:posOffset>3342640</wp:posOffset>
                </wp:positionH>
                <wp:positionV relativeFrom="paragraph">
                  <wp:posOffset>2424430</wp:posOffset>
                </wp:positionV>
                <wp:extent cx="200025" cy="198120"/>
                <wp:effectExtent l="13970" t="15875" r="14605" b="14605"/>
                <wp:wrapNone/>
                <wp:docPr id="1664234299" name="自选图形 682"/>
                <wp:cNvGraphicFramePr/>
                <a:graphic xmlns:a="http://schemas.openxmlformats.org/drawingml/2006/main">
                  <a:graphicData uri="http://schemas.microsoft.com/office/word/2010/wordprocessingShape">
                    <wps:wsp>
                      <wps:cNvSpPr/>
                      <wps:spPr bwMode="auto">
                        <a:xfrm>
                          <a:off x="4716780" y="3981450"/>
                          <a:ext cx="200025" cy="198120"/>
                        </a:xfrm>
                        <a:custGeom>
                          <a:avLst/>
                          <a:gdLst>
                            <a:gd name="T0" fmla="*/ 0 w 10000"/>
                            <a:gd name="T1" fmla="*/ 119 h 10000"/>
                            <a:gd name="T2" fmla="*/ 120 w 10000"/>
                            <a:gd name="T3" fmla="*/ 119 h 10000"/>
                            <a:gd name="T4" fmla="*/ 158 w 10000"/>
                            <a:gd name="T5" fmla="*/ 0 h 10000"/>
                            <a:gd name="T6" fmla="*/ 195 w 10000"/>
                            <a:gd name="T7" fmla="*/ 119 h 10000"/>
                            <a:gd name="T8" fmla="*/ 315 w 10000"/>
                            <a:gd name="T9" fmla="*/ 119 h 10000"/>
                            <a:gd name="T10" fmla="*/ 218 w 10000"/>
                            <a:gd name="T11" fmla="*/ 193 h 10000"/>
                            <a:gd name="T12" fmla="*/ 255 w 10000"/>
                            <a:gd name="T13" fmla="*/ 312 h 10000"/>
                            <a:gd name="T14" fmla="*/ 158 w 10000"/>
                            <a:gd name="T15" fmla="*/ 238 h 10000"/>
                            <a:gd name="T16" fmla="*/ 60 w 10000"/>
                            <a:gd name="T17" fmla="*/ 312 h 10000"/>
                            <a:gd name="T18" fmla="*/ 97 w 10000"/>
                            <a:gd name="T19" fmla="*/ 193 h 10000"/>
                            <a:gd name="T20" fmla="*/ 0 w 10000"/>
                            <a:gd name="T21" fmla="*/ 119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4"/>
                              </a:moveTo>
                              <a:lnTo>
                                <a:pt x="3810" y="3814"/>
                              </a:lnTo>
                              <a:lnTo>
                                <a:pt x="5016" y="0"/>
                              </a:lnTo>
                              <a:lnTo>
                                <a:pt x="6190" y="3814"/>
                              </a:lnTo>
                              <a:lnTo>
                                <a:pt x="10000" y="3814"/>
                              </a:lnTo>
                              <a:lnTo>
                                <a:pt x="6921" y="6186"/>
                              </a:lnTo>
                              <a:lnTo>
                                <a:pt x="8095" y="10000"/>
                              </a:lnTo>
                              <a:lnTo>
                                <a:pt x="5016" y="7628"/>
                              </a:lnTo>
                              <a:lnTo>
                                <a:pt x="1905" y="10000"/>
                              </a:lnTo>
                              <a:lnTo>
                                <a:pt x="3079" y="6186"/>
                              </a:lnTo>
                              <a:lnTo>
                                <a:pt x="0" y="3814"/>
                              </a:lnTo>
                              <a:close/>
                            </a:path>
                          </a:pathLst>
                        </a:custGeom>
                        <a:solidFill>
                          <a:sysClr val="window" lastClr="FFFFFF"/>
                        </a:solidFill>
                        <a:ln w="9525"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682" o:spid="_x0000_s1026" o:spt="100" style="position:absolute;left:0pt;margin-left:263.2pt;margin-top:190.9pt;height:15.6pt;width:15.75pt;z-index:251659264;mso-width-relative:page;mso-height-relative:page;" fillcolor="#FFFFFF" filled="t" stroked="t" coordsize="10000,10000" o:gfxdata="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" path="m0,3814l3810,3814,5016,0,6190,3814,10000,3814,6921,6186,8095,10000,5016,7628,1905,10000,3079,6186,0,3814xe">
                <v:path o:connectlocs="0,2357;2400,2357;3160,0;3900,2357;6300,2357;4360,3823;5100,6181;3160,4715;1200,6181;1940,3823;0,2357" o:connectangles="0,0,0,0,0,0,0,0,0,0,0"/>
                <v:fill on="t" focussize="0,0"/>
                <v:stroke color="#000000" miterlimit="8" joinstyle="miter"/>
                <v:imagedata o:title=""/>
                <o:lock v:ext="edit" aspectratio="f"/>
              </v:shape>
            </w:pict>
          </mc:Fallback>
        </mc:AlternateContent>
      </w:r>
      <w:r>
        <w:rPr>
          <w:rFonts w:hint="default" w:ascii="Times New Roman" w:hAnsi="Times New Roman" w:eastAsia="宋体" w:cs="Times New Roman"/>
          <w:color w:val="auto"/>
        </w:rPr>
        <w:drawing>
          <wp:inline distT="0" distB="0" distL="0" distR="0">
            <wp:extent cx="7678420" cy="5492115"/>
            <wp:effectExtent l="0" t="0" r="0" b="0"/>
            <wp:docPr id="72706779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67795" name="图片 10"/>
                    <pic:cNvPicPr>
                      <a:picLocks noChangeAspect="1" noChangeArrowheads="1"/>
                    </pic:cNvPicPr>
                  </pic:nvPicPr>
                  <pic:blipFill>
                    <a:blip r:embed="rId13">
                      <a:extLst>
                        <a:ext uri="{28A0092B-C50C-407E-A947-70E740481C1C}">
                          <a14:useLocalDpi xmlns:a14="http://schemas.microsoft.com/office/drawing/2010/main" val="0"/>
                        </a:ext>
                      </a:extLst>
                    </a:blip>
                    <a:srcRect l="2046" t="1873" r="2030" b="1075"/>
                    <a:stretch>
                      <a:fillRect/>
                    </a:stretch>
                  </pic:blipFill>
                  <pic:spPr>
                    <a:xfrm>
                      <a:off x="0" y="0"/>
                      <a:ext cx="7697539" cy="5505402"/>
                    </a:xfrm>
                    <a:prstGeom prst="rect">
                      <a:avLst/>
                    </a:prstGeom>
                    <a:noFill/>
                    <a:ln>
                      <a:noFill/>
                    </a:ln>
                  </pic:spPr>
                </pic:pic>
              </a:graphicData>
            </a:graphic>
          </wp:inline>
        </w:drawing>
      </w:r>
      <w:r>
        <w:rPr>
          <w:rFonts w:hint="default" w:ascii="Times New Roman" w:hAnsi="Times New Roman" w:eastAsia="宋体" w:cs="Times New Roman"/>
          <w:b/>
          <w:color w:val="auto"/>
          <w:kern w:val="0"/>
          <w:sz w:val="24"/>
          <w:szCs w:val="20"/>
        </w:rPr>
        <w:br w:type="page"/>
      </w:r>
    </w:p>
    <w:p w14:paraId="4253EC3B">
      <w:pPr>
        <w:tabs>
          <w:tab w:val="left" w:pos="0"/>
        </w:tabs>
        <w:adjustRightInd w:val="0"/>
        <w:snapToGrid w:val="0"/>
        <w:spacing w:line="360" w:lineRule="auto"/>
        <w:ind w:firstLine="1275" w:firstLineChars="529"/>
        <w:textAlignment w:val="baseline"/>
        <w:outlineLvl w:val="1"/>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color w:val="auto"/>
          <w:kern w:val="0"/>
          <w:sz w:val="24"/>
          <w:szCs w:val="20"/>
        </w:rPr>
        <w:t>附图2：</w:t>
      </w:r>
      <w:r>
        <w:rPr>
          <w:rFonts w:hint="default" w:ascii="Times New Roman" w:hAnsi="Times New Roman" w:eastAsia="宋体" w:cs="Times New Roman"/>
          <w:b/>
          <w:bCs/>
          <w:color w:val="auto"/>
          <w:kern w:val="0"/>
          <w:sz w:val="24"/>
          <w:szCs w:val="20"/>
        </w:rPr>
        <w:t>项目地理位置图</w:t>
      </w:r>
      <w:bookmarkEnd w:id="8"/>
    </w:p>
    <w:p w14:paraId="0257AFA7">
      <w:pPr>
        <w:autoSpaceDE w:val="0"/>
        <w:autoSpaceDN w:val="0"/>
        <w:adjustRightInd w:val="0"/>
        <w:snapToGrid w:val="0"/>
        <w:spacing w:line="360" w:lineRule="auto"/>
        <w:jc w:val="center"/>
        <w:rPr>
          <w:rFonts w:hint="default" w:ascii="Times New Roman" w:hAnsi="Times New Roman" w:eastAsia="宋体" w:cs="Times New Roman"/>
          <w:b/>
          <w:color w:val="auto"/>
          <w:kern w:val="0"/>
          <w:szCs w:val="21"/>
        </w:rPr>
        <w:sectPr>
          <w:pgSz w:w="16838" w:h="11906" w:orient="landscape"/>
          <w:pgMar w:top="993" w:right="1531" w:bottom="1135" w:left="1531" w:header="851" w:footer="851"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eastAsia="宋体" w:cs="Times New Roman"/>
          <w:b/>
          <w:color w:val="auto"/>
          <w:kern w:val="0"/>
          <w:szCs w:val="21"/>
        </w:rPr>
        <mc:AlternateContent>
          <mc:Choice Requires="wps">
            <w:drawing>
              <wp:anchor distT="0" distB="0" distL="114300" distR="114300" simplePos="0" relativeHeight="251660288" behindDoc="0" locked="0" layoutInCell="1" allowOverlap="1">
                <wp:simplePos x="0" y="0"/>
                <wp:positionH relativeFrom="column">
                  <wp:posOffset>5170805</wp:posOffset>
                </wp:positionH>
                <wp:positionV relativeFrom="paragraph">
                  <wp:posOffset>4269105</wp:posOffset>
                </wp:positionV>
                <wp:extent cx="991870" cy="284480"/>
                <wp:effectExtent l="0" t="571500" r="17780" b="20320"/>
                <wp:wrapNone/>
                <wp:docPr id="4" name="矩形标注 4"/>
                <wp:cNvGraphicFramePr/>
                <a:graphic xmlns:a="http://schemas.openxmlformats.org/drawingml/2006/main">
                  <a:graphicData uri="http://schemas.microsoft.com/office/word/2010/wordprocessingShape">
                    <wps:wsp>
                      <wps:cNvSpPr/>
                      <wps:spPr>
                        <a:xfrm>
                          <a:off x="0" y="0"/>
                          <a:ext cx="991870" cy="284480"/>
                        </a:xfrm>
                        <a:prstGeom prst="wedgeRectCallout">
                          <a:avLst>
                            <a:gd name="adj1" fmla="val 31884"/>
                            <a:gd name="adj2" fmla="val -235492"/>
                          </a:avLst>
                        </a:prstGeom>
                        <a:noFill/>
                        <a:ln w="9525" cap="flat" cmpd="sng">
                          <a:solidFill>
                            <a:srgbClr val="000000"/>
                          </a:solidFill>
                          <a:prstDash val="solid"/>
                          <a:miter/>
                          <a:headEnd type="none" w="med" len="med"/>
                          <a:tailEnd type="none" w="med" len="med"/>
                        </a:ln>
                      </wps:spPr>
                      <wps:txbx>
                        <w:txbxContent>
                          <w:p w14:paraId="46656D30">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wps:txbx>
                      <wps:bodyPr wrap="square" upright="1">
                        <a:noAutofit/>
                      </wps:bodyPr>
                    </wps:wsp>
                  </a:graphicData>
                </a:graphic>
              </wp:anchor>
            </w:drawing>
          </mc:Choice>
          <mc:Fallback>
            <w:pict>
              <v:shape id="_x0000_s1026" o:spid="_x0000_s1026" o:spt="61" type="#_x0000_t61" style="position:absolute;left:0pt;margin-left:407.15pt;margin-top:336.15pt;height:22.4pt;width:78.1pt;z-index:251660288;mso-width-relative:page;mso-height-relative:page;" filled="f" stroked="t" coordsize="21600,21600" o:gfxdata="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774/F2gAAAAsBAAAPAAAA&#10;AAAAAAEAIAAAACIAAABkcnMvZG93bnJldi54bWxQSwECFAAUAAAACACHTuJAc2bwfEwCAACMBAAA&#10;DgAAAAAAAAABACAAAAApAQAAZHJzL2Uyb0RvYy54bWxQSwUGAAAAAAYABgBZAQAA5wUAAAAA&#10;" adj="17687,-40066">
                <v:fill on="f" focussize="0,0"/>
                <v:stroke color="#000000" joinstyle="miter"/>
                <v:imagedata o:title=""/>
                <o:lock v:ext="edit" aspectratio="f"/>
                <v:textbox>
                  <w:txbxContent>
                    <w:p w14:paraId="46656D30">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v:textbox>
              </v:shape>
            </w:pict>
          </mc:Fallback>
        </mc:AlternateContent>
      </w:r>
      <w:r>
        <w:rPr>
          <w:rFonts w:hint="default" w:ascii="Times New Roman" w:hAnsi="Times New Roman" w:eastAsia="宋体" w:cs="Times New Roman"/>
          <w:color w:val="auto"/>
        </w:rPr>
        <mc:AlternateContent>
          <mc:Choice Requires="wps">
            <w:drawing>
              <wp:anchor distT="0" distB="0" distL="114300" distR="114300" simplePos="0" relativeHeight="251662336" behindDoc="0" locked="0" layoutInCell="1" allowOverlap="1">
                <wp:simplePos x="0" y="0"/>
                <wp:positionH relativeFrom="column">
                  <wp:posOffset>5886450</wp:posOffset>
                </wp:positionH>
                <wp:positionV relativeFrom="paragraph">
                  <wp:posOffset>3612515</wp:posOffset>
                </wp:positionV>
                <wp:extent cx="200025" cy="198120"/>
                <wp:effectExtent l="0" t="0" r="0" b="0"/>
                <wp:wrapNone/>
                <wp:docPr id="1341849672" name="自选图形 682"/>
                <wp:cNvGraphicFramePr/>
                <a:graphic xmlns:a="http://schemas.openxmlformats.org/drawingml/2006/main">
                  <a:graphicData uri="http://schemas.microsoft.com/office/word/2010/wordprocessingShape">
                    <wps:wsp>
                      <wps:cNvSpPr/>
                      <wps:spPr bwMode="auto">
                        <a:xfrm>
                          <a:off x="0" y="0"/>
                          <a:ext cx="200025" cy="198120"/>
                        </a:xfrm>
                        <a:custGeom>
                          <a:avLst/>
                          <a:gdLst>
                            <a:gd name="T0" fmla="*/ 0 w 10000"/>
                            <a:gd name="T1" fmla="*/ 119 h 10000"/>
                            <a:gd name="T2" fmla="*/ 120 w 10000"/>
                            <a:gd name="T3" fmla="*/ 119 h 10000"/>
                            <a:gd name="T4" fmla="*/ 158 w 10000"/>
                            <a:gd name="T5" fmla="*/ 0 h 10000"/>
                            <a:gd name="T6" fmla="*/ 195 w 10000"/>
                            <a:gd name="T7" fmla="*/ 119 h 10000"/>
                            <a:gd name="T8" fmla="*/ 315 w 10000"/>
                            <a:gd name="T9" fmla="*/ 119 h 10000"/>
                            <a:gd name="T10" fmla="*/ 218 w 10000"/>
                            <a:gd name="T11" fmla="*/ 193 h 10000"/>
                            <a:gd name="T12" fmla="*/ 255 w 10000"/>
                            <a:gd name="T13" fmla="*/ 312 h 10000"/>
                            <a:gd name="T14" fmla="*/ 158 w 10000"/>
                            <a:gd name="T15" fmla="*/ 238 h 10000"/>
                            <a:gd name="T16" fmla="*/ 60 w 10000"/>
                            <a:gd name="T17" fmla="*/ 312 h 10000"/>
                            <a:gd name="T18" fmla="*/ 97 w 10000"/>
                            <a:gd name="T19" fmla="*/ 193 h 10000"/>
                            <a:gd name="T20" fmla="*/ 0 w 10000"/>
                            <a:gd name="T21" fmla="*/ 119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4"/>
                              </a:moveTo>
                              <a:lnTo>
                                <a:pt x="3810" y="3814"/>
                              </a:lnTo>
                              <a:lnTo>
                                <a:pt x="5016" y="0"/>
                              </a:lnTo>
                              <a:lnTo>
                                <a:pt x="6190" y="3814"/>
                              </a:lnTo>
                              <a:lnTo>
                                <a:pt x="10000" y="3814"/>
                              </a:lnTo>
                              <a:lnTo>
                                <a:pt x="6921" y="6186"/>
                              </a:lnTo>
                              <a:lnTo>
                                <a:pt x="8095" y="10000"/>
                              </a:lnTo>
                              <a:lnTo>
                                <a:pt x="5016" y="7628"/>
                              </a:lnTo>
                              <a:lnTo>
                                <a:pt x="1905" y="10000"/>
                              </a:lnTo>
                              <a:lnTo>
                                <a:pt x="3079" y="6186"/>
                              </a:lnTo>
                              <a:lnTo>
                                <a:pt x="0" y="3814"/>
                              </a:lnTo>
                              <a:close/>
                            </a:path>
                          </a:pathLst>
                        </a:custGeom>
                        <a:solidFill>
                          <a:srgbClr val="FF0000"/>
                        </a:solidFill>
                        <a:ln w="9525"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682" o:spid="_x0000_s1026" o:spt="100" style="position:absolute;left:0pt;margin-left:463.5pt;margin-top:284.45pt;height:15.6pt;width:15.75pt;z-index:251662336;mso-width-relative:page;mso-height-relative:page;" fillcolor="#FF0000" filled="t" stroked="t" coordsize="10000,10000" o:gfxdata="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" path="m0,3814l3810,3814,5016,0,6190,3814,10000,3814,6921,6186,8095,10000,5016,7628,1905,10000,3079,6186,0,3814xe">
                <v:path o:connectlocs="0,2357;2400,2357;3160,0;3900,2357;6300,2357;4360,3823;5100,6181;3160,4715;1200,6181;1940,3823;0,2357" o:connectangles="0,0,0,0,0,0,0,0,0,0,0"/>
                <v:fill on="t" focussize="0,0"/>
                <v:stroke color="#000000" miterlimit="8" joinstyle="miter"/>
                <v:imagedata o:title=""/>
                <o:lock v:ext="edit" aspectratio="f"/>
              </v:shape>
            </w:pict>
          </mc:Fallback>
        </mc:AlternateContent>
      </w:r>
      <w:r>
        <w:rPr>
          <w:rFonts w:hint="default" w:ascii="Times New Roman" w:hAnsi="Times New Roman" w:eastAsia="宋体" w:cs="Times New Roman"/>
          <w:b/>
          <w:color w:val="auto"/>
          <w:kern w:val="0"/>
          <w:szCs w:val="21"/>
        </w:rPr>
        <w:drawing>
          <wp:inline distT="0" distB="0" distL="0" distR="0">
            <wp:extent cx="7846695" cy="5354955"/>
            <wp:effectExtent l="0" t="0" r="1905" b="0"/>
            <wp:docPr id="13270105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10559" name="图片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849328" cy="5357135"/>
                    </a:xfrm>
                    <a:prstGeom prst="rect">
                      <a:avLst/>
                    </a:prstGeom>
                    <a:noFill/>
                    <a:ln>
                      <a:noFill/>
                    </a:ln>
                  </pic:spPr>
                </pic:pic>
              </a:graphicData>
            </a:graphic>
          </wp:inline>
        </w:drawing>
      </w:r>
    </w:p>
    <w:p w14:paraId="48505D3D">
      <w:pPr>
        <w:tabs>
          <w:tab w:val="left" w:pos="0"/>
        </w:tabs>
        <w:adjustRightInd w:val="0"/>
        <w:snapToGrid w:val="0"/>
        <w:spacing w:line="360" w:lineRule="auto"/>
        <w:ind w:firstLine="1275" w:firstLineChars="529"/>
        <w:textAlignment w:val="baseline"/>
        <w:outlineLvl w:val="1"/>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bCs/>
          <w:color w:val="auto"/>
          <w:kern w:val="0"/>
          <w:sz w:val="24"/>
          <w:szCs w:val="20"/>
        </w:rPr>
        <w:t>附图3：项目平面布置图</w:t>
      </w:r>
    </w:p>
    <w:p w14:paraId="4E15C5A6">
      <w:pPr>
        <w:autoSpaceDE w:val="0"/>
        <w:autoSpaceDN w:val="0"/>
        <w:adjustRightInd w:val="0"/>
        <w:snapToGrid w:val="0"/>
        <w:spacing w:line="360" w:lineRule="auto"/>
        <w:jc w:val="center"/>
        <w:rPr>
          <w:rFonts w:hint="default" w:ascii="Times New Roman" w:hAnsi="Times New Roman" w:eastAsia="宋体" w:cs="Times New Roman"/>
          <w:b/>
          <w:color w:val="auto"/>
          <w:kern w:val="0"/>
          <w:szCs w:val="21"/>
          <w:lang w:eastAsia="zh-CN"/>
        </w:rPr>
      </w:pPr>
      <w:r>
        <w:rPr>
          <w:rFonts w:hint="default" w:ascii="Times New Roman" w:hAnsi="Times New Roman" w:eastAsia="宋体" w:cs="Times New Roman"/>
          <w:b/>
          <w:color w:val="auto"/>
          <w:kern w:val="0"/>
          <w:szCs w:val="21"/>
          <w:lang w:eastAsia="zh-CN"/>
        </w:rPr>
        <w:drawing>
          <wp:inline distT="0" distB="0" distL="114300" distR="114300">
            <wp:extent cx="6205855" cy="7757160"/>
            <wp:effectExtent l="0" t="0" r="4445" b="15240"/>
            <wp:docPr id="3" name="图片 3" descr="00.总平面图-----修改-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0.总平面图-----修改-模型"/>
                    <pic:cNvPicPr>
                      <a:picLocks noChangeAspect="1"/>
                    </pic:cNvPicPr>
                  </pic:nvPicPr>
                  <pic:blipFill>
                    <a:blip r:embed="rId15"/>
                    <a:stretch>
                      <a:fillRect/>
                    </a:stretch>
                  </pic:blipFill>
                  <pic:spPr>
                    <a:xfrm>
                      <a:off x="0" y="0"/>
                      <a:ext cx="6205855" cy="7757160"/>
                    </a:xfrm>
                    <a:prstGeom prst="rect">
                      <a:avLst/>
                    </a:prstGeom>
                  </pic:spPr>
                </pic:pic>
              </a:graphicData>
            </a:graphic>
          </wp:inline>
        </w:drawing>
      </w:r>
    </w:p>
    <w:p w14:paraId="516018A0">
      <w:pPr>
        <w:autoSpaceDE w:val="0"/>
        <w:autoSpaceDN w:val="0"/>
        <w:adjustRightInd w:val="0"/>
        <w:snapToGrid w:val="0"/>
        <w:spacing w:line="360" w:lineRule="auto"/>
        <w:jc w:val="center"/>
        <w:rPr>
          <w:rFonts w:hint="default" w:ascii="Times New Roman" w:hAnsi="Times New Roman" w:eastAsia="宋体" w:cs="Times New Roman"/>
          <w:b/>
          <w:color w:val="auto"/>
          <w:kern w:val="0"/>
          <w:szCs w:val="21"/>
        </w:rPr>
        <w:sectPr>
          <w:pgSz w:w="11906" w:h="16838"/>
          <w:pgMar w:top="1531" w:right="1135" w:bottom="1531" w:left="993" w:header="851" w:footer="851" w:gutter="0"/>
          <w:pgBorders>
            <w:top w:val="none" w:sz="0" w:space="0"/>
            <w:left w:val="none" w:sz="0" w:space="0"/>
            <w:bottom w:val="none" w:sz="0" w:space="0"/>
            <w:right w:val="none" w:sz="0" w:space="0"/>
          </w:pgBorders>
          <w:cols w:space="720" w:num="1"/>
          <w:docGrid w:linePitch="312" w:charSpace="0"/>
        </w:sectPr>
      </w:pPr>
    </w:p>
    <w:p w14:paraId="70E559D7">
      <w:pPr>
        <w:tabs>
          <w:tab w:val="left" w:pos="0"/>
        </w:tabs>
        <w:adjustRightInd w:val="0"/>
        <w:snapToGrid w:val="0"/>
        <w:spacing w:line="360" w:lineRule="auto"/>
        <w:ind w:firstLine="1115" w:firstLineChars="529"/>
        <w:textAlignment w:val="baseline"/>
        <w:outlineLvl w:val="1"/>
        <w:rPr>
          <w:rFonts w:hint="default" w:ascii="Times New Roman" w:hAnsi="Times New Roman" w:eastAsia="宋体" w:cs="Times New Roman"/>
          <w:b/>
          <w:bCs/>
          <w:color w:val="auto"/>
          <w:kern w:val="0"/>
          <w:sz w:val="24"/>
          <w:szCs w:val="20"/>
        </w:rPr>
      </w:pPr>
      <w:r>
        <w:rPr>
          <w:rFonts w:hint="default" w:ascii="Times New Roman" w:hAnsi="Times New Roman" w:eastAsia="宋体" w:cs="Times New Roman"/>
          <w:b/>
          <w:color w:val="auto"/>
          <w:kern w:val="0"/>
          <w:szCs w:val="21"/>
        </w:rPr>
        <w:drawing>
          <wp:anchor distT="0" distB="0" distL="114300" distR="114300" simplePos="0" relativeHeight="251663360" behindDoc="0" locked="0" layoutInCell="1" allowOverlap="1">
            <wp:simplePos x="0" y="0"/>
            <wp:positionH relativeFrom="column">
              <wp:posOffset>7648575</wp:posOffset>
            </wp:positionH>
            <wp:positionV relativeFrom="paragraph">
              <wp:posOffset>292735</wp:posOffset>
            </wp:positionV>
            <wp:extent cx="659130" cy="933450"/>
            <wp:effectExtent l="0" t="0" r="7620" b="0"/>
            <wp:wrapNone/>
            <wp:docPr id="20577097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09712"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r>
        <w:rPr>
          <w:rFonts w:hint="default" w:ascii="Times New Roman" w:hAnsi="Times New Roman" w:eastAsia="宋体" w:cs="Times New Roman"/>
          <w:b/>
          <w:bCs/>
          <w:color w:val="auto"/>
          <w:kern w:val="0"/>
          <w:sz w:val="24"/>
          <w:szCs w:val="20"/>
        </w:rPr>
        <w:t>附图4：环境保护目标</w:t>
      </w:r>
    </w:p>
    <w:p w14:paraId="235692EC">
      <w:pPr>
        <w:autoSpaceDE w:val="0"/>
        <w:autoSpaceDN w:val="0"/>
        <w:adjustRightInd w:val="0"/>
        <w:snapToGrid w:val="0"/>
        <w:spacing w:line="360" w:lineRule="auto"/>
        <w:jc w:val="center"/>
        <w:rPr>
          <w:rFonts w:hint="default" w:ascii="Times New Roman" w:hAnsi="Times New Roman" w:eastAsia="宋体" w:cs="Times New Roman"/>
          <w:b/>
          <w:color w:val="auto"/>
          <w:kern w:val="0"/>
          <w:szCs w:val="21"/>
          <w:lang w:eastAsia="zh-CN"/>
        </w:rPr>
      </w:pPr>
      <w:r>
        <w:rPr>
          <w:rFonts w:hint="default" w:ascii="Times New Roman" w:hAnsi="Times New Roman" w:eastAsia="宋体" w:cs="Times New Roman"/>
          <w:b/>
          <w:color w:val="auto"/>
          <w:kern w:val="0"/>
          <w:szCs w:val="21"/>
        </w:rPr>
        <w:drawing>
          <wp:anchor distT="0" distB="0" distL="114300" distR="114300" simplePos="0" relativeHeight="251661312" behindDoc="0" locked="0" layoutInCell="1" allowOverlap="1">
            <wp:simplePos x="0" y="0"/>
            <wp:positionH relativeFrom="column">
              <wp:posOffset>6858000</wp:posOffset>
            </wp:positionH>
            <wp:positionV relativeFrom="paragraph">
              <wp:posOffset>4531995</wp:posOffset>
            </wp:positionV>
            <wp:extent cx="1447800" cy="1209675"/>
            <wp:effectExtent l="0" t="0" r="0" b="0"/>
            <wp:wrapNone/>
            <wp:docPr id="113165567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55679" name="图片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447800" cy="1209675"/>
                    </a:xfrm>
                    <a:prstGeom prst="rect">
                      <a:avLst/>
                    </a:prstGeom>
                    <a:noFill/>
                  </pic:spPr>
                </pic:pic>
              </a:graphicData>
            </a:graphic>
          </wp:anchor>
        </w:drawing>
      </w:r>
      <w:r>
        <w:rPr>
          <w:rFonts w:hint="default" w:ascii="Times New Roman" w:hAnsi="Times New Roman" w:eastAsia="宋体" w:cs="Times New Roman"/>
          <w:b/>
          <w:color w:val="auto"/>
          <w:kern w:val="0"/>
          <w:szCs w:val="21"/>
        </w:rPr>
        <w:drawing>
          <wp:inline distT="0" distB="0" distL="114300" distR="114300">
            <wp:extent cx="6656705" cy="5222875"/>
            <wp:effectExtent l="0" t="0" r="10795" b="15875"/>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18"/>
                    <a:stretch>
                      <a:fillRect/>
                    </a:stretch>
                  </pic:blipFill>
                  <pic:spPr>
                    <a:xfrm>
                      <a:off x="0" y="0"/>
                      <a:ext cx="6656705" cy="5222875"/>
                    </a:xfrm>
                    <a:prstGeom prst="rect">
                      <a:avLst/>
                    </a:prstGeom>
                    <a:noFill/>
                    <a:ln>
                      <a:noFill/>
                    </a:ln>
                  </pic:spPr>
                </pic:pic>
              </a:graphicData>
            </a:graphic>
          </wp:inline>
        </w:drawing>
      </w:r>
      <w:r>
        <w:rPr>
          <w:rFonts w:hint="default" w:ascii="Times New Roman" w:hAnsi="Times New Roman" w:eastAsia="宋体" w:cs="Times New Roman"/>
          <w:color w:val="auto"/>
        </w:rPr>
        <w:t xml:space="preserve"> </w:t>
      </w:r>
    </w:p>
    <w:sectPr>
      <w:footerReference r:id="rId7" w:type="default"/>
      <w:pgSz w:w="11906" w:h="16838"/>
      <w:pgMar w:top="1276" w:right="991" w:bottom="1276" w:left="1134"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4B217">
    <w:pPr>
      <w:pStyle w:val="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68D0C">
    <w:pPr>
      <w:pStyle w:val="5"/>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14:paraId="56FE0350">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6DC65">
    <w:pPr>
      <w:pStyle w:val="5"/>
      <w:jc w:val="center"/>
    </w:pPr>
    <w:r>
      <w:fldChar w:fldCharType="begin"/>
    </w:r>
    <w:r>
      <w:instrText xml:space="preserve">PAGE   \* MERGEFORMAT</w:instrText>
    </w:r>
    <w:r>
      <w:fldChar w:fldCharType="separate"/>
    </w:r>
    <w:r>
      <w:rPr>
        <w:lang w:val="zh-CN"/>
      </w:rPr>
      <w:t>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E5196">
    <w:pPr>
      <w:pStyle w:val="5"/>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82FA">
    <w:pPr>
      <w:pStyle w:val="5"/>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3BB96C"/>
    <w:multiLevelType w:val="singleLevel"/>
    <w:tmpl w:val="AC3BB96C"/>
    <w:lvl w:ilvl="0" w:tentative="0">
      <w:start w:val="1"/>
      <w:numFmt w:val="decimal"/>
      <w:suff w:val="nothing"/>
      <w:lvlText w:val="（%1）"/>
      <w:lvlJc w:val="left"/>
    </w:lvl>
  </w:abstractNum>
  <w:abstractNum w:abstractNumId="1">
    <w:nsid w:val="060C2DE4"/>
    <w:multiLevelType w:val="multilevel"/>
    <w:tmpl w:val="060C2DE4"/>
    <w:lvl w:ilvl="0" w:tentative="0">
      <w:start w:val="1"/>
      <w:numFmt w:val="decimalEnclosedCircle"/>
      <w:lvlText w:val="%1"/>
      <w:lvlJc w:val="left"/>
      <w:pPr>
        <w:ind w:left="840" w:hanging="360"/>
      </w:pPr>
      <w:rPr>
        <w:rFonts w:hint="default" w:ascii="宋体" w:hAnsi="宋体" w:cs="宋体"/>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jMDhkMmVkZTM1MzQ5ODgzNDRjMjIxYTIwNTA3NDMifQ=="/>
  </w:docVars>
  <w:rsids>
    <w:rsidRoot w:val="00172A27"/>
    <w:rsid w:val="00002B95"/>
    <w:rsid w:val="00004541"/>
    <w:rsid w:val="000074C8"/>
    <w:rsid w:val="00011692"/>
    <w:rsid w:val="000122F6"/>
    <w:rsid w:val="000155E0"/>
    <w:rsid w:val="00024163"/>
    <w:rsid w:val="00030AAA"/>
    <w:rsid w:val="000425F5"/>
    <w:rsid w:val="00042BA7"/>
    <w:rsid w:val="000442C6"/>
    <w:rsid w:val="00045695"/>
    <w:rsid w:val="00050EFD"/>
    <w:rsid w:val="000536C3"/>
    <w:rsid w:val="000537B3"/>
    <w:rsid w:val="00070A1A"/>
    <w:rsid w:val="0007210A"/>
    <w:rsid w:val="000744E1"/>
    <w:rsid w:val="000957D7"/>
    <w:rsid w:val="000B6F8F"/>
    <w:rsid w:val="000C45DD"/>
    <w:rsid w:val="000C59BD"/>
    <w:rsid w:val="000D4FE2"/>
    <w:rsid w:val="000E1E4C"/>
    <w:rsid w:val="000F0E7F"/>
    <w:rsid w:val="000F2EFD"/>
    <w:rsid w:val="000F723D"/>
    <w:rsid w:val="001011B2"/>
    <w:rsid w:val="001015A1"/>
    <w:rsid w:val="001071F7"/>
    <w:rsid w:val="001138AD"/>
    <w:rsid w:val="00121B1D"/>
    <w:rsid w:val="0012390D"/>
    <w:rsid w:val="001244D4"/>
    <w:rsid w:val="0013603E"/>
    <w:rsid w:val="00136F0C"/>
    <w:rsid w:val="001441E3"/>
    <w:rsid w:val="0015460F"/>
    <w:rsid w:val="001642C1"/>
    <w:rsid w:val="00167C6C"/>
    <w:rsid w:val="00174A8D"/>
    <w:rsid w:val="00176352"/>
    <w:rsid w:val="00185081"/>
    <w:rsid w:val="0019059F"/>
    <w:rsid w:val="0019112D"/>
    <w:rsid w:val="00191ECA"/>
    <w:rsid w:val="0019469A"/>
    <w:rsid w:val="001A0C8C"/>
    <w:rsid w:val="001A26BB"/>
    <w:rsid w:val="001A3342"/>
    <w:rsid w:val="001A441E"/>
    <w:rsid w:val="001B6B31"/>
    <w:rsid w:val="001D6532"/>
    <w:rsid w:val="001E0FCA"/>
    <w:rsid w:val="001E489E"/>
    <w:rsid w:val="001E7E93"/>
    <w:rsid w:val="001F3741"/>
    <w:rsid w:val="001F5C85"/>
    <w:rsid w:val="002012D6"/>
    <w:rsid w:val="0020215E"/>
    <w:rsid w:val="00220DDD"/>
    <w:rsid w:val="00234292"/>
    <w:rsid w:val="002452B8"/>
    <w:rsid w:val="00252502"/>
    <w:rsid w:val="00276C09"/>
    <w:rsid w:val="0028686D"/>
    <w:rsid w:val="0029527D"/>
    <w:rsid w:val="002A0C0D"/>
    <w:rsid w:val="002A3824"/>
    <w:rsid w:val="002B4F07"/>
    <w:rsid w:val="002C3FA4"/>
    <w:rsid w:val="002C45BF"/>
    <w:rsid w:val="002D225B"/>
    <w:rsid w:val="002E1465"/>
    <w:rsid w:val="002E33D5"/>
    <w:rsid w:val="002F40AE"/>
    <w:rsid w:val="003052FA"/>
    <w:rsid w:val="00311049"/>
    <w:rsid w:val="00312DBA"/>
    <w:rsid w:val="003142D3"/>
    <w:rsid w:val="003164D1"/>
    <w:rsid w:val="00317843"/>
    <w:rsid w:val="00320B5B"/>
    <w:rsid w:val="00321F61"/>
    <w:rsid w:val="00322632"/>
    <w:rsid w:val="003456B0"/>
    <w:rsid w:val="00350A10"/>
    <w:rsid w:val="003550A8"/>
    <w:rsid w:val="00355CC2"/>
    <w:rsid w:val="00363B04"/>
    <w:rsid w:val="0037360D"/>
    <w:rsid w:val="0037628B"/>
    <w:rsid w:val="00380ADA"/>
    <w:rsid w:val="00394F61"/>
    <w:rsid w:val="00396A8B"/>
    <w:rsid w:val="003B25C0"/>
    <w:rsid w:val="003B436D"/>
    <w:rsid w:val="003C4DFF"/>
    <w:rsid w:val="003D119D"/>
    <w:rsid w:val="003E654E"/>
    <w:rsid w:val="003E708F"/>
    <w:rsid w:val="003F05C1"/>
    <w:rsid w:val="003F06F0"/>
    <w:rsid w:val="003F7EF6"/>
    <w:rsid w:val="004056F9"/>
    <w:rsid w:val="004334A1"/>
    <w:rsid w:val="00434BBF"/>
    <w:rsid w:val="00441472"/>
    <w:rsid w:val="004447B4"/>
    <w:rsid w:val="00447980"/>
    <w:rsid w:val="00452B45"/>
    <w:rsid w:val="004636FB"/>
    <w:rsid w:val="00467DF9"/>
    <w:rsid w:val="00472650"/>
    <w:rsid w:val="00475713"/>
    <w:rsid w:val="00487F21"/>
    <w:rsid w:val="0049667B"/>
    <w:rsid w:val="004A31EA"/>
    <w:rsid w:val="004A4245"/>
    <w:rsid w:val="004B5178"/>
    <w:rsid w:val="004C149C"/>
    <w:rsid w:val="004D48D2"/>
    <w:rsid w:val="004F1759"/>
    <w:rsid w:val="0050090A"/>
    <w:rsid w:val="005161E7"/>
    <w:rsid w:val="00516A3C"/>
    <w:rsid w:val="005174A3"/>
    <w:rsid w:val="00517CE7"/>
    <w:rsid w:val="00522E46"/>
    <w:rsid w:val="005351F9"/>
    <w:rsid w:val="00535704"/>
    <w:rsid w:val="00537E7E"/>
    <w:rsid w:val="0054239B"/>
    <w:rsid w:val="00545B10"/>
    <w:rsid w:val="005530EB"/>
    <w:rsid w:val="00554FE6"/>
    <w:rsid w:val="005674FE"/>
    <w:rsid w:val="00577D25"/>
    <w:rsid w:val="005857A7"/>
    <w:rsid w:val="005907EC"/>
    <w:rsid w:val="005964CA"/>
    <w:rsid w:val="005A02FA"/>
    <w:rsid w:val="005A37F1"/>
    <w:rsid w:val="005A6EE5"/>
    <w:rsid w:val="005A725B"/>
    <w:rsid w:val="005B3776"/>
    <w:rsid w:val="005B44F1"/>
    <w:rsid w:val="005C37F4"/>
    <w:rsid w:val="005C383E"/>
    <w:rsid w:val="005C661A"/>
    <w:rsid w:val="005C71B2"/>
    <w:rsid w:val="005C7249"/>
    <w:rsid w:val="005D1FCC"/>
    <w:rsid w:val="005D2ABA"/>
    <w:rsid w:val="005D54CF"/>
    <w:rsid w:val="005D6010"/>
    <w:rsid w:val="005E2D01"/>
    <w:rsid w:val="005E2D0D"/>
    <w:rsid w:val="005E48F1"/>
    <w:rsid w:val="005E5CB8"/>
    <w:rsid w:val="005F7649"/>
    <w:rsid w:val="00600A33"/>
    <w:rsid w:val="00603B77"/>
    <w:rsid w:val="00625B6E"/>
    <w:rsid w:val="006453C7"/>
    <w:rsid w:val="00645715"/>
    <w:rsid w:val="00652CE7"/>
    <w:rsid w:val="00657C8F"/>
    <w:rsid w:val="0066189E"/>
    <w:rsid w:val="00663E7C"/>
    <w:rsid w:val="00675C56"/>
    <w:rsid w:val="00676A0A"/>
    <w:rsid w:val="00683AA5"/>
    <w:rsid w:val="0069069D"/>
    <w:rsid w:val="00692EFF"/>
    <w:rsid w:val="006A5DF5"/>
    <w:rsid w:val="006B12E7"/>
    <w:rsid w:val="006B1C77"/>
    <w:rsid w:val="006C1A55"/>
    <w:rsid w:val="006C2CE8"/>
    <w:rsid w:val="006C2ED2"/>
    <w:rsid w:val="006C7282"/>
    <w:rsid w:val="006D7836"/>
    <w:rsid w:val="006D7C1F"/>
    <w:rsid w:val="006F0AEC"/>
    <w:rsid w:val="006F1A08"/>
    <w:rsid w:val="006F2861"/>
    <w:rsid w:val="007107D8"/>
    <w:rsid w:val="00713B5B"/>
    <w:rsid w:val="00723EB8"/>
    <w:rsid w:val="007258C9"/>
    <w:rsid w:val="0073672E"/>
    <w:rsid w:val="0074063E"/>
    <w:rsid w:val="00743763"/>
    <w:rsid w:val="00743BE6"/>
    <w:rsid w:val="00743C07"/>
    <w:rsid w:val="00763B7D"/>
    <w:rsid w:val="00771254"/>
    <w:rsid w:val="00771829"/>
    <w:rsid w:val="00781EEE"/>
    <w:rsid w:val="007A08E0"/>
    <w:rsid w:val="007A0FB5"/>
    <w:rsid w:val="007A15C7"/>
    <w:rsid w:val="007A175A"/>
    <w:rsid w:val="007A7D27"/>
    <w:rsid w:val="007C027D"/>
    <w:rsid w:val="007C47D8"/>
    <w:rsid w:val="007C6A31"/>
    <w:rsid w:val="007D315D"/>
    <w:rsid w:val="007D4AD6"/>
    <w:rsid w:val="007E1E9D"/>
    <w:rsid w:val="007E2459"/>
    <w:rsid w:val="007E41B1"/>
    <w:rsid w:val="007F0238"/>
    <w:rsid w:val="007F1729"/>
    <w:rsid w:val="007F54A4"/>
    <w:rsid w:val="00801C75"/>
    <w:rsid w:val="0080405E"/>
    <w:rsid w:val="00805D6E"/>
    <w:rsid w:val="0081089A"/>
    <w:rsid w:val="008350F4"/>
    <w:rsid w:val="00842232"/>
    <w:rsid w:val="008511C5"/>
    <w:rsid w:val="00851A8C"/>
    <w:rsid w:val="00860E75"/>
    <w:rsid w:val="00872C0D"/>
    <w:rsid w:val="00884D95"/>
    <w:rsid w:val="00890F55"/>
    <w:rsid w:val="008A01F4"/>
    <w:rsid w:val="008A22CF"/>
    <w:rsid w:val="008B0A06"/>
    <w:rsid w:val="008B2E76"/>
    <w:rsid w:val="008C059B"/>
    <w:rsid w:val="008C69AF"/>
    <w:rsid w:val="00905E60"/>
    <w:rsid w:val="00916EE1"/>
    <w:rsid w:val="0093701F"/>
    <w:rsid w:val="00940FAD"/>
    <w:rsid w:val="0094399E"/>
    <w:rsid w:val="00944F40"/>
    <w:rsid w:val="00946BA1"/>
    <w:rsid w:val="00946F9C"/>
    <w:rsid w:val="00960078"/>
    <w:rsid w:val="0097279A"/>
    <w:rsid w:val="00982A9B"/>
    <w:rsid w:val="00985583"/>
    <w:rsid w:val="009A1129"/>
    <w:rsid w:val="009A2242"/>
    <w:rsid w:val="009B346E"/>
    <w:rsid w:val="009B7836"/>
    <w:rsid w:val="009C17E8"/>
    <w:rsid w:val="009D7A4F"/>
    <w:rsid w:val="009E4211"/>
    <w:rsid w:val="009E7834"/>
    <w:rsid w:val="009F38A4"/>
    <w:rsid w:val="00A0248E"/>
    <w:rsid w:val="00A037AE"/>
    <w:rsid w:val="00A134C9"/>
    <w:rsid w:val="00A34693"/>
    <w:rsid w:val="00A50C85"/>
    <w:rsid w:val="00A51829"/>
    <w:rsid w:val="00A5702D"/>
    <w:rsid w:val="00A710A3"/>
    <w:rsid w:val="00A75302"/>
    <w:rsid w:val="00AA0F48"/>
    <w:rsid w:val="00AA4088"/>
    <w:rsid w:val="00AB1892"/>
    <w:rsid w:val="00AB36DD"/>
    <w:rsid w:val="00AB5DB9"/>
    <w:rsid w:val="00AB6DA8"/>
    <w:rsid w:val="00AD508B"/>
    <w:rsid w:val="00AD60FC"/>
    <w:rsid w:val="00AD7D86"/>
    <w:rsid w:val="00AF08AF"/>
    <w:rsid w:val="00B07AAF"/>
    <w:rsid w:val="00B135FF"/>
    <w:rsid w:val="00B22D11"/>
    <w:rsid w:val="00B26AC1"/>
    <w:rsid w:val="00B34734"/>
    <w:rsid w:val="00B50C8E"/>
    <w:rsid w:val="00B623C3"/>
    <w:rsid w:val="00B658AF"/>
    <w:rsid w:val="00B775FE"/>
    <w:rsid w:val="00B938F1"/>
    <w:rsid w:val="00BA2517"/>
    <w:rsid w:val="00BA73AA"/>
    <w:rsid w:val="00BB4737"/>
    <w:rsid w:val="00BC1324"/>
    <w:rsid w:val="00BC5FE0"/>
    <w:rsid w:val="00BC7B50"/>
    <w:rsid w:val="00BE43DE"/>
    <w:rsid w:val="00BE6BD8"/>
    <w:rsid w:val="00C06E6A"/>
    <w:rsid w:val="00C16B5C"/>
    <w:rsid w:val="00C2380F"/>
    <w:rsid w:val="00C245E3"/>
    <w:rsid w:val="00C36C9C"/>
    <w:rsid w:val="00C41E28"/>
    <w:rsid w:val="00C429E1"/>
    <w:rsid w:val="00C47A66"/>
    <w:rsid w:val="00C514F0"/>
    <w:rsid w:val="00C5152E"/>
    <w:rsid w:val="00C52ACC"/>
    <w:rsid w:val="00C65787"/>
    <w:rsid w:val="00C710CC"/>
    <w:rsid w:val="00C75E83"/>
    <w:rsid w:val="00C83131"/>
    <w:rsid w:val="00C8515B"/>
    <w:rsid w:val="00C85A81"/>
    <w:rsid w:val="00C90939"/>
    <w:rsid w:val="00C93A62"/>
    <w:rsid w:val="00C966DD"/>
    <w:rsid w:val="00CA4E91"/>
    <w:rsid w:val="00CB00F2"/>
    <w:rsid w:val="00CB17D9"/>
    <w:rsid w:val="00CB1995"/>
    <w:rsid w:val="00CC26D3"/>
    <w:rsid w:val="00CE0AAE"/>
    <w:rsid w:val="00CE1ED2"/>
    <w:rsid w:val="00CF18E6"/>
    <w:rsid w:val="00D05EEE"/>
    <w:rsid w:val="00D15161"/>
    <w:rsid w:val="00D20E6D"/>
    <w:rsid w:val="00D220DE"/>
    <w:rsid w:val="00D22E2D"/>
    <w:rsid w:val="00D24C8C"/>
    <w:rsid w:val="00D27A2B"/>
    <w:rsid w:val="00D51E67"/>
    <w:rsid w:val="00D564AD"/>
    <w:rsid w:val="00D56B58"/>
    <w:rsid w:val="00D65203"/>
    <w:rsid w:val="00D71651"/>
    <w:rsid w:val="00D74D44"/>
    <w:rsid w:val="00D801E0"/>
    <w:rsid w:val="00D81474"/>
    <w:rsid w:val="00D847E8"/>
    <w:rsid w:val="00DA67FF"/>
    <w:rsid w:val="00DA7E8D"/>
    <w:rsid w:val="00DB5391"/>
    <w:rsid w:val="00DC6A47"/>
    <w:rsid w:val="00DC7C1D"/>
    <w:rsid w:val="00DD1EF5"/>
    <w:rsid w:val="00DD3842"/>
    <w:rsid w:val="00DE1BDC"/>
    <w:rsid w:val="00DF2CE6"/>
    <w:rsid w:val="00DF4450"/>
    <w:rsid w:val="00DF46AF"/>
    <w:rsid w:val="00DF7613"/>
    <w:rsid w:val="00E06479"/>
    <w:rsid w:val="00E06FA3"/>
    <w:rsid w:val="00E1013D"/>
    <w:rsid w:val="00E2063C"/>
    <w:rsid w:val="00E225E5"/>
    <w:rsid w:val="00E24D9F"/>
    <w:rsid w:val="00E30045"/>
    <w:rsid w:val="00E3356C"/>
    <w:rsid w:val="00E36D90"/>
    <w:rsid w:val="00E5069F"/>
    <w:rsid w:val="00E5166A"/>
    <w:rsid w:val="00E550D3"/>
    <w:rsid w:val="00E60652"/>
    <w:rsid w:val="00E65D0C"/>
    <w:rsid w:val="00E707A7"/>
    <w:rsid w:val="00E769AF"/>
    <w:rsid w:val="00E771FE"/>
    <w:rsid w:val="00E777E2"/>
    <w:rsid w:val="00E9025C"/>
    <w:rsid w:val="00E90EEE"/>
    <w:rsid w:val="00E95AF3"/>
    <w:rsid w:val="00EB3C1B"/>
    <w:rsid w:val="00EB3FD6"/>
    <w:rsid w:val="00EB5EA4"/>
    <w:rsid w:val="00EB6995"/>
    <w:rsid w:val="00EC34D1"/>
    <w:rsid w:val="00EC583F"/>
    <w:rsid w:val="00ED098D"/>
    <w:rsid w:val="00ED1629"/>
    <w:rsid w:val="00ED21F1"/>
    <w:rsid w:val="00ED331E"/>
    <w:rsid w:val="00ED3F10"/>
    <w:rsid w:val="00EE5F55"/>
    <w:rsid w:val="00F02153"/>
    <w:rsid w:val="00F0668E"/>
    <w:rsid w:val="00F213A7"/>
    <w:rsid w:val="00F21747"/>
    <w:rsid w:val="00F24610"/>
    <w:rsid w:val="00F248C9"/>
    <w:rsid w:val="00F252AD"/>
    <w:rsid w:val="00F26E40"/>
    <w:rsid w:val="00F3099C"/>
    <w:rsid w:val="00F350BE"/>
    <w:rsid w:val="00F53F97"/>
    <w:rsid w:val="00F60705"/>
    <w:rsid w:val="00F6339B"/>
    <w:rsid w:val="00F7000F"/>
    <w:rsid w:val="00F76F8C"/>
    <w:rsid w:val="00F82145"/>
    <w:rsid w:val="00F82B0B"/>
    <w:rsid w:val="00FA588B"/>
    <w:rsid w:val="00FB64A8"/>
    <w:rsid w:val="00FB6B9C"/>
    <w:rsid w:val="00FC2FB8"/>
    <w:rsid w:val="00FC3A04"/>
    <w:rsid w:val="00FD5D4B"/>
    <w:rsid w:val="00FE300E"/>
    <w:rsid w:val="00FE366C"/>
    <w:rsid w:val="00FE5758"/>
    <w:rsid w:val="00FE6E09"/>
    <w:rsid w:val="00FF0D01"/>
    <w:rsid w:val="00FF0D02"/>
    <w:rsid w:val="01057B51"/>
    <w:rsid w:val="01207CCA"/>
    <w:rsid w:val="01B73ED0"/>
    <w:rsid w:val="01E74ACC"/>
    <w:rsid w:val="03125B78"/>
    <w:rsid w:val="037E6D6A"/>
    <w:rsid w:val="03C67A09"/>
    <w:rsid w:val="059565ED"/>
    <w:rsid w:val="064E336B"/>
    <w:rsid w:val="06761402"/>
    <w:rsid w:val="06976AC0"/>
    <w:rsid w:val="074B3407"/>
    <w:rsid w:val="07796DD3"/>
    <w:rsid w:val="08252B72"/>
    <w:rsid w:val="083D7E72"/>
    <w:rsid w:val="08B84ACC"/>
    <w:rsid w:val="08DF5A4B"/>
    <w:rsid w:val="08F5187C"/>
    <w:rsid w:val="093700E7"/>
    <w:rsid w:val="09382467"/>
    <w:rsid w:val="099B2D1E"/>
    <w:rsid w:val="09E33DCA"/>
    <w:rsid w:val="0A305471"/>
    <w:rsid w:val="0C2D1CE7"/>
    <w:rsid w:val="0C552C23"/>
    <w:rsid w:val="0CA05FA3"/>
    <w:rsid w:val="0CE15C60"/>
    <w:rsid w:val="0E3F3599"/>
    <w:rsid w:val="0E5C3AD2"/>
    <w:rsid w:val="0E7121DC"/>
    <w:rsid w:val="0E847B31"/>
    <w:rsid w:val="0F0E560D"/>
    <w:rsid w:val="1021389E"/>
    <w:rsid w:val="1050688C"/>
    <w:rsid w:val="111D6497"/>
    <w:rsid w:val="12301B77"/>
    <w:rsid w:val="128F1A8C"/>
    <w:rsid w:val="132C1FB2"/>
    <w:rsid w:val="134A6C68"/>
    <w:rsid w:val="138908C5"/>
    <w:rsid w:val="141D437D"/>
    <w:rsid w:val="15B025D8"/>
    <w:rsid w:val="15FC6940"/>
    <w:rsid w:val="18493992"/>
    <w:rsid w:val="184C6FDF"/>
    <w:rsid w:val="185D2F9A"/>
    <w:rsid w:val="1890336F"/>
    <w:rsid w:val="18DA45EA"/>
    <w:rsid w:val="18E84F59"/>
    <w:rsid w:val="19372DD5"/>
    <w:rsid w:val="19DF017E"/>
    <w:rsid w:val="1A065E3F"/>
    <w:rsid w:val="1AA93F5F"/>
    <w:rsid w:val="1BFA35F5"/>
    <w:rsid w:val="1CE67A02"/>
    <w:rsid w:val="1D24780E"/>
    <w:rsid w:val="1D3D1123"/>
    <w:rsid w:val="1DA5166B"/>
    <w:rsid w:val="1E373AB0"/>
    <w:rsid w:val="1E7E3139"/>
    <w:rsid w:val="1F204D21"/>
    <w:rsid w:val="204038CD"/>
    <w:rsid w:val="220903C1"/>
    <w:rsid w:val="23021DF6"/>
    <w:rsid w:val="235F406A"/>
    <w:rsid w:val="236823D8"/>
    <w:rsid w:val="23894D11"/>
    <w:rsid w:val="24690EA8"/>
    <w:rsid w:val="24771887"/>
    <w:rsid w:val="2492221D"/>
    <w:rsid w:val="25363863"/>
    <w:rsid w:val="26937002"/>
    <w:rsid w:val="27FD667E"/>
    <w:rsid w:val="28375B2E"/>
    <w:rsid w:val="283C2BCC"/>
    <w:rsid w:val="28537F15"/>
    <w:rsid w:val="288612B9"/>
    <w:rsid w:val="29826D04"/>
    <w:rsid w:val="2A385615"/>
    <w:rsid w:val="2A410680"/>
    <w:rsid w:val="2A9D36CA"/>
    <w:rsid w:val="2B7B131F"/>
    <w:rsid w:val="2B8D2153"/>
    <w:rsid w:val="2BA271EA"/>
    <w:rsid w:val="2BB94533"/>
    <w:rsid w:val="2BC71186"/>
    <w:rsid w:val="2D764C9B"/>
    <w:rsid w:val="2DB43C88"/>
    <w:rsid w:val="2ED65102"/>
    <w:rsid w:val="2F642A08"/>
    <w:rsid w:val="30E12562"/>
    <w:rsid w:val="323E6274"/>
    <w:rsid w:val="32455894"/>
    <w:rsid w:val="3293788C"/>
    <w:rsid w:val="33552D94"/>
    <w:rsid w:val="33ED121E"/>
    <w:rsid w:val="353E0766"/>
    <w:rsid w:val="355157DD"/>
    <w:rsid w:val="35727C2D"/>
    <w:rsid w:val="359418B3"/>
    <w:rsid w:val="36085CF8"/>
    <w:rsid w:val="36DD557A"/>
    <w:rsid w:val="37FD1ED2"/>
    <w:rsid w:val="385C4BC4"/>
    <w:rsid w:val="38A04AB1"/>
    <w:rsid w:val="38AC78FA"/>
    <w:rsid w:val="39180AEB"/>
    <w:rsid w:val="394C69E7"/>
    <w:rsid w:val="3AA34435"/>
    <w:rsid w:val="3B6C3370"/>
    <w:rsid w:val="3B8701AA"/>
    <w:rsid w:val="3BAE5737"/>
    <w:rsid w:val="3C0937F9"/>
    <w:rsid w:val="3C7F70D3"/>
    <w:rsid w:val="3E8B55CC"/>
    <w:rsid w:val="3F116709"/>
    <w:rsid w:val="3F8926D5"/>
    <w:rsid w:val="3FA13A1C"/>
    <w:rsid w:val="40C379A5"/>
    <w:rsid w:val="418F41B4"/>
    <w:rsid w:val="41E30365"/>
    <w:rsid w:val="42543B0A"/>
    <w:rsid w:val="427E5E44"/>
    <w:rsid w:val="42C76054"/>
    <w:rsid w:val="435A7F52"/>
    <w:rsid w:val="44095C00"/>
    <w:rsid w:val="44B83DE4"/>
    <w:rsid w:val="44CB1108"/>
    <w:rsid w:val="45EA75D4"/>
    <w:rsid w:val="45FC4C14"/>
    <w:rsid w:val="46C40504"/>
    <w:rsid w:val="46D27A3E"/>
    <w:rsid w:val="48B907AE"/>
    <w:rsid w:val="490A5710"/>
    <w:rsid w:val="495615FD"/>
    <w:rsid w:val="49F92273"/>
    <w:rsid w:val="4A1277D9"/>
    <w:rsid w:val="4A3C0B62"/>
    <w:rsid w:val="4A3D5016"/>
    <w:rsid w:val="4A872B58"/>
    <w:rsid w:val="4BEE392E"/>
    <w:rsid w:val="4CCF20E6"/>
    <w:rsid w:val="4CCF550D"/>
    <w:rsid w:val="4CDF5745"/>
    <w:rsid w:val="4D93478D"/>
    <w:rsid w:val="4D9E0FA4"/>
    <w:rsid w:val="4DE35714"/>
    <w:rsid w:val="4DED7D8D"/>
    <w:rsid w:val="4E494F67"/>
    <w:rsid w:val="4E99401C"/>
    <w:rsid w:val="4F754BD6"/>
    <w:rsid w:val="4F86001B"/>
    <w:rsid w:val="4FCC3F86"/>
    <w:rsid w:val="4FD40D5D"/>
    <w:rsid w:val="50463BC3"/>
    <w:rsid w:val="510D4856"/>
    <w:rsid w:val="5114655F"/>
    <w:rsid w:val="513573BA"/>
    <w:rsid w:val="51D228A2"/>
    <w:rsid w:val="520E0DA0"/>
    <w:rsid w:val="52A87C5A"/>
    <w:rsid w:val="53065A01"/>
    <w:rsid w:val="53187450"/>
    <w:rsid w:val="537961D3"/>
    <w:rsid w:val="542F7EFE"/>
    <w:rsid w:val="54F2117E"/>
    <w:rsid w:val="557C0051"/>
    <w:rsid w:val="558646EF"/>
    <w:rsid w:val="55E02539"/>
    <w:rsid w:val="56AA3549"/>
    <w:rsid w:val="57B255DF"/>
    <w:rsid w:val="58356E2B"/>
    <w:rsid w:val="583F79EB"/>
    <w:rsid w:val="586F3EF7"/>
    <w:rsid w:val="58E67648"/>
    <w:rsid w:val="59030A18"/>
    <w:rsid w:val="5955323E"/>
    <w:rsid w:val="59E67B1D"/>
    <w:rsid w:val="59E949AA"/>
    <w:rsid w:val="5A4237C2"/>
    <w:rsid w:val="5B426C68"/>
    <w:rsid w:val="5B80180C"/>
    <w:rsid w:val="5BAF7805"/>
    <w:rsid w:val="5BE2700B"/>
    <w:rsid w:val="5BFC5BF3"/>
    <w:rsid w:val="5C62014C"/>
    <w:rsid w:val="5CFB5EAA"/>
    <w:rsid w:val="5D1E0517"/>
    <w:rsid w:val="5D283143"/>
    <w:rsid w:val="5D6B54A8"/>
    <w:rsid w:val="5DB92C1F"/>
    <w:rsid w:val="5E704A1A"/>
    <w:rsid w:val="5EC10FC1"/>
    <w:rsid w:val="5F092B01"/>
    <w:rsid w:val="5F7F7267"/>
    <w:rsid w:val="5FE175D9"/>
    <w:rsid w:val="5FE75BC2"/>
    <w:rsid w:val="60350CE2"/>
    <w:rsid w:val="61C827FF"/>
    <w:rsid w:val="631C434D"/>
    <w:rsid w:val="63D35ECD"/>
    <w:rsid w:val="642A59F3"/>
    <w:rsid w:val="64354398"/>
    <w:rsid w:val="643A5739"/>
    <w:rsid w:val="64BD5616"/>
    <w:rsid w:val="65B8702E"/>
    <w:rsid w:val="65CB4640"/>
    <w:rsid w:val="66231A10"/>
    <w:rsid w:val="66415276"/>
    <w:rsid w:val="66620187"/>
    <w:rsid w:val="66673F1D"/>
    <w:rsid w:val="66881F21"/>
    <w:rsid w:val="66FC7AF6"/>
    <w:rsid w:val="66FD4181"/>
    <w:rsid w:val="670F7122"/>
    <w:rsid w:val="67170922"/>
    <w:rsid w:val="679806DA"/>
    <w:rsid w:val="67CF0EDB"/>
    <w:rsid w:val="6884144A"/>
    <w:rsid w:val="699047BE"/>
    <w:rsid w:val="69D56B06"/>
    <w:rsid w:val="6C6B4F62"/>
    <w:rsid w:val="6D3939E9"/>
    <w:rsid w:val="6D541388"/>
    <w:rsid w:val="6EE16697"/>
    <w:rsid w:val="6F13764C"/>
    <w:rsid w:val="6FE3639E"/>
    <w:rsid w:val="6FFFE446"/>
    <w:rsid w:val="70C6412A"/>
    <w:rsid w:val="70E231B1"/>
    <w:rsid w:val="71770614"/>
    <w:rsid w:val="71D51F99"/>
    <w:rsid w:val="724A3704"/>
    <w:rsid w:val="730218E9"/>
    <w:rsid w:val="73D10850"/>
    <w:rsid w:val="74FE7ABF"/>
    <w:rsid w:val="754367B2"/>
    <w:rsid w:val="756D3EB3"/>
    <w:rsid w:val="75932CCC"/>
    <w:rsid w:val="76E42A9B"/>
    <w:rsid w:val="77E02B9B"/>
    <w:rsid w:val="77F35CA4"/>
    <w:rsid w:val="77F57C6E"/>
    <w:rsid w:val="78F41CD4"/>
    <w:rsid w:val="79357DED"/>
    <w:rsid w:val="7984574E"/>
    <w:rsid w:val="7984703D"/>
    <w:rsid w:val="79BE0973"/>
    <w:rsid w:val="79D52F41"/>
    <w:rsid w:val="7A37631C"/>
    <w:rsid w:val="7AF16E13"/>
    <w:rsid w:val="7B083022"/>
    <w:rsid w:val="7B5E7DE4"/>
    <w:rsid w:val="7BE10C20"/>
    <w:rsid w:val="7C982661"/>
    <w:rsid w:val="7CA37DEC"/>
    <w:rsid w:val="7D601DCD"/>
    <w:rsid w:val="7D660289"/>
    <w:rsid w:val="7DA22646"/>
    <w:rsid w:val="7DC474A6"/>
    <w:rsid w:val="7E1D1CCD"/>
    <w:rsid w:val="7E235E07"/>
    <w:rsid w:val="7E45027C"/>
    <w:rsid w:val="7FDB18A6"/>
    <w:rsid w:val="DEF69D7A"/>
    <w:rsid w:val="DFF9C6D7"/>
    <w:rsid w:val="EBBD3912"/>
    <w:rsid w:val="F63FF873"/>
    <w:rsid w:val="F97BDF65"/>
    <w:rsid w:val="FDF77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jc w:val="center"/>
      <w:outlineLvl w:val="0"/>
    </w:pPr>
    <w:rPr>
      <w:rFonts w:ascii="Times New Roman" w:hAnsi="Times New Roman" w:eastAsia="宋体" w:cs="Times New Roman"/>
      <w:b/>
      <w:bCs/>
      <w:snapToGrid w:val="0"/>
      <w:color w:val="auto"/>
      <w:sz w:val="30"/>
      <w:szCs w:val="30"/>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4">
    <w:name w:val="annotation text"/>
    <w:basedOn w:val="1"/>
    <w:qFormat/>
    <w:uiPriority w:val="0"/>
    <w:pPr>
      <w:jc w:val="left"/>
    </w:pPr>
  </w:style>
  <w:style w:type="paragraph" w:styleId="5">
    <w:name w:val="footer"/>
    <w:basedOn w:val="1"/>
    <w:qFormat/>
    <w:uiPriority w:val="99"/>
    <w:pPr>
      <w:tabs>
        <w:tab w:val="center" w:pos="4153"/>
        <w:tab w:val="right" w:pos="8306"/>
      </w:tabs>
      <w:snapToGrid w:val="0"/>
      <w:jc w:val="left"/>
    </w:pPr>
    <w:rPr>
      <w:kern w:val="0"/>
      <w:sz w:val="18"/>
      <w:szCs w:val="20"/>
    </w:rPr>
  </w:style>
  <w:style w:type="paragraph" w:styleId="6">
    <w:name w:val="header"/>
    <w:basedOn w:val="1"/>
    <w:link w:val="12"/>
    <w:qFormat/>
    <w:uiPriority w:val="0"/>
    <w:pP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 w:type="paragraph" w:customStyle="1" w:styleId="11">
    <w:name w:val="表格"/>
    <w:basedOn w:val="1"/>
    <w:next w:val="1"/>
    <w:qFormat/>
    <w:uiPriority w:val="0"/>
    <w:pPr>
      <w:adjustRightInd w:val="0"/>
      <w:snapToGrid w:val="0"/>
      <w:spacing w:beforeLines="10" w:afterLines="10" w:line="259" w:lineRule="auto"/>
      <w:jc w:val="center"/>
    </w:pPr>
    <w:rPr>
      <w:rFonts w:ascii="宋体"/>
      <w:kern w:val="0"/>
      <w:szCs w:val="20"/>
    </w:rPr>
  </w:style>
  <w:style w:type="character" w:customStyle="1" w:styleId="12">
    <w:name w:val="页眉 字符"/>
    <w:basedOn w:val="9"/>
    <w:link w:val="6"/>
    <w:qFormat/>
    <w:uiPriority w:val="0"/>
    <w:rPr>
      <w:kern w:val="2"/>
      <w:sz w:val="18"/>
      <w:szCs w:val="18"/>
    </w:rPr>
  </w:style>
  <w:style w:type="paragraph" w:customStyle="1" w:styleId="13">
    <w:name w:val="1正文"/>
    <w:basedOn w:val="1"/>
    <w:qFormat/>
    <w:uiPriority w:val="0"/>
    <w:pPr>
      <w:widowControl/>
      <w:adjustRightInd w:val="0"/>
      <w:snapToGrid w:val="0"/>
      <w:spacing w:line="360" w:lineRule="auto"/>
      <w:ind w:firstLine="200" w:firstLineChars="200"/>
    </w:pPr>
    <w:rPr>
      <w:color w:val="000000"/>
      <w:kern w:val="1"/>
      <w:sz w:val="24"/>
    </w:rPr>
  </w:style>
  <w:style w:type="paragraph" w:customStyle="1" w:styleId="14">
    <w:name w:val="表头"/>
    <w:basedOn w:val="1"/>
    <w:qFormat/>
    <w:uiPriority w:val="0"/>
    <w:pPr>
      <w:adjustRightInd w:val="0"/>
      <w:snapToGrid w:val="0"/>
      <w:spacing w:before="157" w:beforeLines="50" w:after="63" w:afterLines="20"/>
      <w:jc w:val="center"/>
    </w:pPr>
    <w:rPr>
      <w:b/>
      <w:color w:val="auto"/>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122</Words>
  <Characters>148</Characters>
  <Lines>1</Lines>
  <Paragraphs>1</Paragraphs>
  <TotalTime>38</TotalTime>
  <ScaleCrop>false</ScaleCrop>
  <LinksUpToDate>false</LinksUpToDate>
  <CharactersWithSpaces>178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2022-07-23T03:31:00Z</dcterms:created>
  <dc:creator>Administrator</dc:creator>
  <cp:lastModifiedBy>唯有你</cp:lastModifiedBy>
  <cp:lastPrinted>2023-07-20T01:21:00Z</cp:lastPrinted>
  <dcterms:modified xsi:type="dcterms:W3CDTF">2025-07-09T08:18:47Z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2617119B48E1458A8B1843D61BD99031_13</vt:lpwstr>
  </property>
  <property fmtid="{D5CDD505-2E9C-101B-9397-08002B2CF9AE}" pid="4" name="KSOTemplateDocerSaveRecord">
    <vt:lpwstr>eyJoZGlkIjoiM2M1MzQ5YjJjYTY4ZmZjN2I1YmFhNzM4MjFjYTdlY2IiLCJ1c2VySWQiOiI2MDEyMTE3NDEifQ==</vt:lpwstr>
  </property>
</Properties>
</file>