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B489E">
      <w:pPr>
        <w:rPr>
          <w:rFonts w:hint="default" w:ascii="Times New Roman" w:hAnsi="Times New Roman" w:eastAsia="宋体" w:cs="Times New Roman"/>
          <w:color w:val="auto"/>
          <w:sz w:val="36"/>
          <w:szCs w:val="36"/>
          <w:highlight w:val="none"/>
          <w:lang w:eastAsia="zh-CN"/>
        </w:rPr>
      </w:pPr>
    </w:p>
    <w:p w14:paraId="73262CB9">
      <w:pPr>
        <w:rPr>
          <w:rFonts w:hint="default" w:ascii="Times New Roman" w:hAnsi="Times New Roman" w:eastAsia="宋体" w:cs="Times New Roman"/>
          <w:color w:val="auto"/>
          <w:sz w:val="36"/>
          <w:szCs w:val="36"/>
          <w:highlight w:val="none"/>
        </w:rPr>
      </w:pPr>
    </w:p>
    <w:p w14:paraId="668DD8E7">
      <w:pPr>
        <w:rPr>
          <w:rFonts w:hint="default" w:ascii="Times New Roman" w:hAnsi="Times New Roman" w:eastAsia="宋体" w:cs="Times New Roman"/>
          <w:color w:val="auto"/>
          <w:sz w:val="36"/>
          <w:szCs w:val="36"/>
          <w:highlight w:val="none"/>
        </w:rPr>
      </w:pPr>
    </w:p>
    <w:p w14:paraId="3842E6E9">
      <w:pPr>
        <w:rPr>
          <w:rFonts w:hint="default" w:ascii="Times New Roman" w:hAnsi="Times New Roman" w:eastAsia="宋体" w:cs="Times New Roman"/>
          <w:color w:val="auto"/>
          <w:sz w:val="36"/>
          <w:szCs w:val="36"/>
          <w:highlight w:val="none"/>
        </w:rPr>
      </w:pPr>
    </w:p>
    <w:p w14:paraId="4E865028">
      <w:pPr>
        <w:rPr>
          <w:rFonts w:hint="default" w:ascii="Times New Roman" w:hAnsi="Times New Roman" w:eastAsia="宋体" w:cs="Times New Roman"/>
          <w:color w:val="auto"/>
          <w:sz w:val="36"/>
          <w:szCs w:val="36"/>
          <w:highlight w:val="none"/>
        </w:rPr>
      </w:pPr>
    </w:p>
    <w:p w14:paraId="46C4C441">
      <w:pPr>
        <w:adjustRightInd w:val="0"/>
        <w:snapToGrid w:val="0"/>
        <w:jc w:val="center"/>
        <w:outlineLvl w:val="0"/>
        <w:rPr>
          <w:rFonts w:hint="default" w:ascii="Times New Roman" w:hAnsi="Times New Roman" w:eastAsia="宋体" w:cs="Times New Roman"/>
          <w:bCs/>
          <w:color w:val="auto"/>
          <w:sz w:val="72"/>
          <w:szCs w:val="72"/>
          <w:highlight w:val="none"/>
        </w:rPr>
      </w:pPr>
      <w:r>
        <w:rPr>
          <w:rFonts w:hint="default" w:ascii="Times New Roman" w:hAnsi="Times New Roman" w:eastAsia="宋体" w:cs="Times New Roman"/>
          <w:bCs/>
          <w:color w:val="auto"/>
          <w:sz w:val="72"/>
          <w:szCs w:val="72"/>
          <w:highlight w:val="none"/>
        </w:rPr>
        <w:t>建设项目环境影响报告表</w:t>
      </w:r>
    </w:p>
    <w:p w14:paraId="10555908">
      <w:pPr>
        <w:adjustRightInd w:val="0"/>
        <w:snapToGrid w:val="0"/>
        <w:spacing w:before="192" w:beforeLines="80"/>
        <w:jc w:val="center"/>
        <w:rPr>
          <w:rFonts w:hint="default" w:ascii="Times New Roman" w:hAnsi="Times New Roman" w:eastAsia="宋体" w:cs="Times New Roman"/>
          <w:bCs/>
          <w:color w:val="auto"/>
          <w:sz w:val="48"/>
          <w:szCs w:val="48"/>
          <w:highlight w:val="none"/>
        </w:rPr>
      </w:pPr>
      <w:r>
        <w:rPr>
          <w:rFonts w:hint="default" w:ascii="Times New Roman" w:hAnsi="Times New Roman" w:eastAsia="宋体" w:cs="Times New Roman"/>
          <w:bCs/>
          <w:color w:val="auto"/>
          <w:sz w:val="48"/>
          <w:szCs w:val="48"/>
          <w:highlight w:val="none"/>
        </w:rPr>
        <w:t>（污染影响类）</w:t>
      </w:r>
    </w:p>
    <w:p w14:paraId="34EF601E">
      <w:pPr>
        <w:widowControl w:val="0"/>
        <w:spacing w:after="120"/>
        <w:ind w:left="480" w:leftChars="200" w:firstLine="480" w:firstLineChars="200"/>
        <w:jc w:val="both"/>
        <w:rPr>
          <w:rFonts w:hint="default" w:ascii="Times New Roman" w:hAnsi="Times New Roman" w:eastAsia="宋体" w:cs="Times New Roman"/>
          <w:color w:val="auto"/>
          <w:highlight w:val="none"/>
        </w:rPr>
      </w:pPr>
    </w:p>
    <w:p w14:paraId="7EA41A12">
      <w:pPr>
        <w:widowControl w:val="0"/>
        <w:spacing w:after="120"/>
        <w:ind w:left="480" w:leftChars="200" w:firstLine="480" w:firstLineChars="200"/>
        <w:jc w:val="both"/>
        <w:rPr>
          <w:rFonts w:hint="default" w:ascii="Times New Roman" w:hAnsi="Times New Roman" w:eastAsia="宋体" w:cs="Times New Roman"/>
          <w:color w:val="auto"/>
          <w:highlight w:val="none"/>
        </w:rPr>
      </w:pPr>
    </w:p>
    <w:p w14:paraId="7EF704E4">
      <w:pPr>
        <w:widowControl w:val="0"/>
        <w:spacing w:after="120"/>
        <w:ind w:left="480" w:leftChars="200" w:firstLine="480" w:firstLineChars="200"/>
        <w:jc w:val="both"/>
        <w:rPr>
          <w:rFonts w:hint="default" w:ascii="Times New Roman" w:hAnsi="Times New Roman" w:eastAsia="宋体" w:cs="Times New Roman"/>
          <w:color w:val="auto"/>
          <w:highlight w:val="none"/>
        </w:rPr>
      </w:pPr>
    </w:p>
    <w:p w14:paraId="1DA32C1E">
      <w:pPr>
        <w:widowControl w:val="0"/>
        <w:spacing w:after="120"/>
        <w:ind w:left="480" w:leftChars="200" w:firstLine="480" w:firstLineChars="200"/>
        <w:jc w:val="both"/>
        <w:rPr>
          <w:rFonts w:hint="default" w:ascii="Times New Roman" w:hAnsi="Times New Roman" w:eastAsia="宋体" w:cs="Times New Roman"/>
          <w:color w:val="auto"/>
          <w:highlight w:val="none"/>
        </w:rPr>
      </w:pPr>
    </w:p>
    <w:p w14:paraId="2D733D05">
      <w:pPr>
        <w:widowControl w:val="0"/>
        <w:spacing w:after="120"/>
        <w:ind w:left="480" w:leftChars="200" w:firstLine="480" w:firstLineChars="200"/>
        <w:jc w:val="both"/>
        <w:rPr>
          <w:rFonts w:hint="default" w:ascii="Times New Roman" w:hAnsi="Times New Roman" w:eastAsia="宋体" w:cs="Times New Roman"/>
          <w:color w:val="auto"/>
          <w:highlight w:val="none"/>
        </w:rPr>
      </w:pPr>
    </w:p>
    <w:p w14:paraId="592AB5F6">
      <w:pPr>
        <w:widowControl w:val="0"/>
        <w:spacing w:after="120"/>
        <w:ind w:left="480" w:leftChars="200" w:firstLine="420" w:firstLineChars="200"/>
        <w:jc w:val="both"/>
        <w:rPr>
          <w:rFonts w:hint="default" w:ascii="Times New Roman" w:hAnsi="Times New Roman" w:eastAsia="宋体" w:cs="Times New Roman"/>
          <w:color w:val="auto"/>
          <w:kern w:val="2"/>
          <w:sz w:val="21"/>
          <w:szCs w:val="24"/>
          <w:highlight w:val="none"/>
          <w:lang w:val="en-US" w:eastAsia="zh-CN" w:bidi="ar-SA"/>
        </w:rPr>
      </w:pPr>
    </w:p>
    <w:p w14:paraId="7005746B">
      <w:pPr>
        <w:widowControl w:val="0"/>
        <w:spacing w:after="120"/>
        <w:ind w:left="480" w:leftChars="200" w:firstLine="420" w:firstLineChars="200"/>
        <w:jc w:val="both"/>
        <w:rPr>
          <w:rFonts w:hint="default" w:ascii="Times New Roman" w:hAnsi="Times New Roman" w:eastAsia="宋体" w:cs="Times New Roman"/>
          <w:color w:val="auto"/>
          <w:kern w:val="2"/>
          <w:sz w:val="21"/>
          <w:szCs w:val="24"/>
          <w:highlight w:val="none"/>
          <w:lang w:val="en-US" w:eastAsia="zh-CN" w:bidi="ar-SA"/>
        </w:rPr>
      </w:pPr>
    </w:p>
    <w:p w14:paraId="7D36CCD0">
      <w:pPr>
        <w:widowControl w:val="0"/>
        <w:spacing w:after="120"/>
        <w:ind w:left="480" w:leftChars="200" w:firstLine="420" w:firstLineChars="200"/>
        <w:jc w:val="both"/>
        <w:rPr>
          <w:rFonts w:hint="default" w:ascii="Times New Roman" w:hAnsi="Times New Roman" w:eastAsia="宋体" w:cs="Times New Roman"/>
          <w:color w:val="auto"/>
          <w:kern w:val="2"/>
          <w:sz w:val="21"/>
          <w:szCs w:val="24"/>
          <w:highlight w:val="none"/>
          <w:lang w:val="en-US" w:eastAsia="zh-CN" w:bidi="ar-SA"/>
        </w:rPr>
      </w:pPr>
    </w:p>
    <w:p w14:paraId="1C6AFAC7">
      <w:pPr>
        <w:widowControl w:val="0"/>
        <w:spacing w:after="120"/>
        <w:ind w:left="480" w:leftChars="200" w:firstLine="420" w:firstLineChars="200"/>
        <w:jc w:val="both"/>
        <w:rPr>
          <w:rFonts w:hint="default" w:ascii="Times New Roman" w:hAnsi="Times New Roman" w:eastAsia="宋体" w:cs="Times New Roman"/>
          <w:color w:val="auto"/>
          <w:kern w:val="2"/>
          <w:sz w:val="21"/>
          <w:szCs w:val="24"/>
          <w:highlight w:val="none"/>
          <w:lang w:val="en-US" w:eastAsia="zh-CN" w:bidi="ar-SA"/>
        </w:rPr>
      </w:pPr>
    </w:p>
    <w:p w14:paraId="6BDD4C5E">
      <w:pPr>
        <w:widowControl w:val="0"/>
        <w:spacing w:after="120"/>
        <w:ind w:left="480" w:leftChars="200" w:firstLine="420" w:firstLineChars="200"/>
        <w:jc w:val="both"/>
        <w:rPr>
          <w:rFonts w:hint="default" w:ascii="Times New Roman" w:hAnsi="Times New Roman" w:eastAsia="宋体" w:cs="Times New Roman"/>
          <w:color w:val="auto"/>
          <w:kern w:val="2"/>
          <w:sz w:val="21"/>
          <w:szCs w:val="24"/>
          <w:highlight w:val="none"/>
          <w:lang w:val="en-US" w:eastAsia="zh-CN" w:bidi="ar-SA"/>
        </w:rPr>
      </w:pPr>
    </w:p>
    <w:p w14:paraId="497B078A">
      <w:pPr>
        <w:widowControl w:val="0"/>
        <w:spacing w:after="120"/>
        <w:ind w:left="480" w:leftChars="200" w:firstLine="420" w:firstLineChars="200"/>
        <w:jc w:val="both"/>
        <w:rPr>
          <w:rFonts w:hint="default" w:ascii="Times New Roman" w:hAnsi="Times New Roman" w:eastAsia="宋体" w:cs="Times New Roman"/>
          <w:color w:val="auto"/>
          <w:kern w:val="2"/>
          <w:sz w:val="21"/>
          <w:szCs w:val="24"/>
          <w:highlight w:val="none"/>
          <w:lang w:val="en-US" w:eastAsia="zh-CN" w:bidi="ar-SA"/>
        </w:rPr>
      </w:pPr>
    </w:p>
    <w:p w14:paraId="559373D5">
      <w:pPr>
        <w:widowControl w:val="0"/>
        <w:spacing w:after="120"/>
        <w:ind w:left="480" w:leftChars="200" w:firstLine="420" w:firstLineChars="200"/>
        <w:jc w:val="both"/>
        <w:rPr>
          <w:rFonts w:hint="default" w:ascii="Times New Roman" w:hAnsi="Times New Roman" w:eastAsia="宋体" w:cs="Times New Roman"/>
          <w:color w:val="auto"/>
          <w:kern w:val="2"/>
          <w:sz w:val="21"/>
          <w:szCs w:val="24"/>
          <w:highlight w:val="none"/>
          <w:lang w:val="en-US" w:eastAsia="zh-CN" w:bidi="ar-SA"/>
        </w:rPr>
      </w:pPr>
    </w:p>
    <w:p w14:paraId="215F680C">
      <w:pPr>
        <w:widowControl w:val="0"/>
        <w:spacing w:after="120"/>
        <w:ind w:left="480" w:leftChars="200" w:firstLine="420" w:firstLineChars="200"/>
        <w:jc w:val="both"/>
        <w:rPr>
          <w:rFonts w:hint="default" w:ascii="Times New Roman" w:hAnsi="Times New Roman" w:eastAsia="宋体" w:cs="Times New Roman"/>
          <w:color w:val="auto"/>
          <w:kern w:val="2"/>
          <w:sz w:val="21"/>
          <w:szCs w:val="24"/>
          <w:highlight w:val="none"/>
          <w:lang w:val="en-US" w:eastAsia="zh-CN" w:bidi="ar-SA"/>
        </w:rPr>
      </w:pPr>
    </w:p>
    <w:p w14:paraId="18F049A1">
      <w:pPr>
        <w:widowControl w:val="0"/>
        <w:spacing w:after="120"/>
        <w:ind w:left="480" w:leftChars="200" w:firstLine="420" w:firstLineChars="200"/>
        <w:jc w:val="both"/>
        <w:rPr>
          <w:rFonts w:hint="default" w:ascii="Times New Roman" w:hAnsi="Times New Roman" w:eastAsia="宋体" w:cs="Times New Roman"/>
          <w:color w:val="auto"/>
          <w:kern w:val="2"/>
          <w:sz w:val="21"/>
          <w:szCs w:val="24"/>
          <w:highlight w:val="none"/>
          <w:lang w:val="en-US" w:eastAsia="zh-CN" w:bidi="ar-SA"/>
        </w:rPr>
      </w:pPr>
    </w:p>
    <w:p w14:paraId="4076B999">
      <w:pPr>
        <w:widowControl w:val="0"/>
        <w:spacing w:after="120"/>
        <w:ind w:left="480" w:leftChars="200" w:firstLine="420" w:firstLineChars="200"/>
        <w:jc w:val="both"/>
        <w:rPr>
          <w:rFonts w:hint="default" w:ascii="Times New Roman" w:hAnsi="Times New Roman" w:eastAsia="宋体" w:cs="Times New Roman"/>
          <w:color w:val="auto"/>
          <w:kern w:val="2"/>
          <w:sz w:val="21"/>
          <w:szCs w:val="24"/>
          <w:highlight w:val="none"/>
          <w:lang w:val="en-US" w:eastAsia="zh-CN" w:bidi="ar-SA"/>
        </w:rPr>
      </w:pPr>
    </w:p>
    <w:p w14:paraId="5A1B18C5">
      <w:pPr>
        <w:rPr>
          <w:rFonts w:hint="default" w:ascii="Times New Roman" w:hAnsi="Times New Roman" w:eastAsia="宋体" w:cs="Times New Roman"/>
          <w:color w:val="auto"/>
          <w:highlight w:val="none"/>
        </w:rPr>
      </w:pPr>
    </w:p>
    <w:p w14:paraId="64076870">
      <w:pPr>
        <w:adjustRightInd w:val="0"/>
        <w:snapToGrid w:val="0"/>
        <w:spacing w:line="480" w:lineRule="auto"/>
        <w:ind w:left="1890" w:leftChars="153" w:right="386" w:rightChars="161" w:hanging="1523" w:hangingChars="474"/>
        <w:rPr>
          <w:rFonts w:hint="default" w:ascii="Times New Roman" w:hAnsi="Times New Roman" w:eastAsia="宋体" w:cs="Times New Roman"/>
          <w:b/>
          <w:bCs/>
          <w:iCs/>
          <w:color w:val="auto"/>
          <w:sz w:val="32"/>
          <w:szCs w:val="32"/>
          <w:highlight w:val="none"/>
          <w:u w:val="single"/>
          <w:lang w:val="en-US"/>
        </w:rPr>
      </w:pPr>
      <w:r>
        <w:rPr>
          <w:rFonts w:hint="default" w:ascii="Times New Roman" w:hAnsi="Times New Roman" w:eastAsia="宋体" w:cs="Times New Roman"/>
          <w:b/>
          <w:bCs/>
          <w:color w:val="auto"/>
          <w:sz w:val="32"/>
          <w:szCs w:val="32"/>
          <w:highlight w:val="none"/>
        </w:rPr>
        <w:t>项目名称：</w:t>
      </w:r>
      <w:r>
        <w:rPr>
          <w:rFonts w:hint="default" w:ascii="Times New Roman" w:hAnsi="Times New Roman" w:eastAsia="宋体" w:cs="Times New Roman"/>
          <w:b/>
          <w:bCs/>
          <w:color w:val="auto"/>
          <w:sz w:val="32"/>
          <w:szCs w:val="32"/>
          <w:highlight w:val="none"/>
          <w:u w:val="single"/>
          <w:lang w:eastAsia="zh-CN"/>
        </w:rPr>
        <w:t>杭锦旗污水厂更新改造建设项目</w:t>
      </w:r>
      <w:r>
        <w:rPr>
          <w:rFonts w:hint="default" w:ascii="Times New Roman" w:hAnsi="Times New Roman" w:eastAsia="宋体" w:cs="Times New Roman"/>
          <w:b/>
          <w:bCs/>
          <w:color w:val="auto"/>
          <w:sz w:val="32"/>
          <w:szCs w:val="32"/>
          <w:highlight w:val="none"/>
          <w:u w:val="single"/>
          <w:lang w:val="en-US" w:eastAsia="zh-CN"/>
        </w:rPr>
        <w:t xml:space="preserve">           </w:t>
      </w:r>
    </w:p>
    <w:p w14:paraId="2A46A3DA">
      <w:pPr>
        <w:adjustRightInd w:val="0"/>
        <w:snapToGrid w:val="0"/>
        <w:spacing w:line="480" w:lineRule="auto"/>
        <w:ind w:firstLine="321" w:firstLineChars="100"/>
        <w:rPr>
          <w:rFonts w:hint="default" w:ascii="Times New Roman" w:hAnsi="Times New Roman" w:eastAsia="宋体" w:cs="Times New Roman"/>
          <w:b/>
          <w:bCs/>
          <w:iCs/>
          <w:color w:val="auto"/>
          <w:sz w:val="32"/>
          <w:szCs w:val="32"/>
          <w:highlight w:val="none"/>
          <w:u w:val="single"/>
          <w:lang w:val="en-US" w:eastAsia="zh-CN"/>
        </w:rPr>
      </w:pPr>
      <w:r>
        <w:rPr>
          <w:rFonts w:hint="default" w:ascii="Times New Roman" w:hAnsi="Times New Roman" w:eastAsia="宋体" w:cs="Times New Roman"/>
          <w:b/>
          <w:bCs/>
          <w:color w:val="auto"/>
          <w:sz w:val="32"/>
          <w:szCs w:val="32"/>
          <w:highlight w:val="none"/>
        </w:rPr>
        <w:t>建设单位：</w:t>
      </w:r>
      <w:r>
        <w:rPr>
          <w:rFonts w:hint="default" w:ascii="Times New Roman" w:hAnsi="Times New Roman" w:eastAsia="宋体" w:cs="Times New Roman"/>
          <w:b/>
          <w:bCs/>
          <w:color w:val="auto"/>
          <w:sz w:val="32"/>
          <w:szCs w:val="32"/>
          <w:highlight w:val="none"/>
          <w:u w:val="single"/>
          <w:lang w:eastAsia="zh-CN"/>
        </w:rPr>
        <w:t>杭锦旗城市公用事业服务中心</w:t>
      </w:r>
      <w:r>
        <w:rPr>
          <w:rFonts w:hint="default" w:ascii="Times New Roman" w:hAnsi="Times New Roman" w:eastAsia="宋体" w:cs="Times New Roman"/>
          <w:b/>
          <w:bCs/>
          <w:color w:val="auto"/>
          <w:sz w:val="32"/>
          <w:szCs w:val="32"/>
          <w:highlight w:val="none"/>
          <w:u w:val="single"/>
        </w:rPr>
        <w:t xml:space="preserve">（盖章）  </w:t>
      </w:r>
      <w:r>
        <w:rPr>
          <w:rFonts w:hint="default" w:ascii="Times New Roman" w:hAnsi="Times New Roman" w:eastAsia="宋体" w:cs="Times New Roman"/>
          <w:b/>
          <w:bCs/>
          <w:color w:val="auto"/>
          <w:sz w:val="32"/>
          <w:szCs w:val="32"/>
          <w:highlight w:val="none"/>
          <w:u w:val="single"/>
          <w:lang w:val="en-US" w:eastAsia="zh-CN"/>
        </w:rPr>
        <w:t xml:space="preserve">   </w:t>
      </w:r>
    </w:p>
    <w:p w14:paraId="78434D55">
      <w:pPr>
        <w:adjustRightInd w:val="0"/>
        <w:snapToGrid w:val="0"/>
        <w:spacing w:line="480" w:lineRule="auto"/>
        <w:ind w:firstLine="321" w:firstLineChars="100"/>
        <w:rPr>
          <w:rFonts w:hint="default" w:ascii="Times New Roman" w:hAnsi="Times New Roman" w:eastAsia="宋体" w:cs="Times New Roman"/>
          <w:b/>
          <w:bCs/>
          <w:color w:val="auto"/>
          <w:sz w:val="32"/>
          <w:szCs w:val="32"/>
          <w:highlight w:val="none"/>
          <w:u w:val="single"/>
        </w:rPr>
      </w:pPr>
      <w:r>
        <w:rPr>
          <w:rFonts w:hint="default" w:ascii="Times New Roman" w:hAnsi="Times New Roman" w:eastAsia="宋体" w:cs="Times New Roman"/>
          <w:b/>
          <w:bCs/>
          <w:color w:val="auto"/>
          <w:sz w:val="32"/>
          <w:szCs w:val="32"/>
          <w:highlight w:val="none"/>
        </w:rPr>
        <w:t xml:space="preserve">编制日期： </w:t>
      </w:r>
      <w:r>
        <w:rPr>
          <w:rFonts w:hint="default" w:ascii="Times New Roman" w:hAnsi="Times New Roman" w:eastAsia="宋体" w:cs="Times New Roman"/>
          <w:b/>
          <w:bCs/>
          <w:color w:val="auto"/>
          <w:sz w:val="32"/>
          <w:szCs w:val="32"/>
          <w:highlight w:val="none"/>
          <w:u w:val="single"/>
        </w:rPr>
        <w:t>202</w:t>
      </w:r>
      <w:r>
        <w:rPr>
          <w:rFonts w:hint="default" w:ascii="Times New Roman" w:hAnsi="Times New Roman" w:eastAsia="宋体" w:cs="Times New Roman"/>
          <w:b/>
          <w:bCs/>
          <w:color w:val="auto"/>
          <w:sz w:val="32"/>
          <w:szCs w:val="32"/>
          <w:highlight w:val="none"/>
          <w:u w:val="single"/>
          <w:lang w:val="en-US" w:eastAsia="zh-CN"/>
        </w:rPr>
        <w:t>5</w:t>
      </w:r>
      <w:r>
        <w:rPr>
          <w:rFonts w:hint="default" w:ascii="Times New Roman" w:hAnsi="Times New Roman" w:eastAsia="宋体" w:cs="Times New Roman"/>
          <w:b/>
          <w:bCs/>
          <w:color w:val="auto"/>
          <w:sz w:val="32"/>
          <w:szCs w:val="32"/>
          <w:highlight w:val="none"/>
          <w:u w:val="single"/>
        </w:rPr>
        <w:t>年</w:t>
      </w:r>
      <w:r>
        <w:rPr>
          <w:rFonts w:hint="eastAsia" w:cs="Times New Roman"/>
          <w:b/>
          <w:bCs/>
          <w:color w:val="auto"/>
          <w:sz w:val="32"/>
          <w:szCs w:val="32"/>
          <w:highlight w:val="none"/>
          <w:u w:val="single"/>
          <w:lang w:val="en-US" w:eastAsia="zh-CN"/>
        </w:rPr>
        <w:t>9</w:t>
      </w:r>
      <w:r>
        <w:rPr>
          <w:rFonts w:hint="default" w:ascii="Times New Roman" w:hAnsi="Times New Roman" w:eastAsia="宋体" w:cs="Times New Roman"/>
          <w:b/>
          <w:bCs/>
          <w:color w:val="auto"/>
          <w:sz w:val="32"/>
          <w:szCs w:val="32"/>
          <w:highlight w:val="none"/>
          <w:u w:val="single"/>
        </w:rPr>
        <w:t>月</w:t>
      </w:r>
      <w:bookmarkStart w:id="0" w:name="_Hlk57884087"/>
      <w:r>
        <w:rPr>
          <w:rFonts w:hint="default" w:ascii="Times New Roman" w:hAnsi="Times New Roman" w:eastAsia="宋体" w:cs="Times New Roman"/>
          <w:b/>
          <w:bCs/>
          <w:color w:val="auto"/>
          <w:sz w:val="32"/>
          <w:szCs w:val="32"/>
          <w:highlight w:val="none"/>
          <w:u w:val="single"/>
        </w:rPr>
        <w:t xml:space="preserve">               </w:t>
      </w:r>
    </w:p>
    <w:bookmarkEnd w:id="0"/>
    <w:p w14:paraId="3120A8C2">
      <w:pPr>
        <w:adjustRightInd w:val="0"/>
        <w:snapToGrid w:val="0"/>
        <w:spacing w:line="288" w:lineRule="auto"/>
        <w:jc w:val="center"/>
        <w:rPr>
          <w:rFonts w:hint="default" w:ascii="Times New Roman" w:hAnsi="Times New Roman" w:eastAsia="宋体" w:cs="Times New Roman"/>
          <w:b/>
          <w:bCs/>
          <w:color w:val="auto"/>
          <w:sz w:val="36"/>
          <w:szCs w:val="36"/>
          <w:highlight w:val="none"/>
        </w:rPr>
      </w:pPr>
    </w:p>
    <w:p w14:paraId="3ADB8C30">
      <w:pPr>
        <w:adjustRightInd w:val="0"/>
        <w:snapToGrid w:val="0"/>
        <w:spacing w:line="288" w:lineRule="auto"/>
        <w:jc w:val="center"/>
        <w:rPr>
          <w:rFonts w:hint="default" w:ascii="Times New Roman" w:hAnsi="Times New Roman" w:eastAsia="宋体" w:cs="Times New Roman"/>
          <w:b/>
          <w:bCs/>
          <w:color w:val="auto"/>
          <w:sz w:val="36"/>
          <w:szCs w:val="36"/>
          <w:highlight w:val="none"/>
        </w:rPr>
      </w:pPr>
      <w:r>
        <w:rPr>
          <w:rFonts w:hint="default" w:ascii="Times New Roman" w:hAnsi="Times New Roman" w:eastAsia="宋体" w:cs="Times New Roman"/>
          <w:b/>
          <w:bCs/>
          <w:color w:val="auto"/>
          <w:sz w:val="36"/>
          <w:szCs w:val="36"/>
          <w:highlight w:val="none"/>
        </w:rPr>
        <w:t>中华人民共和国生态环境部制</w:t>
      </w:r>
    </w:p>
    <w:p w14:paraId="254F351F">
      <w:pPr>
        <w:rPr>
          <w:rFonts w:hint="default" w:ascii="Times New Roman" w:hAnsi="Times New Roman" w:eastAsia="宋体" w:cs="Times New Roman"/>
          <w:b/>
          <w:bCs/>
          <w:color w:val="auto"/>
          <w:sz w:val="36"/>
          <w:szCs w:val="36"/>
          <w:highlight w:val="none"/>
        </w:rPr>
      </w:pPr>
      <w:r>
        <w:rPr>
          <w:rFonts w:hint="default" w:ascii="Times New Roman" w:hAnsi="Times New Roman" w:eastAsia="宋体" w:cs="Times New Roman"/>
          <w:b/>
          <w:bCs/>
          <w:color w:val="auto"/>
          <w:sz w:val="36"/>
          <w:szCs w:val="36"/>
          <w:highlight w:val="none"/>
        </w:rPr>
        <w:br w:type="page"/>
      </w:r>
    </w:p>
    <w:p w14:paraId="00FAE3BF">
      <w:pPr>
        <w:rPr>
          <w:rFonts w:hint="eastAsia" w:ascii="Times New Roman" w:hAnsi="Times New Roman" w:eastAsia="宋体" w:cs="Times New Roman"/>
          <w:b/>
          <w:bCs/>
          <w:snapToGrid w:val="0"/>
          <w:color w:val="auto"/>
          <w:sz w:val="30"/>
          <w:szCs w:val="30"/>
          <w:highlight w:val="none"/>
          <w:lang w:eastAsia="zh-CN"/>
        </w:rPr>
        <w:sectPr>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34A05F3F">
      <w:pPr>
        <w:pStyle w:val="8"/>
        <w:jc w:val="center"/>
        <w:outlineLvl w:val="0"/>
        <w:rPr>
          <w:rFonts w:hint="default" w:ascii="Times New Roman" w:hAnsi="Times New Roman" w:eastAsia="宋体" w:cs="Times New Roman"/>
          <w:b/>
          <w:bCs/>
          <w:snapToGrid w:val="0"/>
          <w:color w:val="auto"/>
          <w:sz w:val="30"/>
          <w:szCs w:val="30"/>
          <w:highlight w:val="none"/>
        </w:rPr>
      </w:pPr>
      <w:r>
        <w:rPr>
          <w:rFonts w:hint="default" w:ascii="Times New Roman" w:hAnsi="Times New Roman" w:eastAsia="宋体" w:cs="Times New Roman"/>
          <w:b/>
          <w:bCs/>
          <w:snapToGrid w:val="0"/>
          <w:color w:val="auto"/>
          <w:sz w:val="30"/>
          <w:szCs w:val="30"/>
          <w:highlight w:val="none"/>
        </w:rPr>
        <w:t>一、建设项目基本情况</w:t>
      </w:r>
    </w:p>
    <w:tbl>
      <w:tblPr>
        <w:tblStyle w:val="10"/>
        <w:tblW w:w="882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80"/>
        <w:gridCol w:w="1946"/>
        <w:gridCol w:w="2141"/>
        <w:gridCol w:w="3054"/>
      </w:tblGrid>
      <w:tr w14:paraId="733F3D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80" w:type="dxa"/>
            <w:tcMar>
              <w:top w:w="16" w:type="dxa"/>
              <w:left w:w="16" w:type="dxa"/>
              <w:right w:w="16" w:type="dxa"/>
            </w:tcMar>
            <w:vAlign w:val="center"/>
          </w:tcPr>
          <w:p w14:paraId="0772C75C">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建设项目名称</w:t>
            </w:r>
          </w:p>
        </w:tc>
        <w:tc>
          <w:tcPr>
            <w:tcW w:w="7141" w:type="dxa"/>
            <w:gridSpan w:val="3"/>
            <w:vAlign w:val="center"/>
          </w:tcPr>
          <w:p w14:paraId="5956D53C">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eastAsia="zh-CN"/>
              </w:rPr>
              <w:t>杭锦旗污水厂更新改造建设项目</w:t>
            </w:r>
          </w:p>
        </w:tc>
      </w:tr>
      <w:tr w14:paraId="1633AB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80" w:type="dxa"/>
            <w:tcMar>
              <w:top w:w="16" w:type="dxa"/>
              <w:left w:w="16" w:type="dxa"/>
              <w:right w:w="16" w:type="dxa"/>
            </w:tcMar>
            <w:vAlign w:val="center"/>
          </w:tcPr>
          <w:p w14:paraId="5C1BEEFF">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项目代码</w:t>
            </w:r>
          </w:p>
        </w:tc>
        <w:tc>
          <w:tcPr>
            <w:tcW w:w="7141" w:type="dxa"/>
            <w:gridSpan w:val="3"/>
            <w:vAlign w:val="center"/>
          </w:tcPr>
          <w:p w14:paraId="36AC9743">
            <w:pPr>
              <w:adjustRightInd w:val="0"/>
              <w:snapToGrid w:val="0"/>
              <w:jc w:val="center"/>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val="en-US" w:eastAsia="zh-CN"/>
              </w:rPr>
              <w:t>2502-150625-04-01-487619</w:t>
            </w:r>
          </w:p>
        </w:tc>
      </w:tr>
      <w:tr w14:paraId="77796C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80" w:type="dxa"/>
            <w:tcMar>
              <w:top w:w="16" w:type="dxa"/>
              <w:left w:w="16" w:type="dxa"/>
              <w:right w:w="16" w:type="dxa"/>
            </w:tcMar>
            <w:vAlign w:val="center"/>
          </w:tcPr>
          <w:p w14:paraId="5734DC2C">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建设单位联系人</w:t>
            </w:r>
          </w:p>
        </w:tc>
        <w:tc>
          <w:tcPr>
            <w:tcW w:w="1946" w:type="dxa"/>
            <w:vAlign w:val="center"/>
          </w:tcPr>
          <w:p w14:paraId="21EF5968">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冯志座</w:t>
            </w:r>
          </w:p>
        </w:tc>
        <w:tc>
          <w:tcPr>
            <w:tcW w:w="2141" w:type="dxa"/>
            <w:vAlign w:val="center"/>
          </w:tcPr>
          <w:p w14:paraId="7645A0F4">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b/>
                <w:bCs/>
                <w:color w:val="auto"/>
                <w:sz w:val="24"/>
                <w:highlight w:val="none"/>
              </w:rPr>
              <w:t>联系方式</w:t>
            </w:r>
          </w:p>
        </w:tc>
        <w:tc>
          <w:tcPr>
            <w:tcW w:w="3054" w:type="dxa"/>
            <w:vAlign w:val="center"/>
          </w:tcPr>
          <w:p w14:paraId="683C96FE">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13214773547</w:t>
            </w:r>
          </w:p>
        </w:tc>
      </w:tr>
      <w:tr w14:paraId="03E3B8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80" w:type="dxa"/>
            <w:tcMar>
              <w:top w:w="16" w:type="dxa"/>
              <w:left w:w="16" w:type="dxa"/>
              <w:right w:w="16" w:type="dxa"/>
            </w:tcMar>
            <w:vAlign w:val="center"/>
          </w:tcPr>
          <w:p w14:paraId="0853E9EF">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建设地点</w:t>
            </w:r>
          </w:p>
        </w:tc>
        <w:tc>
          <w:tcPr>
            <w:tcW w:w="7141" w:type="dxa"/>
            <w:gridSpan w:val="3"/>
            <w:vAlign w:val="center"/>
          </w:tcPr>
          <w:p w14:paraId="16422DCC">
            <w:pPr>
              <w:adjustRightInd w:val="0"/>
              <w:snapToGrid w:val="0"/>
              <w:jc w:val="center"/>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鄂尔多斯市</w:t>
            </w:r>
            <w:r>
              <w:rPr>
                <w:rFonts w:hint="default" w:ascii="Times New Roman" w:hAnsi="Times New Roman" w:eastAsia="宋体" w:cs="Times New Roman"/>
                <w:color w:val="auto"/>
                <w:sz w:val="24"/>
                <w:highlight w:val="none"/>
                <w:lang w:eastAsia="zh-CN"/>
              </w:rPr>
              <w:t>杭锦旗锡尼镇污水处理厂厂区内</w:t>
            </w:r>
          </w:p>
        </w:tc>
      </w:tr>
      <w:tr w14:paraId="00C87B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80" w:type="dxa"/>
            <w:tcMar>
              <w:top w:w="16" w:type="dxa"/>
              <w:left w:w="16" w:type="dxa"/>
              <w:right w:w="16" w:type="dxa"/>
            </w:tcMar>
            <w:vAlign w:val="center"/>
          </w:tcPr>
          <w:p w14:paraId="5238A4C5">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地理坐标</w:t>
            </w:r>
          </w:p>
        </w:tc>
        <w:tc>
          <w:tcPr>
            <w:tcW w:w="7141" w:type="dxa"/>
            <w:gridSpan w:val="3"/>
            <w:vAlign w:val="center"/>
          </w:tcPr>
          <w:p w14:paraId="6215FE45">
            <w:pPr>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E</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u w:val="single"/>
              </w:rPr>
              <w:t>108</w:t>
            </w:r>
            <w:r>
              <w:rPr>
                <w:rFonts w:hint="default" w:ascii="Times New Roman" w:hAnsi="Times New Roman" w:eastAsia="宋体" w:cs="Times New Roman"/>
                <w:color w:val="auto"/>
                <w:sz w:val="24"/>
                <w:highlight w:val="none"/>
              </w:rPr>
              <w:t>度</w:t>
            </w:r>
            <w:r>
              <w:rPr>
                <w:rFonts w:hint="default" w:ascii="Times New Roman" w:hAnsi="Times New Roman" w:eastAsia="宋体" w:cs="Times New Roman"/>
                <w:color w:val="auto"/>
                <w:sz w:val="24"/>
                <w:highlight w:val="none"/>
                <w:u w:val="single"/>
                <w:lang w:val="en-US" w:eastAsia="zh-CN"/>
              </w:rPr>
              <w:t>43</w:t>
            </w:r>
            <w:r>
              <w:rPr>
                <w:rFonts w:hint="default" w:ascii="Times New Roman" w:hAnsi="Times New Roman" w:eastAsia="宋体" w:cs="Times New Roman"/>
                <w:color w:val="auto"/>
                <w:sz w:val="24"/>
                <w:highlight w:val="none"/>
              </w:rPr>
              <w:t>分</w:t>
            </w:r>
            <w:r>
              <w:rPr>
                <w:rFonts w:hint="default" w:ascii="Times New Roman" w:hAnsi="Times New Roman" w:eastAsia="宋体" w:cs="Times New Roman"/>
                <w:color w:val="auto"/>
                <w:sz w:val="24"/>
                <w:highlight w:val="none"/>
                <w:u w:val="single"/>
                <w:lang w:val="en-US" w:eastAsia="zh-CN"/>
              </w:rPr>
              <w:t>26.627</w:t>
            </w:r>
            <w:r>
              <w:rPr>
                <w:rFonts w:hint="default" w:ascii="Times New Roman" w:hAnsi="Times New Roman" w:eastAsia="宋体" w:cs="Times New Roman"/>
                <w:color w:val="auto"/>
                <w:sz w:val="24"/>
                <w:highlight w:val="none"/>
              </w:rPr>
              <w:t>秒，N</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u w:val="single"/>
              </w:rPr>
              <w:t>39</w:t>
            </w:r>
            <w:r>
              <w:rPr>
                <w:rFonts w:hint="default" w:ascii="Times New Roman" w:hAnsi="Times New Roman" w:eastAsia="宋体" w:cs="Times New Roman"/>
                <w:color w:val="auto"/>
                <w:sz w:val="24"/>
                <w:highlight w:val="none"/>
              </w:rPr>
              <w:t>度</w:t>
            </w:r>
            <w:r>
              <w:rPr>
                <w:rFonts w:hint="default" w:ascii="Times New Roman" w:hAnsi="Times New Roman" w:eastAsia="宋体" w:cs="Times New Roman"/>
                <w:color w:val="auto"/>
                <w:sz w:val="24"/>
                <w:highlight w:val="none"/>
                <w:u w:val="single"/>
              </w:rPr>
              <w:t>5</w:t>
            </w:r>
            <w:r>
              <w:rPr>
                <w:rFonts w:hint="default" w:ascii="Times New Roman" w:hAnsi="Times New Roman" w:eastAsia="宋体" w:cs="Times New Roman"/>
                <w:color w:val="auto"/>
                <w:sz w:val="24"/>
                <w:highlight w:val="none"/>
                <w:u w:val="single"/>
                <w:lang w:val="en-US" w:eastAsia="zh-CN"/>
              </w:rPr>
              <w:t>1</w:t>
            </w:r>
            <w:r>
              <w:rPr>
                <w:rFonts w:hint="default" w:ascii="Times New Roman" w:hAnsi="Times New Roman" w:eastAsia="宋体" w:cs="Times New Roman"/>
                <w:color w:val="auto"/>
                <w:sz w:val="24"/>
                <w:highlight w:val="none"/>
              </w:rPr>
              <w:t>分</w:t>
            </w:r>
            <w:r>
              <w:rPr>
                <w:rFonts w:hint="default" w:ascii="Times New Roman" w:hAnsi="Times New Roman" w:eastAsia="宋体" w:cs="Times New Roman"/>
                <w:color w:val="auto"/>
                <w:sz w:val="24"/>
                <w:highlight w:val="none"/>
                <w:u w:val="single"/>
                <w:lang w:val="en-US" w:eastAsia="zh-CN"/>
              </w:rPr>
              <w:t>27.394</w:t>
            </w:r>
            <w:r>
              <w:rPr>
                <w:rFonts w:hint="default" w:ascii="Times New Roman" w:hAnsi="Times New Roman" w:eastAsia="宋体" w:cs="Times New Roman"/>
                <w:color w:val="auto"/>
                <w:sz w:val="24"/>
                <w:highlight w:val="none"/>
              </w:rPr>
              <w:t>秒</w:t>
            </w:r>
          </w:p>
        </w:tc>
      </w:tr>
      <w:tr w14:paraId="5EC9BC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680" w:type="dxa"/>
            <w:tcMar>
              <w:top w:w="16" w:type="dxa"/>
              <w:left w:w="16" w:type="dxa"/>
              <w:right w:w="16" w:type="dxa"/>
            </w:tcMar>
            <w:vAlign w:val="center"/>
          </w:tcPr>
          <w:p w14:paraId="263E6BAE">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国民经济</w:t>
            </w:r>
          </w:p>
          <w:p w14:paraId="43B5AA09">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行业类别</w:t>
            </w:r>
          </w:p>
        </w:tc>
        <w:tc>
          <w:tcPr>
            <w:tcW w:w="1946" w:type="dxa"/>
            <w:vAlign w:val="center"/>
          </w:tcPr>
          <w:p w14:paraId="2B48E69D">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D4620污水处理及其再生利用</w:t>
            </w:r>
          </w:p>
        </w:tc>
        <w:tc>
          <w:tcPr>
            <w:tcW w:w="2141" w:type="dxa"/>
            <w:vAlign w:val="center"/>
          </w:tcPr>
          <w:p w14:paraId="26C3CDD5">
            <w:pPr>
              <w:adjustRightInd w:val="0"/>
              <w:snapToGrid w:val="0"/>
              <w:jc w:val="center"/>
              <w:rPr>
                <w:rFonts w:hint="default" w:ascii="Times New Roman" w:hAnsi="Times New Roman" w:eastAsia="宋体" w:cs="Times New Roman"/>
                <w:b/>
                <w:bCs/>
                <w:color w:val="auto"/>
                <w:sz w:val="24"/>
                <w:highlight w:val="none"/>
              </w:rPr>
            </w:pPr>
            <w:bookmarkStart w:id="1" w:name="_Hlk49843745"/>
            <w:r>
              <w:rPr>
                <w:rFonts w:hint="default" w:ascii="Times New Roman" w:hAnsi="Times New Roman" w:eastAsia="宋体" w:cs="Times New Roman"/>
                <w:b/>
                <w:bCs/>
                <w:color w:val="auto"/>
                <w:sz w:val="24"/>
                <w:highlight w:val="none"/>
              </w:rPr>
              <w:t>建设项目</w:t>
            </w:r>
          </w:p>
          <w:p w14:paraId="40BC3214">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行业类别</w:t>
            </w:r>
            <w:bookmarkEnd w:id="1"/>
          </w:p>
        </w:tc>
        <w:tc>
          <w:tcPr>
            <w:tcW w:w="3054" w:type="dxa"/>
            <w:vAlign w:val="center"/>
          </w:tcPr>
          <w:p w14:paraId="0EDA10F8">
            <w:pPr>
              <w:adjustRightInd w:val="0"/>
              <w:snapToGrid w:val="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四十三、水的生产和供应业</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95</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污水处理及其再生利用</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新建、扩建日处理10万吨以下500吨及以上城乡污水处理的</w:t>
            </w:r>
          </w:p>
        </w:tc>
      </w:tr>
      <w:tr w14:paraId="52E7E0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680" w:type="dxa"/>
            <w:tcMar>
              <w:top w:w="16" w:type="dxa"/>
              <w:left w:w="16" w:type="dxa"/>
              <w:right w:w="16" w:type="dxa"/>
            </w:tcMar>
            <w:vAlign w:val="center"/>
          </w:tcPr>
          <w:p w14:paraId="7C5371D8">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建设性质</w:t>
            </w:r>
          </w:p>
        </w:tc>
        <w:tc>
          <w:tcPr>
            <w:tcW w:w="1946" w:type="dxa"/>
            <w:vAlign w:val="center"/>
          </w:tcPr>
          <w:p w14:paraId="284358A4">
            <w:pPr>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sym w:font="Wingdings" w:char="00A8"/>
            </w:r>
            <w:r>
              <w:rPr>
                <w:rFonts w:hint="default" w:ascii="Times New Roman" w:hAnsi="Times New Roman" w:eastAsia="宋体" w:cs="Times New Roman"/>
                <w:color w:val="auto"/>
                <w:sz w:val="24"/>
                <w:highlight w:val="none"/>
              </w:rPr>
              <w:t>新建（迁建）</w:t>
            </w:r>
          </w:p>
          <w:p w14:paraId="3AAC5815">
            <w:pPr>
              <w:jc w:val="left"/>
              <w:rPr>
                <w:rFonts w:hint="default" w:ascii="Times New Roman" w:hAnsi="Times New Roman" w:eastAsia="宋体" w:cs="Times New Roman"/>
                <w:color w:val="auto"/>
                <w:sz w:val="24"/>
                <w:highlight w:val="none"/>
              </w:rPr>
            </w:pP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改建</w:t>
            </w:r>
          </w:p>
          <w:p w14:paraId="00BBE291">
            <w:pPr>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sym w:font="Wingdings" w:char="00FE"/>
            </w:r>
            <w:r>
              <w:rPr>
                <w:rFonts w:hint="default" w:ascii="Times New Roman" w:hAnsi="Times New Roman" w:eastAsia="宋体" w:cs="Times New Roman"/>
                <w:color w:val="auto"/>
                <w:sz w:val="24"/>
                <w:highlight w:val="none"/>
              </w:rPr>
              <w:t>扩建</w:t>
            </w:r>
          </w:p>
          <w:p w14:paraId="42EF8C59">
            <w:pPr>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技术改造</w:t>
            </w:r>
          </w:p>
        </w:tc>
        <w:tc>
          <w:tcPr>
            <w:tcW w:w="2141" w:type="dxa"/>
            <w:vAlign w:val="center"/>
          </w:tcPr>
          <w:p w14:paraId="7AE80A98">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建设项目</w:t>
            </w:r>
          </w:p>
          <w:p w14:paraId="32EB73D6">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申报情形</w:t>
            </w:r>
          </w:p>
        </w:tc>
        <w:tc>
          <w:tcPr>
            <w:tcW w:w="3054" w:type="dxa"/>
            <w:vAlign w:val="center"/>
          </w:tcPr>
          <w:p w14:paraId="0DC7B415">
            <w:pPr>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 xml:space="preserve">☑首次申报项目             </w:t>
            </w:r>
          </w:p>
          <w:p w14:paraId="41544D37">
            <w:pPr>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sym w:font="Wingdings" w:char="00A8"/>
            </w:r>
            <w:r>
              <w:rPr>
                <w:rFonts w:hint="default" w:ascii="Times New Roman" w:hAnsi="Times New Roman" w:eastAsia="宋体" w:cs="Times New Roman"/>
                <w:color w:val="auto"/>
                <w:sz w:val="24"/>
                <w:highlight w:val="none"/>
              </w:rPr>
              <w:t>不予批准后再次申报项目</w:t>
            </w:r>
          </w:p>
          <w:p w14:paraId="5A230AAD">
            <w:pPr>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sym w:font="Wingdings" w:char="00A8"/>
            </w:r>
            <w:r>
              <w:rPr>
                <w:rFonts w:hint="default" w:ascii="Times New Roman" w:hAnsi="Times New Roman" w:eastAsia="宋体" w:cs="Times New Roman"/>
                <w:color w:val="auto"/>
                <w:sz w:val="24"/>
                <w:highlight w:val="none"/>
              </w:rPr>
              <w:t xml:space="preserve">超五年重新审核项目     </w:t>
            </w:r>
          </w:p>
          <w:p w14:paraId="0D5D6492">
            <w:pPr>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sym w:font="Wingdings" w:char="00A8"/>
            </w:r>
            <w:r>
              <w:rPr>
                <w:rFonts w:hint="default" w:ascii="Times New Roman" w:hAnsi="Times New Roman" w:eastAsia="宋体" w:cs="Times New Roman"/>
                <w:color w:val="auto"/>
                <w:sz w:val="24"/>
                <w:highlight w:val="none"/>
              </w:rPr>
              <w:t>重大变动重新报批项目</w:t>
            </w:r>
          </w:p>
        </w:tc>
      </w:tr>
      <w:tr w14:paraId="2D89ED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91" w:hRule="atLeast"/>
          <w:jc w:val="center"/>
        </w:trPr>
        <w:tc>
          <w:tcPr>
            <w:tcW w:w="1680" w:type="dxa"/>
            <w:tcMar>
              <w:top w:w="16" w:type="dxa"/>
              <w:left w:w="16" w:type="dxa"/>
              <w:right w:w="16" w:type="dxa"/>
            </w:tcMar>
            <w:vAlign w:val="center"/>
          </w:tcPr>
          <w:p w14:paraId="66748BE2">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项目审批（核准/备案）部门（选填）</w:t>
            </w:r>
          </w:p>
        </w:tc>
        <w:tc>
          <w:tcPr>
            <w:tcW w:w="1946" w:type="dxa"/>
            <w:vAlign w:val="center"/>
          </w:tcPr>
          <w:p w14:paraId="20275118">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杭锦旗发展和改革委员会</w:t>
            </w:r>
          </w:p>
        </w:tc>
        <w:tc>
          <w:tcPr>
            <w:tcW w:w="2141" w:type="dxa"/>
            <w:vAlign w:val="center"/>
          </w:tcPr>
          <w:p w14:paraId="1F5EC017">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项目审批（核准/备案）文号（选填）</w:t>
            </w:r>
          </w:p>
        </w:tc>
        <w:tc>
          <w:tcPr>
            <w:tcW w:w="3054" w:type="dxa"/>
            <w:vAlign w:val="center"/>
          </w:tcPr>
          <w:p w14:paraId="10FBF8F1">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杭发改发〔2025〕74号</w:t>
            </w:r>
          </w:p>
        </w:tc>
      </w:tr>
      <w:tr w14:paraId="3C7DF1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80" w:type="dxa"/>
            <w:tcMar>
              <w:top w:w="16" w:type="dxa"/>
              <w:left w:w="16" w:type="dxa"/>
              <w:right w:w="16" w:type="dxa"/>
            </w:tcMar>
            <w:vAlign w:val="center"/>
          </w:tcPr>
          <w:p w14:paraId="1F58BC3C">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总投资（万元）</w:t>
            </w:r>
          </w:p>
        </w:tc>
        <w:tc>
          <w:tcPr>
            <w:tcW w:w="1946" w:type="dxa"/>
            <w:vAlign w:val="center"/>
          </w:tcPr>
          <w:p w14:paraId="2A3A0478">
            <w:pPr>
              <w:adjustRightInd w:val="0"/>
              <w:snapToGrid w:val="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5591.58</w:t>
            </w:r>
          </w:p>
        </w:tc>
        <w:tc>
          <w:tcPr>
            <w:tcW w:w="2141" w:type="dxa"/>
            <w:tcMar>
              <w:top w:w="16" w:type="dxa"/>
              <w:left w:w="16" w:type="dxa"/>
              <w:right w:w="16" w:type="dxa"/>
            </w:tcMar>
            <w:vAlign w:val="center"/>
          </w:tcPr>
          <w:p w14:paraId="0ECA2BB1">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环保投资（万元）</w:t>
            </w:r>
          </w:p>
        </w:tc>
        <w:tc>
          <w:tcPr>
            <w:tcW w:w="3054" w:type="dxa"/>
            <w:vAlign w:val="center"/>
          </w:tcPr>
          <w:p w14:paraId="7CFACC56">
            <w:pPr>
              <w:adjustRightInd w:val="0"/>
              <w:snapToGrid w:val="0"/>
              <w:jc w:val="center"/>
              <w:rPr>
                <w:rFonts w:hint="default" w:ascii="Times New Roman" w:hAnsi="Times New Roman" w:eastAsia="宋体" w:cs="Times New Roman"/>
                <w:color w:val="auto"/>
                <w:sz w:val="24"/>
                <w:highlight w:val="none"/>
                <w:lang w:eastAsia="zh-CN"/>
              </w:rPr>
            </w:pPr>
            <w:r>
              <w:rPr>
                <w:rFonts w:hint="eastAsia" w:cs="Times New Roman"/>
                <w:color w:val="auto"/>
                <w:sz w:val="24"/>
                <w:highlight w:val="none"/>
                <w:lang w:val="en-US" w:eastAsia="zh-CN"/>
              </w:rPr>
              <w:t>5591.58</w:t>
            </w:r>
          </w:p>
        </w:tc>
      </w:tr>
      <w:tr w14:paraId="14624A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80" w:type="dxa"/>
            <w:tcMar>
              <w:top w:w="16" w:type="dxa"/>
              <w:left w:w="16" w:type="dxa"/>
              <w:right w:w="16" w:type="dxa"/>
            </w:tcMar>
            <w:vAlign w:val="center"/>
          </w:tcPr>
          <w:p w14:paraId="46A40245">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环保投资占比（%）</w:t>
            </w:r>
          </w:p>
        </w:tc>
        <w:tc>
          <w:tcPr>
            <w:tcW w:w="1946" w:type="dxa"/>
            <w:vAlign w:val="center"/>
          </w:tcPr>
          <w:p w14:paraId="1CF7EDD5">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100</w:t>
            </w:r>
          </w:p>
        </w:tc>
        <w:tc>
          <w:tcPr>
            <w:tcW w:w="2141" w:type="dxa"/>
            <w:tcMar>
              <w:top w:w="16" w:type="dxa"/>
              <w:left w:w="16" w:type="dxa"/>
              <w:right w:w="16" w:type="dxa"/>
            </w:tcMar>
            <w:vAlign w:val="center"/>
          </w:tcPr>
          <w:p w14:paraId="6E6BB2E8">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施工工期</w:t>
            </w:r>
          </w:p>
        </w:tc>
        <w:tc>
          <w:tcPr>
            <w:tcW w:w="3054" w:type="dxa"/>
            <w:vAlign w:val="center"/>
          </w:tcPr>
          <w:p w14:paraId="34BB66C4">
            <w:pPr>
              <w:adjustRightInd w:val="0"/>
              <w:snapToGrid w:val="0"/>
              <w:jc w:val="center"/>
              <w:rPr>
                <w:rFonts w:hint="default" w:ascii="Times New Roman" w:hAnsi="Times New Roman" w:eastAsia="宋体" w:cs="Times New Roman"/>
                <w:color w:val="auto"/>
                <w:sz w:val="24"/>
                <w:highlight w:val="none"/>
              </w:rPr>
            </w:pPr>
            <w:r>
              <w:rPr>
                <w:rFonts w:hint="eastAsia" w:cs="Times New Roman"/>
                <w:color w:val="auto"/>
                <w:sz w:val="24"/>
                <w:highlight w:val="none"/>
                <w:lang w:val="en-US" w:eastAsia="zh-CN"/>
              </w:rPr>
              <w:t>12</w:t>
            </w:r>
            <w:r>
              <w:rPr>
                <w:rFonts w:hint="default" w:ascii="Times New Roman" w:hAnsi="Times New Roman" w:eastAsia="宋体" w:cs="Times New Roman"/>
                <w:color w:val="auto"/>
                <w:sz w:val="24"/>
                <w:highlight w:val="none"/>
              </w:rPr>
              <w:t>个月</w:t>
            </w:r>
          </w:p>
        </w:tc>
      </w:tr>
      <w:tr w14:paraId="6B19EE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1680" w:type="dxa"/>
            <w:tcMar>
              <w:top w:w="16" w:type="dxa"/>
              <w:left w:w="16" w:type="dxa"/>
              <w:right w:w="16" w:type="dxa"/>
            </w:tcMar>
            <w:vAlign w:val="center"/>
          </w:tcPr>
          <w:p w14:paraId="19BF3D7F">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是否开工建设</w:t>
            </w:r>
          </w:p>
        </w:tc>
        <w:tc>
          <w:tcPr>
            <w:tcW w:w="1946" w:type="dxa"/>
            <w:vAlign w:val="center"/>
          </w:tcPr>
          <w:p w14:paraId="73B861CA">
            <w:pPr>
              <w:adjustRightInd w:val="0"/>
              <w:snapToGrid w:val="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否</w:t>
            </w:r>
          </w:p>
          <w:p w14:paraId="1996BEEE">
            <w:pPr>
              <w:adjustRightInd w:val="0"/>
              <w:snapToGrid w:val="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sym w:font="Wingdings" w:char="00A8"/>
            </w:r>
            <w:r>
              <w:rPr>
                <w:rFonts w:hint="default" w:ascii="Times New Roman" w:hAnsi="Times New Roman" w:eastAsia="宋体" w:cs="Times New Roman"/>
                <w:color w:val="auto"/>
                <w:sz w:val="24"/>
                <w:highlight w:val="none"/>
              </w:rPr>
              <w:t>是</w:t>
            </w:r>
            <w:r>
              <w:rPr>
                <w:rFonts w:hint="default" w:ascii="Times New Roman" w:hAnsi="Times New Roman" w:eastAsia="宋体" w:cs="Times New Roman"/>
                <w:color w:val="auto"/>
                <w:sz w:val="24"/>
                <w:highlight w:val="none"/>
                <w:u w:val="single"/>
                <w:lang w:eastAsia="zh-CN"/>
              </w:rPr>
              <w:t>：</w:t>
            </w:r>
            <w:r>
              <w:rPr>
                <w:rFonts w:hint="default" w:ascii="Times New Roman" w:hAnsi="Times New Roman" w:eastAsia="宋体" w:cs="Times New Roman"/>
                <w:color w:val="auto"/>
                <w:sz w:val="24"/>
                <w:highlight w:val="none"/>
                <w:u w:val="single"/>
              </w:rPr>
              <w:t xml:space="preserve">        </w:t>
            </w:r>
          </w:p>
        </w:tc>
        <w:tc>
          <w:tcPr>
            <w:tcW w:w="2141" w:type="dxa"/>
            <w:tcMar>
              <w:top w:w="16" w:type="dxa"/>
              <w:left w:w="16" w:type="dxa"/>
              <w:right w:w="16" w:type="dxa"/>
            </w:tcMar>
            <w:vAlign w:val="center"/>
          </w:tcPr>
          <w:p w14:paraId="47276270">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pacing w:val="-6"/>
                <w:sz w:val="24"/>
                <w:highlight w:val="none"/>
              </w:rPr>
              <w:t>用地面积（</w:t>
            </w:r>
            <w:r>
              <w:rPr>
                <w:rFonts w:hint="eastAsia" w:cs="Times New Roman"/>
                <w:b/>
                <w:bCs/>
                <w:color w:val="auto"/>
                <w:spacing w:val="-6"/>
                <w:sz w:val="24"/>
                <w:highlight w:val="none"/>
                <w:vertAlign w:val="baseline"/>
                <w:lang w:eastAsia="zh-CN"/>
              </w:rPr>
              <w:t>m</w:t>
            </w:r>
            <w:r>
              <w:rPr>
                <w:rFonts w:hint="eastAsia" w:cs="Times New Roman"/>
                <w:b/>
                <w:bCs/>
                <w:color w:val="auto"/>
                <w:spacing w:val="-6"/>
                <w:sz w:val="24"/>
                <w:highlight w:val="none"/>
                <w:vertAlign w:val="superscript"/>
                <w:lang w:eastAsia="zh-CN"/>
              </w:rPr>
              <w:t>2</w:t>
            </w:r>
            <w:r>
              <w:rPr>
                <w:rFonts w:hint="default" w:ascii="Times New Roman" w:hAnsi="Times New Roman" w:eastAsia="宋体" w:cs="Times New Roman"/>
                <w:b/>
                <w:bCs/>
                <w:color w:val="auto"/>
                <w:spacing w:val="-6"/>
                <w:sz w:val="24"/>
                <w:highlight w:val="none"/>
              </w:rPr>
              <w:t>）</w:t>
            </w:r>
          </w:p>
        </w:tc>
        <w:tc>
          <w:tcPr>
            <w:tcW w:w="3054" w:type="dxa"/>
            <w:vAlign w:val="center"/>
          </w:tcPr>
          <w:p w14:paraId="4CF84272">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16820</w:t>
            </w:r>
          </w:p>
        </w:tc>
      </w:tr>
      <w:tr w14:paraId="5F5A80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680" w:type="dxa"/>
            <w:vAlign w:val="center"/>
          </w:tcPr>
          <w:p w14:paraId="5CDF6B3B">
            <w:pPr>
              <w:autoSpaceDE w:val="0"/>
              <w:autoSpaceDN w:val="0"/>
              <w:adjustRightInd w:val="0"/>
              <w:snapToGrid w:val="0"/>
              <w:jc w:val="center"/>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专项评价设置情况</w:t>
            </w:r>
          </w:p>
        </w:tc>
        <w:tc>
          <w:tcPr>
            <w:tcW w:w="7141" w:type="dxa"/>
            <w:gridSpan w:val="3"/>
            <w:vAlign w:val="center"/>
          </w:tcPr>
          <w:p w14:paraId="0221A242">
            <w:pPr>
              <w:autoSpaceDE w:val="0"/>
              <w:autoSpaceDN w:val="0"/>
              <w:adjustRightInd w:val="0"/>
              <w:snapToGrid w:val="0"/>
              <w:jc w:val="center"/>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无</w:t>
            </w:r>
          </w:p>
        </w:tc>
      </w:tr>
      <w:tr w14:paraId="54C3A2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680" w:type="dxa"/>
            <w:vAlign w:val="center"/>
          </w:tcPr>
          <w:p w14:paraId="2DEFC799">
            <w:pPr>
              <w:autoSpaceDE w:val="0"/>
              <w:autoSpaceDN w:val="0"/>
              <w:adjustRightInd w:val="0"/>
              <w:snapToGrid w:val="0"/>
              <w:jc w:val="center"/>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sz w:val="24"/>
                <w:highlight w:val="none"/>
              </w:rPr>
              <w:t>规划情况</w:t>
            </w:r>
          </w:p>
        </w:tc>
        <w:tc>
          <w:tcPr>
            <w:tcW w:w="7141" w:type="dxa"/>
            <w:gridSpan w:val="3"/>
            <w:vAlign w:val="center"/>
          </w:tcPr>
          <w:p w14:paraId="62C904A2">
            <w:pPr>
              <w:autoSpaceDE w:val="0"/>
              <w:autoSpaceDN w:val="0"/>
              <w:adjustRightInd w:val="0"/>
              <w:snapToGrid w:val="0"/>
              <w:jc w:val="center"/>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无</w:t>
            </w:r>
          </w:p>
        </w:tc>
      </w:tr>
      <w:tr w14:paraId="62F13C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680" w:type="dxa"/>
            <w:vAlign w:val="center"/>
          </w:tcPr>
          <w:p w14:paraId="7045A3C9">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规划环境影响</w:t>
            </w:r>
          </w:p>
          <w:p w14:paraId="3AA95267">
            <w:pPr>
              <w:adjustRightInd w:val="0"/>
              <w:snapToGrid w:val="0"/>
              <w:jc w:val="center"/>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sz w:val="24"/>
                <w:highlight w:val="none"/>
              </w:rPr>
              <w:t>评价情况</w:t>
            </w:r>
          </w:p>
        </w:tc>
        <w:tc>
          <w:tcPr>
            <w:tcW w:w="7141" w:type="dxa"/>
            <w:gridSpan w:val="3"/>
            <w:vAlign w:val="center"/>
          </w:tcPr>
          <w:p w14:paraId="0CCB00FA">
            <w:pPr>
              <w:autoSpaceDE w:val="0"/>
              <w:autoSpaceDN w:val="0"/>
              <w:adjustRightInd w:val="0"/>
              <w:snapToGrid w:val="0"/>
              <w:spacing w:line="360" w:lineRule="auto"/>
              <w:jc w:val="center"/>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无</w:t>
            </w:r>
          </w:p>
        </w:tc>
      </w:tr>
      <w:tr w14:paraId="2EE57B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680" w:type="dxa"/>
            <w:vAlign w:val="center"/>
          </w:tcPr>
          <w:p w14:paraId="0FD9BA6B">
            <w:pPr>
              <w:adjustRightInd w:val="0"/>
              <w:snapToGrid w:val="0"/>
              <w:jc w:val="center"/>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sz w:val="24"/>
                <w:highlight w:val="none"/>
              </w:rPr>
              <w:t>规划及规划环境影响评价符合性分析</w:t>
            </w:r>
          </w:p>
        </w:tc>
        <w:tc>
          <w:tcPr>
            <w:tcW w:w="7141" w:type="dxa"/>
            <w:gridSpan w:val="3"/>
            <w:vAlign w:val="center"/>
          </w:tcPr>
          <w:p w14:paraId="2ED14F8C">
            <w:pPr>
              <w:autoSpaceDE w:val="0"/>
              <w:autoSpaceDN w:val="0"/>
              <w:adjustRightInd w:val="0"/>
              <w:snapToGrid w:val="0"/>
              <w:spacing w:line="360" w:lineRule="auto"/>
              <w:jc w:val="center"/>
              <w:rPr>
                <w:rFonts w:hint="default" w:ascii="Times New Roman" w:hAnsi="Times New Roman" w:eastAsia="宋体" w:cs="Times New Roman"/>
                <w:bCs/>
                <w:color w:val="auto"/>
                <w:kern w:val="0"/>
                <w:sz w:val="24"/>
                <w:highlight w:val="none"/>
              </w:rPr>
            </w:pPr>
            <w:r>
              <w:rPr>
                <w:rFonts w:hint="default" w:ascii="Times New Roman" w:hAnsi="Times New Roman" w:eastAsia="宋体" w:cs="Times New Roman"/>
                <w:bCs/>
                <w:color w:val="auto"/>
                <w:kern w:val="0"/>
                <w:sz w:val="24"/>
                <w:highlight w:val="none"/>
              </w:rPr>
              <w:t>无</w:t>
            </w:r>
          </w:p>
        </w:tc>
      </w:tr>
      <w:tr w14:paraId="483A96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680" w:type="dxa"/>
            <w:vAlign w:val="center"/>
          </w:tcPr>
          <w:p w14:paraId="34D06401">
            <w:pPr>
              <w:autoSpaceDE w:val="0"/>
              <w:autoSpaceDN w:val="0"/>
              <w:adjustRightInd w:val="0"/>
              <w:snapToGrid w:val="0"/>
              <w:jc w:val="center"/>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其他符合性分析</w:t>
            </w:r>
          </w:p>
        </w:tc>
        <w:tc>
          <w:tcPr>
            <w:tcW w:w="7141" w:type="dxa"/>
            <w:gridSpan w:val="3"/>
            <w:vAlign w:val="center"/>
          </w:tcPr>
          <w:p w14:paraId="39994E95">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三线一单</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符合性分析</w:t>
            </w:r>
          </w:p>
          <w:p w14:paraId="49688A43">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（1）生态保护红线</w:t>
            </w:r>
          </w:p>
          <w:p w14:paraId="4A8D07E7">
            <w:pPr>
              <w:autoSpaceDE w:val="0"/>
              <w:autoSpaceDN w:val="0"/>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根据《鄂尔多斯市人民政府关于</w:t>
            </w:r>
            <w:r>
              <w:rPr>
                <w:rFonts w:hint="eastAsia"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三线一单</w:t>
            </w:r>
            <w:r>
              <w:rPr>
                <w:rFonts w:hint="eastAsia"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生态环境分区管控的实施意见》</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鄂府发〔2021〕218号</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鄂尔多斯市生态环境分区管控动态更新成果（2023年版）》，全市按优先保护、重点管控、一般管控三大类划分为171个环境管控单元。其中，优先保护单元76个，面积占比64.35%；重点管控单元86个，面积占比28.10%；一般管控单元9个，面积占比7.56%。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p>
          <w:p w14:paraId="1F750169">
            <w:pPr>
              <w:autoSpaceDE w:val="0"/>
              <w:autoSpaceDN w:val="0"/>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本项目位于</w:t>
            </w:r>
            <w:r>
              <w:rPr>
                <w:rFonts w:hint="default" w:ascii="Times New Roman" w:hAnsi="Times New Roman" w:eastAsia="宋体" w:cs="Times New Roman"/>
                <w:bCs/>
                <w:color w:val="auto"/>
                <w:sz w:val="24"/>
                <w:highlight w:val="none"/>
                <w:lang w:eastAsia="zh-CN"/>
              </w:rPr>
              <w:t>锡尼镇污水处理厂厂区内</w:t>
            </w:r>
            <w:r>
              <w:rPr>
                <w:rFonts w:hint="default" w:ascii="Times New Roman" w:hAnsi="Times New Roman" w:eastAsia="宋体" w:cs="Times New Roman"/>
                <w:bCs/>
                <w:color w:val="auto"/>
                <w:sz w:val="24"/>
                <w:highlight w:val="none"/>
              </w:rPr>
              <w:t>，经调查评价范围内无饮用水水源地、自然保护区、风景名胜区等特殊环境敏感区，不涉及生态环境脆弱区、禁止开发区域以及其他各类保护地，项目的建设符合生态保护红线的要求。</w:t>
            </w:r>
          </w:p>
          <w:p w14:paraId="66C3E079">
            <w:pPr>
              <w:autoSpaceDE w:val="0"/>
              <w:autoSpaceDN w:val="0"/>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综上所述，本项目符合生态保护红线的要求。</w:t>
            </w:r>
          </w:p>
          <w:p w14:paraId="03877F2B">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（2）环境质量底线</w:t>
            </w:r>
          </w:p>
          <w:p w14:paraId="002635BE">
            <w:pPr>
              <w:autoSpaceDE w:val="0"/>
              <w:autoSpaceDN w:val="0"/>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eastAsia="zh-CN"/>
              </w:rPr>
              <w:t>2025年6月</w:t>
            </w:r>
            <w:r>
              <w:rPr>
                <w:rFonts w:hint="eastAsia" w:cs="Times New Roman"/>
                <w:bCs/>
                <w:color w:val="auto"/>
                <w:sz w:val="24"/>
                <w:highlight w:val="none"/>
                <w:lang w:eastAsia="zh-CN"/>
              </w:rPr>
              <w:t>，</w:t>
            </w:r>
            <w:r>
              <w:rPr>
                <w:rFonts w:hint="default" w:ascii="Times New Roman" w:hAnsi="Times New Roman" w:eastAsia="宋体" w:cs="Times New Roman"/>
                <w:bCs/>
                <w:color w:val="auto"/>
                <w:sz w:val="24"/>
                <w:highlight w:val="none"/>
              </w:rPr>
              <w:t>内蒙古自治区生态环境厅发布</w:t>
            </w:r>
            <w:r>
              <w:rPr>
                <w:rFonts w:hint="default" w:ascii="Times New Roman" w:hAnsi="Times New Roman" w:eastAsia="宋体" w:cs="Times New Roman"/>
                <w:bCs/>
                <w:color w:val="auto"/>
                <w:sz w:val="24"/>
                <w:highlight w:val="none"/>
                <w:lang w:eastAsia="zh-CN"/>
              </w:rPr>
              <w:t>《2024年内蒙古自治区生态环境状况公报</w:t>
            </w:r>
            <w:r>
              <w:rPr>
                <w:rFonts w:hint="default" w:ascii="Times New Roman" w:hAnsi="Times New Roman" w:eastAsia="宋体" w:cs="Times New Roman"/>
                <w:bCs/>
                <w:color w:val="auto"/>
                <w:sz w:val="24"/>
                <w:highlight w:val="none"/>
              </w:rPr>
              <w:t>》，报告指出</w:t>
            </w:r>
            <w:r>
              <w:rPr>
                <w:rFonts w:hint="eastAsia"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lang w:eastAsia="zh-CN"/>
              </w:rPr>
              <w:t>2024年，全区环境空气六项污染物年均浓度均达标</w:t>
            </w:r>
            <w:r>
              <w:rPr>
                <w:rFonts w:hint="eastAsia"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。故项目所在区域为达标区域。根据</w:t>
            </w:r>
            <w:r>
              <w:rPr>
                <w:rFonts w:hint="default" w:ascii="Times New Roman" w:hAnsi="Times New Roman" w:eastAsia="宋体" w:cs="Times New Roman"/>
                <w:bCs/>
                <w:color w:val="auto"/>
                <w:sz w:val="24"/>
                <w:highlight w:val="none"/>
                <w:lang w:val="en-US" w:eastAsia="zh-CN"/>
              </w:rPr>
              <w:t>引</w:t>
            </w:r>
            <w:r>
              <w:rPr>
                <w:rFonts w:hint="default" w:ascii="Times New Roman" w:hAnsi="Times New Roman" w:eastAsia="宋体" w:cs="Times New Roman"/>
                <w:bCs/>
                <w:color w:val="auto"/>
                <w:sz w:val="24"/>
                <w:highlight w:val="none"/>
              </w:rPr>
              <w:t>用监测报告监测结果，环境空气中氨、硫化氢的平均值检测结果均可满足《环境影响评价技术导则 大气环境》（HJ2.2-2018）附录D中最高允许浓度限值要求，因此，项目区域生态环境质量较好。</w:t>
            </w:r>
          </w:p>
          <w:p w14:paraId="54E87870">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bCs/>
                <w:color w:val="auto"/>
                <w:sz w:val="24"/>
                <w:highlight w:val="none"/>
              </w:rPr>
              <w:t>本项目为</w:t>
            </w:r>
            <w:r>
              <w:rPr>
                <w:rFonts w:hint="default" w:ascii="Times New Roman" w:hAnsi="Times New Roman" w:eastAsia="宋体" w:cs="Times New Roman"/>
                <w:bCs/>
                <w:color w:val="auto"/>
                <w:sz w:val="24"/>
                <w:highlight w:val="none"/>
                <w:lang w:val="en-US" w:eastAsia="zh-CN"/>
              </w:rPr>
              <w:t>污水处理厂改造工程</w:t>
            </w:r>
            <w:r>
              <w:rPr>
                <w:rFonts w:hint="default" w:ascii="Times New Roman" w:hAnsi="Times New Roman" w:eastAsia="宋体" w:cs="Times New Roman"/>
                <w:bCs/>
                <w:color w:val="auto"/>
                <w:sz w:val="24"/>
                <w:highlight w:val="none"/>
              </w:rPr>
              <w:t>，运营过程中会产生一定量的废气、噪声和固体废物，采取相应措施后均可达标排放，不会明显降低区域环境质量现状，符合环境质量底线要求。</w:t>
            </w:r>
          </w:p>
          <w:p w14:paraId="7561464A">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（3）资源利用上线</w:t>
            </w:r>
          </w:p>
          <w:p w14:paraId="2FD278CC">
            <w:pPr>
              <w:autoSpaceDE w:val="0"/>
              <w:autoSpaceDN w:val="0"/>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bCs/>
                <w:color w:val="auto"/>
                <w:sz w:val="24"/>
                <w:highlight w:val="none"/>
              </w:rPr>
              <w:t>本项目不属于高污染、高能耗产业类型，项目资源利用包括电</w:t>
            </w:r>
            <w:r>
              <w:rPr>
                <w:rFonts w:hint="default" w:ascii="Times New Roman" w:hAnsi="Times New Roman" w:eastAsia="宋体" w:cs="Times New Roman"/>
                <w:bCs/>
                <w:color w:val="auto"/>
                <w:sz w:val="24"/>
                <w:highlight w:val="none"/>
                <w:lang w:val="en-US" w:eastAsia="zh-CN"/>
              </w:rPr>
              <w:t>源</w:t>
            </w:r>
            <w:r>
              <w:rPr>
                <w:rFonts w:hint="default" w:ascii="Times New Roman" w:hAnsi="Times New Roman" w:eastAsia="宋体" w:cs="Times New Roman"/>
                <w:bCs/>
                <w:color w:val="auto"/>
                <w:sz w:val="24"/>
                <w:highlight w:val="none"/>
              </w:rPr>
              <w:t>和原料，项目资源消耗量相对较小，不会突破区域的资源利用上线</w:t>
            </w:r>
            <w:r>
              <w:rPr>
                <w:rFonts w:hint="default" w:ascii="Times New Roman" w:hAnsi="Times New Roman" w:eastAsia="宋体" w:cs="Times New Roman"/>
                <w:color w:val="auto"/>
                <w:sz w:val="24"/>
                <w:highlight w:val="none"/>
              </w:rPr>
              <w:t>。</w:t>
            </w:r>
          </w:p>
          <w:p w14:paraId="387103F3">
            <w:pPr>
              <w:autoSpaceDE w:val="0"/>
              <w:autoSpaceDN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（4）生态环境准入清单</w:t>
            </w:r>
          </w:p>
          <w:p w14:paraId="62B152F3">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本项目位于鄂尔多斯市</w:t>
            </w:r>
            <w:r>
              <w:rPr>
                <w:rFonts w:hint="default" w:ascii="Times New Roman" w:hAnsi="Times New Roman" w:eastAsia="宋体" w:cs="Times New Roman"/>
                <w:bCs/>
                <w:color w:val="auto"/>
                <w:sz w:val="24"/>
                <w:highlight w:val="none"/>
                <w:lang w:eastAsia="zh-CN"/>
              </w:rPr>
              <w:t>杭锦旗锡尼镇污水处理厂厂区内</w:t>
            </w:r>
            <w:r>
              <w:rPr>
                <w:rFonts w:hint="default" w:ascii="Times New Roman" w:hAnsi="Times New Roman" w:eastAsia="宋体" w:cs="Times New Roman"/>
                <w:bCs/>
                <w:color w:val="auto"/>
                <w:sz w:val="24"/>
                <w:highlight w:val="none"/>
              </w:rPr>
              <w:t>，根据《鄂尔多斯市生态环境准入清单》，本项目所在区域为重点管控单元，环境管控单元名称</w:t>
            </w:r>
            <w:r>
              <w:rPr>
                <w:rFonts w:hint="eastAsia" w:cs="Times New Roman"/>
                <w:bCs/>
                <w:color w:val="auto"/>
                <w:sz w:val="24"/>
                <w:highlight w:val="none"/>
                <w:lang w:val="en-US" w:eastAsia="zh-CN"/>
              </w:rPr>
              <w:t>为</w:t>
            </w:r>
            <w:r>
              <w:rPr>
                <w:rFonts w:hint="default" w:ascii="Times New Roman" w:hAnsi="Times New Roman" w:eastAsia="宋体" w:cs="Times New Roman"/>
                <w:bCs/>
                <w:color w:val="auto"/>
                <w:sz w:val="24"/>
                <w:highlight w:val="none"/>
              </w:rPr>
              <w:t>鄂尔多斯新能源产业示范区，管控单元编码为Z</w:t>
            </w:r>
            <w:r>
              <w:rPr>
                <w:rFonts w:hint="default" w:ascii="Times New Roman" w:hAnsi="Times New Roman" w:eastAsia="宋体" w:cs="Times New Roman"/>
                <w:bCs/>
                <w:color w:val="auto"/>
                <w:sz w:val="24"/>
                <w:highlight w:val="none"/>
                <w:lang w:eastAsia="zh-CN"/>
              </w:rPr>
              <w:t>H</w:t>
            </w:r>
            <w:r>
              <w:rPr>
                <w:rFonts w:hint="default" w:ascii="Times New Roman" w:hAnsi="Times New Roman" w:eastAsia="宋体" w:cs="Times New Roman"/>
                <w:bCs/>
                <w:color w:val="auto"/>
                <w:sz w:val="24"/>
                <w:highlight w:val="none"/>
              </w:rPr>
              <w:t>15062520002。</w:t>
            </w:r>
          </w:p>
          <w:p w14:paraId="47C80DAB">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本项目与该单元的管控要求的符合性见下表：</w:t>
            </w:r>
          </w:p>
          <w:p w14:paraId="60C12758">
            <w:pPr>
              <w:pStyle w:val="16"/>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表1-1  项目与《鄂尔多斯市生态环境准入清单》相符性分析</w:t>
            </w:r>
          </w:p>
          <w:tbl>
            <w:tblPr>
              <w:tblStyle w:val="10"/>
              <w:tblW w:w="6925"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899"/>
              <w:gridCol w:w="814"/>
              <w:gridCol w:w="628"/>
              <w:gridCol w:w="465"/>
              <w:gridCol w:w="2000"/>
              <w:gridCol w:w="1682"/>
              <w:gridCol w:w="437"/>
            </w:tblGrid>
            <w:tr w14:paraId="384996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899" w:type="dxa"/>
                  <w:noWrap w:val="0"/>
                  <w:vAlign w:val="center"/>
                </w:tcPr>
                <w:p w14:paraId="6B4BCD2A">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环境管控单元编码</w:t>
                  </w:r>
                </w:p>
              </w:tc>
              <w:tc>
                <w:tcPr>
                  <w:tcW w:w="814" w:type="dxa"/>
                  <w:noWrap w:val="0"/>
                  <w:vAlign w:val="center"/>
                </w:tcPr>
                <w:p w14:paraId="4EBC5212">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环境管控单元名称</w:t>
                  </w:r>
                </w:p>
              </w:tc>
              <w:tc>
                <w:tcPr>
                  <w:tcW w:w="628" w:type="dxa"/>
                  <w:noWrap w:val="0"/>
                  <w:vAlign w:val="center"/>
                </w:tcPr>
                <w:p w14:paraId="5B4F3659">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管控单元类别</w:t>
                  </w:r>
                </w:p>
              </w:tc>
              <w:tc>
                <w:tcPr>
                  <w:tcW w:w="2465" w:type="dxa"/>
                  <w:gridSpan w:val="2"/>
                  <w:noWrap w:val="0"/>
                  <w:vAlign w:val="center"/>
                </w:tcPr>
                <w:p w14:paraId="75E27352">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管控要求</w:t>
                  </w:r>
                </w:p>
              </w:tc>
              <w:tc>
                <w:tcPr>
                  <w:tcW w:w="1682" w:type="dxa"/>
                  <w:noWrap w:val="0"/>
                  <w:vAlign w:val="center"/>
                </w:tcPr>
                <w:p w14:paraId="2B56CCDB">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本项目</w:t>
                  </w:r>
                </w:p>
              </w:tc>
              <w:tc>
                <w:tcPr>
                  <w:tcW w:w="437" w:type="dxa"/>
                  <w:noWrap w:val="0"/>
                  <w:vAlign w:val="center"/>
                </w:tcPr>
                <w:p w14:paraId="7E44AEE4">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符合性分析</w:t>
                  </w:r>
                </w:p>
              </w:tc>
            </w:tr>
            <w:tr w14:paraId="2616CD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899" w:type="dxa"/>
                  <w:vMerge w:val="restart"/>
                  <w:noWrap w:val="0"/>
                  <w:vAlign w:val="center"/>
                </w:tcPr>
                <w:p w14:paraId="46EBF5E8">
                  <w:pPr>
                    <w:adjustRightInd w:val="0"/>
                    <w:snapToGrid w:val="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Z</w:t>
                  </w:r>
                  <w:r>
                    <w:rPr>
                      <w:rFonts w:hint="default" w:ascii="Times New Roman" w:hAnsi="Times New Roman" w:eastAsia="宋体" w:cs="Times New Roman"/>
                      <w:color w:val="auto"/>
                      <w:sz w:val="21"/>
                      <w:szCs w:val="21"/>
                      <w:lang w:eastAsia="zh-CN"/>
                    </w:rPr>
                    <w:t>H</w:t>
                  </w:r>
                  <w:r>
                    <w:rPr>
                      <w:rFonts w:hint="default" w:ascii="Times New Roman" w:hAnsi="Times New Roman" w:eastAsia="宋体" w:cs="Times New Roman"/>
                      <w:color w:val="auto"/>
                      <w:sz w:val="21"/>
                      <w:szCs w:val="21"/>
                    </w:rPr>
                    <w:t>15062520002</w:t>
                  </w:r>
                </w:p>
              </w:tc>
              <w:tc>
                <w:tcPr>
                  <w:tcW w:w="814" w:type="dxa"/>
                  <w:vMerge w:val="restart"/>
                  <w:noWrap w:val="0"/>
                  <w:vAlign w:val="center"/>
                </w:tcPr>
                <w:p w14:paraId="55B0745F">
                  <w:pPr>
                    <w:adjustRightInd w:val="0"/>
                    <w:snapToGrid w:val="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鄂尔多斯新能源产业示范区</w:t>
                  </w:r>
                </w:p>
              </w:tc>
              <w:tc>
                <w:tcPr>
                  <w:tcW w:w="628" w:type="dxa"/>
                  <w:vMerge w:val="restart"/>
                  <w:noWrap w:val="0"/>
                  <w:vAlign w:val="center"/>
                </w:tcPr>
                <w:p w14:paraId="2ED31D21">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重点管控</w:t>
                  </w:r>
                </w:p>
                <w:p w14:paraId="292C82A5">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单元</w:t>
                  </w:r>
                </w:p>
              </w:tc>
              <w:tc>
                <w:tcPr>
                  <w:tcW w:w="465" w:type="dxa"/>
                  <w:noWrap w:val="0"/>
                  <w:vAlign w:val="center"/>
                </w:tcPr>
                <w:p w14:paraId="3A1E35F6">
                  <w:pPr>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空间布局约束</w:t>
                  </w:r>
                </w:p>
              </w:tc>
              <w:tc>
                <w:tcPr>
                  <w:tcW w:w="2000" w:type="dxa"/>
                  <w:noWrap w:val="0"/>
                  <w:vAlign w:val="center"/>
                </w:tcPr>
                <w:p w14:paraId="3D8DBA10">
                  <w:pPr>
                    <w:widowControl/>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1.禁止不符合园区产业定位及规划环评等要求的项目入园；对于国家明令淘汰的落后产能和不符合国家产业政策的项目，禁止向工业园区转移。</w:t>
                  </w:r>
                </w:p>
                <w:p w14:paraId="1A2207E5">
                  <w:pPr>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2.与滞洪区、自然保护区和居民点等环境敏感区之间设置合理的防护隔离带。</w:t>
                  </w:r>
                </w:p>
              </w:tc>
              <w:tc>
                <w:tcPr>
                  <w:tcW w:w="1682" w:type="dxa"/>
                  <w:noWrap w:val="0"/>
                  <w:vAlign w:val="center"/>
                </w:tcPr>
                <w:p w14:paraId="22E9E680">
                  <w:pPr>
                    <w:snapToGrid w:val="0"/>
                    <w:jc w:val="both"/>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1.本项目</w:t>
                  </w:r>
                  <w:r>
                    <w:rPr>
                      <w:rFonts w:hint="default" w:ascii="Times New Roman" w:hAnsi="Times New Roman" w:eastAsia="宋体" w:cs="Times New Roman"/>
                      <w:bCs/>
                      <w:color w:val="auto"/>
                      <w:sz w:val="21"/>
                      <w:szCs w:val="21"/>
                      <w:lang w:val="en-US" w:eastAsia="zh-CN"/>
                    </w:rPr>
                    <w:t>为</w:t>
                  </w:r>
                  <w:r>
                    <w:rPr>
                      <w:rFonts w:hint="default" w:ascii="Times New Roman" w:hAnsi="Times New Roman" w:eastAsia="宋体" w:cs="Times New Roman"/>
                      <w:bCs/>
                      <w:color w:val="auto"/>
                      <w:sz w:val="21"/>
                      <w:szCs w:val="21"/>
                    </w:rPr>
                    <w:t>污水处理厂改造工程，符合国家产业政策。</w:t>
                  </w:r>
                </w:p>
                <w:p w14:paraId="00D0E0B8">
                  <w:pPr>
                    <w:snapToGrid w:val="0"/>
                    <w:jc w:val="both"/>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2.项目厂址500</w:t>
                  </w:r>
                  <w:r>
                    <w:rPr>
                      <w:rFonts w:hint="eastAsia" w:cs="Times New Roman"/>
                      <w:bCs/>
                      <w:color w:val="auto"/>
                      <w:sz w:val="21"/>
                      <w:szCs w:val="21"/>
                      <w:lang w:eastAsia="zh-CN"/>
                    </w:rPr>
                    <w:t>m</w:t>
                  </w:r>
                  <w:r>
                    <w:rPr>
                      <w:rFonts w:hint="default" w:ascii="Times New Roman" w:hAnsi="Times New Roman" w:eastAsia="宋体" w:cs="Times New Roman"/>
                      <w:bCs/>
                      <w:color w:val="auto"/>
                      <w:sz w:val="21"/>
                      <w:szCs w:val="21"/>
                    </w:rPr>
                    <w:t>范围内无居民等敏感目标。</w:t>
                  </w:r>
                </w:p>
              </w:tc>
              <w:tc>
                <w:tcPr>
                  <w:tcW w:w="437" w:type="dxa"/>
                  <w:noWrap w:val="0"/>
                  <w:vAlign w:val="center"/>
                </w:tcPr>
                <w:p w14:paraId="29291062">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65F151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899" w:type="dxa"/>
                  <w:vMerge w:val="continue"/>
                  <w:noWrap w:val="0"/>
                  <w:vAlign w:val="center"/>
                </w:tcPr>
                <w:p w14:paraId="62C79976">
                  <w:pPr>
                    <w:adjustRightInd w:val="0"/>
                    <w:snapToGrid w:val="0"/>
                    <w:jc w:val="center"/>
                    <w:rPr>
                      <w:rFonts w:hint="default" w:ascii="Times New Roman" w:hAnsi="Times New Roman" w:eastAsia="宋体" w:cs="Times New Roman"/>
                      <w:color w:val="auto"/>
                      <w:sz w:val="21"/>
                      <w:szCs w:val="21"/>
                    </w:rPr>
                  </w:pPr>
                </w:p>
              </w:tc>
              <w:tc>
                <w:tcPr>
                  <w:tcW w:w="814" w:type="dxa"/>
                  <w:vMerge w:val="continue"/>
                  <w:noWrap w:val="0"/>
                  <w:vAlign w:val="center"/>
                </w:tcPr>
                <w:p w14:paraId="74CA124A">
                  <w:pPr>
                    <w:adjustRightInd w:val="0"/>
                    <w:snapToGrid w:val="0"/>
                    <w:jc w:val="center"/>
                    <w:rPr>
                      <w:rFonts w:hint="default" w:ascii="Times New Roman" w:hAnsi="Times New Roman" w:eastAsia="宋体" w:cs="Times New Roman"/>
                      <w:color w:val="auto"/>
                      <w:sz w:val="21"/>
                      <w:szCs w:val="21"/>
                    </w:rPr>
                  </w:pPr>
                </w:p>
              </w:tc>
              <w:tc>
                <w:tcPr>
                  <w:tcW w:w="628" w:type="dxa"/>
                  <w:vMerge w:val="continue"/>
                  <w:noWrap w:val="0"/>
                  <w:vAlign w:val="center"/>
                </w:tcPr>
                <w:p w14:paraId="220CF8F4">
                  <w:pPr>
                    <w:adjustRightInd w:val="0"/>
                    <w:snapToGrid w:val="0"/>
                    <w:jc w:val="center"/>
                    <w:rPr>
                      <w:rFonts w:hint="default" w:ascii="Times New Roman" w:hAnsi="Times New Roman" w:eastAsia="宋体" w:cs="Times New Roman"/>
                      <w:color w:val="auto"/>
                      <w:sz w:val="21"/>
                      <w:szCs w:val="21"/>
                    </w:rPr>
                  </w:pPr>
                </w:p>
              </w:tc>
              <w:tc>
                <w:tcPr>
                  <w:tcW w:w="465" w:type="dxa"/>
                  <w:noWrap w:val="0"/>
                  <w:vAlign w:val="center"/>
                </w:tcPr>
                <w:p w14:paraId="2E9C625D">
                  <w:pPr>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污染物排放管控</w:t>
                  </w:r>
                </w:p>
              </w:tc>
              <w:tc>
                <w:tcPr>
                  <w:tcW w:w="2000" w:type="dxa"/>
                  <w:noWrap w:val="0"/>
                  <w:vAlign w:val="center"/>
                </w:tcPr>
                <w:p w14:paraId="26AF92B8">
                  <w:pPr>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1.按</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清污分流</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雨污分流</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污污分流</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原则，污水应收尽收，全部回用或作为景观用水不外排。</w:t>
                  </w:r>
                </w:p>
                <w:p w14:paraId="36433601">
                  <w:pPr>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2.加强对废气特别是有毒及恶臭气体的收集和处置，严格控制挥发性有机物（VOCs）排放。</w:t>
                  </w:r>
                </w:p>
                <w:p w14:paraId="3379286B">
                  <w:pPr>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3.固体废物产生量大的化工园区应配套建设固体废物处置设施。</w:t>
                  </w:r>
                </w:p>
                <w:p w14:paraId="480372CD">
                  <w:pPr>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4.重点行业粉状物料堆场实现全封闭，块状物料</w:t>
                  </w:r>
                  <w:r>
                    <w:rPr>
                      <w:rFonts w:hint="eastAsia" w:cs="Times New Roman"/>
                      <w:color w:val="auto"/>
                      <w:sz w:val="21"/>
                      <w:szCs w:val="21"/>
                      <w:lang w:eastAsia="zh-CN"/>
                    </w:rPr>
                    <w:t>堆场</w:t>
                  </w:r>
                  <w:r>
                    <w:rPr>
                      <w:rFonts w:hint="default" w:ascii="Times New Roman" w:hAnsi="Times New Roman" w:eastAsia="宋体" w:cs="Times New Roman"/>
                      <w:color w:val="auto"/>
                      <w:sz w:val="21"/>
                      <w:szCs w:val="21"/>
                    </w:rPr>
                    <w:t>安装抑尘设施。</w:t>
                  </w:r>
                </w:p>
                <w:p w14:paraId="5EB2681E">
                  <w:pPr>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5.燃煤发电机组执行大气污染物超低排放限值。</w:t>
                  </w:r>
                </w:p>
              </w:tc>
              <w:tc>
                <w:tcPr>
                  <w:tcW w:w="1682" w:type="dxa"/>
                  <w:noWrap w:val="0"/>
                  <w:vAlign w:val="center"/>
                </w:tcPr>
                <w:p w14:paraId="2FB1B932">
                  <w:pPr>
                    <w:snapToGrid w:val="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1.本项目</w:t>
                  </w:r>
                  <w:r>
                    <w:rPr>
                      <w:rFonts w:hint="default" w:ascii="Times New Roman" w:hAnsi="Times New Roman" w:eastAsia="宋体" w:cs="Times New Roman"/>
                      <w:color w:val="auto"/>
                      <w:sz w:val="21"/>
                      <w:szCs w:val="21"/>
                      <w:lang w:val="en-US" w:eastAsia="zh-CN"/>
                    </w:rPr>
                    <w:t>为</w:t>
                  </w:r>
                  <w:r>
                    <w:rPr>
                      <w:rFonts w:hint="default" w:ascii="Times New Roman" w:hAnsi="Times New Roman" w:eastAsia="宋体" w:cs="Times New Roman"/>
                      <w:color w:val="auto"/>
                      <w:sz w:val="21"/>
                      <w:szCs w:val="21"/>
                    </w:rPr>
                    <w:t>污水处理厂改造工程</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一期更新改造后，污水处理厂全厂日处理中水能力为11500t/d，其中8500t/d排入杭锦旗锡尼镇污水处理厂尾水水质净化工程进行深度处理，处理达标后用于周边企业回用及陶赖沟生态补水。其余部分统筹用于园林绿化、鄂尔多斯市新能源产业示范区企业及内蒙古能源发电杭锦发电有限公司工业用水</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不外排</w:t>
                  </w:r>
                  <w:r>
                    <w:rPr>
                      <w:rFonts w:hint="default" w:ascii="Times New Roman" w:hAnsi="Times New Roman" w:eastAsia="宋体" w:cs="Times New Roman"/>
                      <w:color w:val="auto"/>
                      <w:sz w:val="21"/>
                      <w:szCs w:val="21"/>
                      <w:lang w:val="en-US" w:eastAsia="zh-CN"/>
                    </w:rPr>
                    <w:t>。</w:t>
                  </w:r>
                </w:p>
                <w:p w14:paraId="57D5131B">
                  <w:pPr>
                    <w:snapToGrid w:val="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2.本项目恶臭气体经</w:t>
                  </w:r>
                  <w:r>
                    <w:rPr>
                      <w:rFonts w:hint="default" w:ascii="Times New Roman" w:hAnsi="Times New Roman" w:eastAsia="宋体" w:cs="Times New Roman"/>
                      <w:color w:val="auto"/>
                      <w:sz w:val="21"/>
                      <w:szCs w:val="21"/>
                      <w:lang w:val="en-US" w:eastAsia="zh-CN"/>
                    </w:rPr>
                    <w:t>除臭后</w:t>
                  </w:r>
                  <w:r>
                    <w:rPr>
                      <w:rFonts w:hint="default" w:ascii="Times New Roman" w:hAnsi="Times New Roman" w:eastAsia="宋体" w:cs="Times New Roman"/>
                      <w:color w:val="auto"/>
                      <w:sz w:val="21"/>
                      <w:szCs w:val="21"/>
                    </w:rPr>
                    <w:t>达标排放。</w:t>
                  </w:r>
                </w:p>
                <w:p w14:paraId="78409177">
                  <w:pPr>
                    <w:snapToGrid w:val="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3.本项目固体废物均得到合理处置。</w:t>
                  </w:r>
                </w:p>
                <w:p w14:paraId="294ABE0B">
                  <w:pPr>
                    <w:snapToGrid w:val="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4.本项目无粉状物料堆场。</w:t>
                  </w:r>
                </w:p>
                <w:p w14:paraId="6B18AEC3">
                  <w:pPr>
                    <w:snapToGrid w:val="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5.本项目不涉及燃煤。</w:t>
                  </w:r>
                </w:p>
              </w:tc>
              <w:tc>
                <w:tcPr>
                  <w:tcW w:w="437" w:type="dxa"/>
                  <w:noWrap w:val="0"/>
                  <w:vAlign w:val="center"/>
                </w:tcPr>
                <w:p w14:paraId="6AAF937D">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3F72C6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jc w:val="center"/>
              </w:trPr>
              <w:tc>
                <w:tcPr>
                  <w:tcW w:w="899" w:type="dxa"/>
                  <w:vMerge w:val="continue"/>
                  <w:noWrap w:val="0"/>
                  <w:vAlign w:val="center"/>
                </w:tcPr>
                <w:p w14:paraId="1347EC49">
                  <w:pPr>
                    <w:adjustRightInd w:val="0"/>
                    <w:snapToGrid w:val="0"/>
                    <w:jc w:val="center"/>
                    <w:rPr>
                      <w:rFonts w:hint="default" w:ascii="Times New Roman" w:hAnsi="Times New Roman" w:eastAsia="宋体" w:cs="Times New Roman"/>
                      <w:color w:val="auto"/>
                      <w:sz w:val="21"/>
                      <w:szCs w:val="21"/>
                    </w:rPr>
                  </w:pPr>
                </w:p>
              </w:tc>
              <w:tc>
                <w:tcPr>
                  <w:tcW w:w="814" w:type="dxa"/>
                  <w:vMerge w:val="continue"/>
                  <w:noWrap w:val="0"/>
                  <w:vAlign w:val="center"/>
                </w:tcPr>
                <w:p w14:paraId="672BF451">
                  <w:pPr>
                    <w:adjustRightInd w:val="0"/>
                    <w:snapToGrid w:val="0"/>
                    <w:jc w:val="center"/>
                    <w:rPr>
                      <w:rFonts w:hint="default" w:ascii="Times New Roman" w:hAnsi="Times New Roman" w:eastAsia="宋体" w:cs="Times New Roman"/>
                      <w:color w:val="auto"/>
                      <w:sz w:val="21"/>
                      <w:szCs w:val="21"/>
                    </w:rPr>
                  </w:pPr>
                </w:p>
              </w:tc>
              <w:tc>
                <w:tcPr>
                  <w:tcW w:w="628" w:type="dxa"/>
                  <w:vMerge w:val="continue"/>
                  <w:noWrap w:val="0"/>
                  <w:vAlign w:val="center"/>
                </w:tcPr>
                <w:p w14:paraId="53B6EAED">
                  <w:pPr>
                    <w:adjustRightInd w:val="0"/>
                    <w:snapToGrid w:val="0"/>
                    <w:jc w:val="center"/>
                    <w:rPr>
                      <w:rFonts w:hint="default" w:ascii="Times New Roman" w:hAnsi="Times New Roman" w:eastAsia="宋体" w:cs="Times New Roman"/>
                      <w:color w:val="auto"/>
                      <w:sz w:val="21"/>
                      <w:szCs w:val="21"/>
                    </w:rPr>
                  </w:pPr>
                </w:p>
              </w:tc>
              <w:tc>
                <w:tcPr>
                  <w:tcW w:w="465" w:type="dxa"/>
                  <w:noWrap w:val="0"/>
                  <w:vAlign w:val="center"/>
                </w:tcPr>
                <w:p w14:paraId="5ED9A33B">
                  <w:pPr>
                    <w:snapToGrid w:val="0"/>
                    <w:spacing w:line="192"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资源利用效率要求</w:t>
                  </w:r>
                </w:p>
              </w:tc>
              <w:tc>
                <w:tcPr>
                  <w:tcW w:w="2000" w:type="dxa"/>
                  <w:noWrap w:val="0"/>
                  <w:vAlign w:val="center"/>
                </w:tcPr>
                <w:p w14:paraId="75CBFE3C">
                  <w:pPr>
                    <w:snapToGrid w:val="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严控地下水超采。新建、改建、扩建的高耗水工业项目，禁止擅自使用地下水。食品、制药等项目取用地下水，须经有管理权限的水行政主管部门批准。</w:t>
                  </w:r>
                </w:p>
              </w:tc>
              <w:tc>
                <w:tcPr>
                  <w:tcW w:w="1682" w:type="dxa"/>
                  <w:noWrap w:val="0"/>
                  <w:vAlign w:val="center"/>
                </w:tcPr>
                <w:p w14:paraId="16290145">
                  <w:pPr>
                    <w:snapToGrid w:val="0"/>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本项目不涉及地下水开采。本项目不属于高耗水项目。</w:t>
                  </w:r>
                </w:p>
              </w:tc>
              <w:tc>
                <w:tcPr>
                  <w:tcW w:w="437" w:type="dxa"/>
                  <w:noWrap w:val="0"/>
                  <w:vAlign w:val="center"/>
                </w:tcPr>
                <w:p w14:paraId="03AFD0C3">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bl>
          <w:p w14:paraId="766D997D">
            <w:pPr>
              <w:autoSpaceDE w:val="0"/>
              <w:autoSpaceDN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2.选址合理性分析</w:t>
            </w:r>
          </w:p>
          <w:p w14:paraId="65A6564E">
            <w:pPr>
              <w:autoSpaceDE w:val="0"/>
              <w:autoSpaceDN w:val="0"/>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本项目为</w:t>
            </w:r>
            <w:r>
              <w:rPr>
                <w:rFonts w:hint="default" w:ascii="Times New Roman" w:hAnsi="Times New Roman" w:eastAsia="宋体" w:cs="Times New Roman"/>
                <w:color w:val="auto"/>
                <w:sz w:val="24"/>
                <w:highlight w:val="none"/>
                <w:lang w:eastAsia="zh-CN"/>
              </w:rPr>
              <w:t>污水处理厂</w:t>
            </w:r>
            <w:r>
              <w:rPr>
                <w:rFonts w:hint="default" w:ascii="Times New Roman" w:hAnsi="Times New Roman" w:eastAsia="宋体" w:cs="Times New Roman"/>
                <w:color w:val="auto"/>
                <w:sz w:val="24"/>
                <w:highlight w:val="none"/>
                <w:lang w:val="en-US" w:eastAsia="zh-CN"/>
              </w:rPr>
              <w:t>更新</w:t>
            </w:r>
            <w:r>
              <w:rPr>
                <w:rFonts w:hint="default" w:ascii="Times New Roman" w:hAnsi="Times New Roman" w:eastAsia="宋体" w:cs="Times New Roman"/>
                <w:color w:val="auto"/>
                <w:sz w:val="24"/>
                <w:highlight w:val="none"/>
                <w:lang w:eastAsia="zh-CN"/>
              </w:rPr>
              <w:t>改造工程</w:t>
            </w:r>
            <w:r>
              <w:rPr>
                <w:rFonts w:hint="default" w:ascii="Times New Roman" w:hAnsi="Times New Roman" w:eastAsia="宋体" w:cs="Times New Roman"/>
                <w:color w:val="auto"/>
                <w:sz w:val="24"/>
                <w:highlight w:val="none"/>
              </w:rPr>
              <w:t>，位于鄂尔多斯市</w:t>
            </w:r>
            <w:r>
              <w:rPr>
                <w:rFonts w:hint="default" w:ascii="Times New Roman" w:hAnsi="Times New Roman" w:eastAsia="宋体" w:cs="Times New Roman"/>
                <w:color w:val="auto"/>
                <w:sz w:val="24"/>
                <w:highlight w:val="none"/>
                <w:lang w:eastAsia="zh-CN"/>
              </w:rPr>
              <w:t>杭锦旗锡尼镇污水处理厂厂区内</w:t>
            </w:r>
            <w:r>
              <w:rPr>
                <w:rFonts w:hint="default" w:ascii="Times New Roman" w:hAnsi="Times New Roman" w:eastAsia="宋体" w:cs="Times New Roman"/>
                <w:color w:val="auto"/>
                <w:sz w:val="24"/>
                <w:highlight w:val="none"/>
              </w:rPr>
              <w:t>，所在区域未占用农田、林地、自然保护区、风景名胜区等</w:t>
            </w:r>
            <w:r>
              <w:rPr>
                <w:rFonts w:hint="default" w:ascii="Times New Roman" w:hAnsi="Times New Roman" w:eastAsia="宋体" w:cs="Times New Roman"/>
                <w:color w:val="auto"/>
                <w:sz w:val="24"/>
                <w:highlight w:val="none"/>
                <w:lang w:eastAsia="zh-CN"/>
              </w:rPr>
              <w:t>。</w:t>
            </w:r>
          </w:p>
          <w:p w14:paraId="3949DEF4">
            <w:pPr>
              <w:autoSpaceDE w:val="0"/>
              <w:autoSpaceDN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本项目厂址500</w:t>
            </w:r>
            <w:r>
              <w:rPr>
                <w:rFonts w:hint="eastAsia" w:cs="Times New Roman"/>
                <w:bCs/>
                <w:color w:val="auto"/>
                <w:sz w:val="24"/>
                <w:highlight w:val="none"/>
                <w:lang w:eastAsia="zh-CN"/>
              </w:rPr>
              <w:t>m</w:t>
            </w:r>
            <w:r>
              <w:rPr>
                <w:rFonts w:hint="default" w:ascii="Times New Roman" w:hAnsi="Times New Roman" w:eastAsia="宋体" w:cs="Times New Roman"/>
                <w:bCs/>
                <w:color w:val="auto"/>
                <w:sz w:val="24"/>
                <w:highlight w:val="none"/>
              </w:rPr>
              <w:t>范围内无居民等敏感目标，且采取报告表中提出的各项环保措施后，本项目的建设对环境影响较小。因此，本项目选址合理</w:t>
            </w:r>
            <w:r>
              <w:rPr>
                <w:rFonts w:hint="default" w:ascii="Times New Roman" w:hAnsi="Times New Roman" w:eastAsia="宋体" w:cs="Times New Roman"/>
                <w:color w:val="auto"/>
                <w:sz w:val="24"/>
                <w:highlight w:val="none"/>
              </w:rPr>
              <w:t>。</w:t>
            </w:r>
          </w:p>
          <w:p w14:paraId="61FB10B4">
            <w:pPr>
              <w:autoSpaceDE w:val="0"/>
              <w:autoSpaceDN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3.产业政策符合性分析</w:t>
            </w:r>
          </w:p>
          <w:p w14:paraId="1CB78A1F">
            <w:pPr>
              <w:autoSpaceDE w:val="0"/>
              <w:autoSpaceDN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w:t>
            </w:r>
            <w:r>
              <w:rPr>
                <w:rFonts w:hint="default" w:ascii="Times New Roman" w:hAnsi="Times New Roman" w:eastAsia="宋体" w:cs="Times New Roman"/>
                <w:color w:val="auto"/>
                <w:sz w:val="24"/>
                <w:highlight w:val="none"/>
                <w:lang w:val="en-US" w:eastAsia="zh-CN"/>
              </w:rPr>
              <w:t>为</w:t>
            </w:r>
            <w:r>
              <w:rPr>
                <w:rFonts w:hint="default" w:ascii="Times New Roman" w:hAnsi="Times New Roman" w:eastAsia="宋体" w:cs="Times New Roman"/>
                <w:color w:val="auto"/>
                <w:sz w:val="24"/>
                <w:highlight w:val="none"/>
                <w:lang w:eastAsia="zh-CN"/>
              </w:rPr>
              <w:t>污水处理厂改造工程</w:t>
            </w:r>
            <w:r>
              <w:rPr>
                <w:rFonts w:hint="default" w:ascii="Times New Roman" w:hAnsi="Times New Roman" w:eastAsia="宋体" w:cs="Times New Roman"/>
                <w:color w:val="auto"/>
                <w:sz w:val="24"/>
                <w:highlight w:val="none"/>
              </w:rPr>
              <w:t>，项目属于</w:t>
            </w:r>
            <w:r>
              <w:rPr>
                <w:rFonts w:hint="default" w:ascii="Times New Roman" w:hAnsi="Times New Roman" w:eastAsia="宋体" w:cs="Times New Roman"/>
                <w:bCs/>
                <w:color w:val="auto"/>
                <w:sz w:val="24"/>
                <w:highlight w:val="none"/>
              </w:rPr>
              <w:t>《产业结构调整指导目录（2024年本）》（中华人民共和国国家发展和改革委员会令第7号，自2024年2月1日起施行）</w:t>
            </w:r>
            <w:r>
              <w:rPr>
                <w:rFonts w:hint="default" w:ascii="Times New Roman" w:hAnsi="Times New Roman" w:eastAsia="宋体" w:cs="Times New Roman"/>
                <w:color w:val="auto"/>
                <w:sz w:val="24"/>
                <w:highlight w:val="none"/>
              </w:rPr>
              <w:t>中</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鼓励类</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中</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四十二、环境保护与资源节约综合利用，3．城镇污水垃圾处理：城镇生活污水处理</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，项目的建设符合国家产业政策。</w:t>
            </w:r>
          </w:p>
        </w:tc>
      </w:tr>
    </w:tbl>
    <w:p w14:paraId="478076B7">
      <w:pPr>
        <w:spacing w:line="360" w:lineRule="auto"/>
        <w:outlineLvl w:val="0"/>
        <w:rPr>
          <w:rFonts w:hint="default" w:ascii="Times New Roman" w:hAnsi="Times New Roman" w:eastAsia="宋体" w:cs="Times New Roman"/>
          <w:color w:val="auto"/>
          <w:sz w:val="30"/>
          <w:highlight w:val="none"/>
        </w:r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356A75E5">
      <w:pPr>
        <w:pStyle w:val="8"/>
        <w:jc w:val="center"/>
        <w:outlineLvl w:val="0"/>
        <w:rPr>
          <w:rFonts w:hint="default" w:ascii="Times New Roman" w:hAnsi="Times New Roman" w:eastAsia="宋体" w:cs="Times New Roman"/>
          <w:b/>
          <w:bCs/>
          <w:snapToGrid w:val="0"/>
          <w:color w:val="auto"/>
          <w:sz w:val="30"/>
          <w:szCs w:val="30"/>
          <w:highlight w:val="none"/>
        </w:rPr>
      </w:pPr>
      <w:r>
        <w:rPr>
          <w:rFonts w:hint="default" w:ascii="Times New Roman" w:hAnsi="Times New Roman" w:eastAsia="宋体" w:cs="Times New Roman"/>
          <w:b/>
          <w:bCs/>
          <w:snapToGrid w:val="0"/>
          <w:color w:val="auto"/>
          <w:sz w:val="30"/>
          <w:szCs w:val="30"/>
          <w:highlight w:val="none"/>
        </w:rPr>
        <w:t>二、建设项目工程分析</w:t>
      </w:r>
    </w:p>
    <w:tbl>
      <w:tblPr>
        <w:tblStyle w:val="10"/>
        <w:tblW w:w="490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26"/>
        <w:gridCol w:w="8355"/>
      </w:tblGrid>
      <w:tr w14:paraId="1F2600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70" w:hRule="atLeast"/>
          <w:jc w:val="center"/>
        </w:trPr>
        <w:tc>
          <w:tcPr>
            <w:tcW w:w="296" w:type="pct"/>
            <w:vAlign w:val="center"/>
          </w:tcPr>
          <w:p w14:paraId="786901F3">
            <w:pPr>
              <w:pStyle w:val="8"/>
              <w:adjustRightInd w:val="0"/>
              <w:snapToGrid w:val="0"/>
              <w:spacing w:before="0" w:beforeAutospacing="0" w:after="0" w:afterAutospacing="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建设内容</w:t>
            </w:r>
          </w:p>
        </w:tc>
        <w:tc>
          <w:tcPr>
            <w:tcW w:w="4703" w:type="pct"/>
          </w:tcPr>
          <w:p w14:paraId="2CCCE9EE">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jc w:val="left"/>
              <w:textAlignment w:val="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1.项目由来</w:t>
            </w:r>
          </w:p>
          <w:p w14:paraId="4ED18644">
            <w:pPr>
              <w:spacing w:line="360" w:lineRule="auto"/>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杭锦旗锡尼镇污水处理厂承担着锡尼镇及周边部分区域的污水处理任务。随着杭锦旗经济的快速发展和人口的持续增长，污水产生量不断攀升。现有污水处理厂的大部分设备为2008年购置，2009年投入运行。部分建筑均需</w:t>
            </w:r>
            <w:r>
              <w:rPr>
                <w:rFonts w:hint="eastAsia" w:cs="Times New Roman"/>
                <w:bCs/>
                <w:color w:val="auto"/>
                <w:sz w:val="24"/>
                <w:highlight w:val="none"/>
                <w:lang w:val="en-US" w:eastAsia="zh-CN"/>
              </w:rPr>
              <w:t>进行</w:t>
            </w:r>
            <w:r>
              <w:rPr>
                <w:rFonts w:hint="default" w:ascii="Times New Roman" w:hAnsi="Times New Roman" w:eastAsia="宋体" w:cs="Times New Roman"/>
                <w:bCs/>
                <w:color w:val="auto"/>
                <w:sz w:val="24"/>
                <w:highlight w:val="none"/>
                <w:lang w:val="en-US" w:eastAsia="zh-CN"/>
              </w:rPr>
              <w:t>主体维修及内部装修。一些关键设备，如水泵、曝气装置等，出现故障的频率逐渐增加，不仅影响了污水处理的连续性，还增加了维修成本和运行风险。</w:t>
            </w:r>
          </w:p>
          <w:p w14:paraId="7D9A3187">
            <w:pPr>
              <w:spacing w:line="360" w:lineRule="auto"/>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经过现场实地考察和污水厂管理运行人员充分交流后，发现目前污水处理厂存在如下问题：出水总氮不稳定，达不到一级A标准，急需优化脱氮除磷；设备老化严重，需更换改造；污泥脱水出泥效果不佳，需优化工艺加快脱泥进程；厂区自控系统、监控系统不全面，需统一规划设计；无除臭设施。</w:t>
            </w:r>
          </w:p>
          <w:p w14:paraId="42345F17">
            <w:pPr>
              <w:spacing w:line="360" w:lineRule="auto"/>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锡尼镇污水处理厂一期工程初始设计处理能力为5000t/d，2019年二期工程扩建后分担一期污水处理负荷，使一期污水厂处理能力减为原设计规模的40%，即2000t/d，从而提高水</w:t>
            </w:r>
            <w:r>
              <w:rPr>
                <w:rFonts w:hint="default" w:ascii="Times New Roman" w:hAnsi="Times New Roman" w:cs="Times New Roman"/>
                <w:bCs/>
                <w:color w:val="auto"/>
                <w:sz w:val="24"/>
                <w:highlight w:val="none"/>
                <w:lang w:val="en-US" w:eastAsia="zh-CN"/>
              </w:rPr>
              <w:t>力停</w:t>
            </w:r>
            <w:r>
              <w:rPr>
                <w:rFonts w:hint="default" w:ascii="Times New Roman" w:hAnsi="Times New Roman" w:eastAsia="宋体" w:cs="Times New Roman"/>
                <w:bCs/>
                <w:color w:val="auto"/>
                <w:sz w:val="24"/>
                <w:highlight w:val="none"/>
                <w:lang w:val="en-US" w:eastAsia="zh-CN"/>
              </w:rPr>
              <w:t>留时间，从而保证污水可以稳定达标。随着城区排水规模持续增加，现运行</w:t>
            </w:r>
            <w:r>
              <w:rPr>
                <w:rFonts w:hint="eastAsia" w:cs="Times New Roman"/>
                <w:bCs/>
                <w:color w:val="auto"/>
                <w:sz w:val="24"/>
                <w:highlight w:val="none"/>
                <w:lang w:val="en-US" w:eastAsia="zh-CN"/>
              </w:rPr>
              <w:t>的</w:t>
            </w:r>
            <w:r>
              <w:rPr>
                <w:rFonts w:hint="default" w:ascii="Times New Roman" w:hAnsi="Times New Roman" w:eastAsia="宋体" w:cs="Times New Roman"/>
                <w:bCs/>
                <w:color w:val="auto"/>
                <w:sz w:val="24"/>
                <w:highlight w:val="none"/>
                <w:lang w:val="en-US" w:eastAsia="zh-CN"/>
              </w:rPr>
              <w:t>二期污水处理厂处于高负荷运行</w:t>
            </w:r>
            <w:r>
              <w:rPr>
                <w:rFonts w:hint="eastAsia" w:cs="Times New Roman"/>
                <w:bCs/>
                <w:color w:val="auto"/>
                <w:sz w:val="24"/>
                <w:highlight w:val="none"/>
                <w:lang w:val="en-US" w:eastAsia="zh-CN"/>
              </w:rPr>
              <w:t>状态，</w:t>
            </w:r>
            <w:r>
              <w:rPr>
                <w:rFonts w:hint="default" w:ascii="Times New Roman" w:hAnsi="Times New Roman" w:eastAsia="宋体" w:cs="Times New Roman"/>
                <w:bCs/>
                <w:color w:val="auto"/>
                <w:sz w:val="24"/>
                <w:highlight w:val="none"/>
                <w:lang w:val="en-US" w:eastAsia="zh-CN"/>
              </w:rPr>
              <w:t>急需改造一期工程使其满足达标处理需要。本项目由杭锦旗城市公用事业服务中心负责建设，后期由内蒙古德源水务有限公司负责运营。</w:t>
            </w:r>
          </w:p>
          <w:p w14:paraId="49D89BC1">
            <w:pPr>
              <w:spacing w:line="360" w:lineRule="auto"/>
              <w:ind w:firstLine="480" w:firstLineChars="200"/>
              <w:jc w:val="left"/>
              <w:rPr>
                <w:rFonts w:hint="default" w:ascii="Times New Roman" w:hAnsi="Times New Roman" w:eastAsia="宋体" w:cs="Times New Roman"/>
                <w:bCs/>
                <w:color w:val="auto"/>
                <w:sz w:val="24"/>
                <w:highlight w:val="none"/>
                <w:lang w:bidi="zh-TW"/>
              </w:rPr>
            </w:pPr>
            <w:r>
              <w:rPr>
                <w:rFonts w:hint="default" w:ascii="Times New Roman" w:hAnsi="Times New Roman" w:eastAsia="宋体" w:cs="Times New Roman"/>
                <w:bCs/>
                <w:color w:val="auto"/>
                <w:sz w:val="24"/>
                <w:highlight w:val="none"/>
                <w:lang w:val="en-US" w:eastAsia="zh-CN" w:bidi="zh-TW"/>
              </w:rPr>
              <w:t>杭锦旗锡尼镇污水处理厂一期工程现有处理能力为2000t/d，处理工艺采用AAO法+磁混凝澄清池工艺，二期工程现有处理能力为6500t/d，处理工艺采用五段Bardenpho+磁混凝澄清池。本次改造后一期污水处理规模达到5000t/d，二期工程</w:t>
            </w:r>
            <w:r>
              <w:rPr>
                <w:rFonts w:hint="eastAsia" w:cs="Times New Roman"/>
                <w:bCs/>
                <w:color w:val="auto"/>
                <w:sz w:val="24"/>
                <w:highlight w:val="none"/>
                <w:lang w:val="en-US" w:eastAsia="zh-CN" w:bidi="zh-TW"/>
              </w:rPr>
              <w:t>规模</w:t>
            </w:r>
            <w:r>
              <w:rPr>
                <w:rFonts w:hint="default" w:ascii="Times New Roman" w:hAnsi="Times New Roman" w:eastAsia="宋体" w:cs="Times New Roman"/>
                <w:bCs/>
                <w:color w:val="auto"/>
                <w:sz w:val="24"/>
                <w:highlight w:val="none"/>
                <w:lang w:val="en-US" w:eastAsia="zh-CN" w:bidi="zh-TW"/>
              </w:rPr>
              <w:t>不变，合计污水厂总体处理能力为11500t/d。</w:t>
            </w:r>
          </w:p>
          <w:p w14:paraId="5C6B3DD4">
            <w:pPr>
              <w:spacing w:line="360" w:lineRule="auto"/>
              <w:ind w:firstLine="480" w:firstLineChars="200"/>
              <w:jc w:val="left"/>
              <w:rPr>
                <w:rFonts w:hint="default" w:ascii="Times New Roman" w:hAnsi="Times New Roman" w:eastAsia="宋体" w:cs="Times New Roman"/>
                <w:bCs/>
                <w:color w:val="auto"/>
                <w:sz w:val="24"/>
                <w:highlight w:val="none"/>
                <w:lang w:bidi="zh-TW"/>
              </w:rPr>
            </w:pPr>
            <w:r>
              <w:rPr>
                <w:rFonts w:hint="default" w:ascii="Times New Roman" w:hAnsi="Times New Roman" w:eastAsia="宋体" w:cs="Times New Roman"/>
                <w:bCs/>
                <w:color w:val="auto"/>
                <w:sz w:val="24"/>
                <w:highlight w:val="none"/>
                <w:lang w:bidi="zh-TW"/>
              </w:rPr>
              <w:t>根据《建设项目环境影响评价分类管理名录（2021版）》，本项目属于</w:t>
            </w:r>
            <w:r>
              <w:rPr>
                <w:rFonts w:hint="eastAsia" w:ascii="Times New Roman" w:hAnsi="Times New Roman" w:eastAsia="宋体" w:cs="Times New Roman"/>
                <w:bCs/>
                <w:color w:val="auto"/>
                <w:sz w:val="24"/>
                <w:highlight w:val="none"/>
                <w:lang w:eastAsia="zh-CN" w:bidi="zh-TW"/>
              </w:rPr>
              <w:t>“</w:t>
            </w:r>
            <w:r>
              <w:rPr>
                <w:rFonts w:hint="default" w:ascii="Times New Roman" w:hAnsi="Times New Roman" w:eastAsia="宋体" w:cs="Times New Roman"/>
                <w:bCs/>
                <w:color w:val="auto"/>
                <w:sz w:val="24"/>
                <w:highlight w:val="none"/>
                <w:lang w:val="en-US" w:eastAsia="zh-CN" w:bidi="zh-TW"/>
              </w:rPr>
              <w:t>四十三、水的生产和供应业</w:t>
            </w:r>
            <w:r>
              <w:rPr>
                <w:rFonts w:hint="eastAsia" w:ascii="Times New Roman" w:hAnsi="Times New Roman" w:eastAsia="宋体" w:cs="Times New Roman"/>
                <w:bCs/>
                <w:color w:val="auto"/>
                <w:sz w:val="24"/>
                <w:highlight w:val="none"/>
                <w:lang w:eastAsia="zh-CN" w:bidi="zh-TW"/>
              </w:rPr>
              <w:t>”</w:t>
            </w:r>
            <w:r>
              <w:rPr>
                <w:rFonts w:hint="default" w:ascii="Times New Roman" w:hAnsi="Times New Roman" w:eastAsia="宋体" w:cs="Times New Roman"/>
                <w:bCs/>
                <w:color w:val="auto"/>
                <w:sz w:val="24"/>
                <w:highlight w:val="none"/>
                <w:lang w:bidi="zh-TW"/>
              </w:rPr>
              <w:t>中</w:t>
            </w:r>
            <w:r>
              <w:rPr>
                <w:rFonts w:hint="eastAsia" w:ascii="Times New Roman" w:hAnsi="Times New Roman" w:eastAsia="宋体" w:cs="Times New Roman"/>
                <w:bCs/>
                <w:color w:val="auto"/>
                <w:sz w:val="24"/>
                <w:highlight w:val="none"/>
                <w:lang w:eastAsia="zh-CN" w:bidi="zh-TW"/>
              </w:rPr>
              <w:t>“</w:t>
            </w:r>
            <w:r>
              <w:rPr>
                <w:rFonts w:hint="default" w:ascii="Times New Roman" w:hAnsi="Times New Roman" w:eastAsia="宋体" w:cs="Times New Roman"/>
                <w:bCs/>
                <w:color w:val="auto"/>
                <w:sz w:val="24"/>
                <w:highlight w:val="none"/>
                <w:lang w:val="en-US" w:eastAsia="zh-CN"/>
              </w:rPr>
              <w:t>95</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污水处理及其再生利用</w:t>
            </w:r>
            <w:r>
              <w:rPr>
                <w:rFonts w:hint="eastAsia" w:ascii="Times New Roman" w:hAnsi="Times New Roman" w:eastAsia="宋体" w:cs="Times New Roman"/>
                <w:bCs/>
                <w:color w:val="auto"/>
                <w:sz w:val="24"/>
                <w:highlight w:val="none"/>
                <w:lang w:eastAsia="zh-CN" w:bidi="zh-TW"/>
              </w:rPr>
              <w:t>”</w:t>
            </w:r>
            <w:r>
              <w:rPr>
                <w:rFonts w:hint="default" w:ascii="Times New Roman" w:hAnsi="Times New Roman" w:eastAsia="宋体" w:cs="Times New Roman"/>
                <w:bCs/>
                <w:color w:val="auto"/>
                <w:sz w:val="24"/>
                <w:highlight w:val="none"/>
                <w:lang w:bidi="zh-TW"/>
              </w:rPr>
              <w:t>中的</w:t>
            </w:r>
            <w:r>
              <w:rPr>
                <w:rFonts w:hint="eastAsia" w:ascii="Times New Roman" w:hAnsi="Times New Roman" w:eastAsia="宋体" w:cs="Times New Roman"/>
                <w:bCs/>
                <w:color w:val="auto"/>
                <w:sz w:val="24"/>
                <w:highlight w:val="none"/>
                <w:lang w:eastAsia="zh-CN" w:bidi="zh-TW"/>
              </w:rPr>
              <w:t>“</w:t>
            </w:r>
            <w:r>
              <w:rPr>
                <w:rFonts w:hint="default" w:ascii="Times New Roman" w:hAnsi="Times New Roman" w:eastAsia="宋体" w:cs="Times New Roman"/>
                <w:bCs/>
                <w:color w:val="auto"/>
                <w:sz w:val="24"/>
                <w:highlight w:val="none"/>
                <w:lang w:val="en-US" w:eastAsia="zh-CN" w:bidi="zh-TW"/>
              </w:rPr>
              <w:t>新建、扩建日处理10万吨以下500吨及以上城乡污水处理的</w:t>
            </w:r>
            <w:r>
              <w:rPr>
                <w:rFonts w:hint="eastAsia" w:ascii="Times New Roman" w:hAnsi="Times New Roman" w:eastAsia="宋体" w:cs="Times New Roman"/>
                <w:bCs/>
                <w:color w:val="auto"/>
                <w:sz w:val="24"/>
                <w:highlight w:val="none"/>
                <w:lang w:eastAsia="zh-CN" w:bidi="zh-TW"/>
              </w:rPr>
              <w:t>”</w:t>
            </w:r>
            <w:r>
              <w:rPr>
                <w:rFonts w:hint="default" w:ascii="Times New Roman" w:hAnsi="Times New Roman" w:eastAsia="宋体" w:cs="Times New Roman"/>
                <w:bCs/>
                <w:color w:val="auto"/>
                <w:sz w:val="24"/>
                <w:highlight w:val="none"/>
                <w:lang w:bidi="zh-TW"/>
              </w:rPr>
              <w:t>，需编制环境影响报告表。因此，</w:t>
            </w:r>
            <w:r>
              <w:rPr>
                <w:rFonts w:hint="default" w:ascii="Times New Roman" w:hAnsi="Times New Roman" w:eastAsia="宋体" w:cs="Times New Roman"/>
                <w:bCs/>
                <w:color w:val="auto"/>
                <w:sz w:val="24"/>
                <w:highlight w:val="none"/>
                <w:lang w:eastAsia="zh-CN"/>
              </w:rPr>
              <w:t>杭锦旗城市公用事业服务中心</w:t>
            </w:r>
            <w:r>
              <w:rPr>
                <w:rFonts w:hint="default" w:ascii="Times New Roman" w:hAnsi="Times New Roman" w:eastAsia="宋体" w:cs="Times New Roman"/>
                <w:bCs/>
                <w:color w:val="auto"/>
                <w:sz w:val="24"/>
                <w:highlight w:val="none"/>
                <w:lang w:bidi="zh-TW"/>
              </w:rPr>
              <w:t>委托我公司承担了本项目的环境影响评价工作。接到委托后，我公司第一时间进行现场踏勘、必要的工程分析，依据《建设项目环境影响报告表编制技术指南（污染影响类）（试行）》的要求编制完成了本项目的环境影响评价报告表。</w:t>
            </w:r>
          </w:p>
          <w:p w14:paraId="0AC3F47C">
            <w:pPr>
              <w:spacing w:line="360" w:lineRule="auto"/>
              <w:ind w:firstLine="482" w:firstLineChars="200"/>
              <w:jc w:val="left"/>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rPr>
              <w:t>2.</w:t>
            </w:r>
            <w:r>
              <w:rPr>
                <w:rFonts w:hint="default" w:ascii="Times New Roman" w:hAnsi="Times New Roman" w:eastAsia="宋体" w:cs="Times New Roman"/>
                <w:b/>
                <w:bCs/>
                <w:color w:val="auto"/>
                <w:sz w:val="24"/>
                <w:highlight w:val="none"/>
                <w:lang w:val="en-US" w:eastAsia="zh-CN"/>
              </w:rPr>
              <w:t>现有工程概况</w:t>
            </w:r>
          </w:p>
          <w:p w14:paraId="648AAFBB">
            <w:pPr>
              <w:spacing w:line="360" w:lineRule="auto"/>
              <w:ind w:firstLine="482" w:firstLineChars="200"/>
              <w:jc w:val="left"/>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2.1现有项目环保手续履行情况</w:t>
            </w:r>
          </w:p>
          <w:p w14:paraId="024EE822">
            <w:pPr>
              <w:spacing w:line="360" w:lineRule="auto"/>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杭锦旗锡尼镇污水处理厂最初于2006年4月24日取得《鄂尔多斯市环境保护局关于鄂尔多斯市杭锦旗锡尼镇排水工程项目环境影响报告表的批复》（鄂环监发〔2006〕55号），并于2010年9月15日取得《鄂尔多斯市环境保护局关于鄂尔多斯市杭锦旗锡尼镇排水工程竣工环境保护验收意见的批复》（鄂环察验〔2010〕27号）完成验收工作，设计处理能力为5000t/d。该污水厂于2015年6月23日取得《鄂尔多斯市环境保护局关于鄂尔多斯市杭锦旗污水处理厂提标改造工程环境影响报告表的批复》（鄂环评字〔2015〕227号），对</w:t>
            </w:r>
            <w:r>
              <w:rPr>
                <w:rFonts w:hint="eastAsia" w:cs="Times New Roman"/>
                <w:bCs/>
                <w:color w:val="auto"/>
                <w:sz w:val="24"/>
                <w:highlight w:val="none"/>
                <w:lang w:val="en-US" w:eastAsia="zh-CN"/>
              </w:rPr>
              <w:t>该</w:t>
            </w:r>
            <w:r>
              <w:rPr>
                <w:rFonts w:hint="default" w:ascii="Times New Roman" w:hAnsi="Times New Roman" w:eastAsia="宋体" w:cs="Times New Roman"/>
                <w:bCs/>
                <w:color w:val="auto"/>
                <w:sz w:val="24"/>
                <w:highlight w:val="none"/>
                <w:lang w:val="en-US" w:eastAsia="zh-CN"/>
              </w:rPr>
              <w:t>污水厂进行了提标改造</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本次改造不扩大处理能力，对处理工艺进行改造。2018年对新增污水厂进行扩建，于2018年4月23日取得《杭锦旗环境保护局关于杭锦旗锡尼镇污水处理厂扩建工程环境影响报告表的批复》（杭环评字〔2018〕9号），并于2019年8月14日完成自主验收工作。该扩建工程完成后处理能力为6500t/d（二期），原有污水厂处理能力减为原设计规模（5000t/d，一期）的40%，即2000t/d，从而提高水</w:t>
            </w:r>
            <w:r>
              <w:rPr>
                <w:rFonts w:hint="eastAsia" w:cs="Times New Roman"/>
                <w:bCs/>
                <w:color w:val="auto"/>
                <w:sz w:val="24"/>
                <w:highlight w:val="none"/>
                <w:lang w:val="en-US" w:eastAsia="zh-CN"/>
              </w:rPr>
              <w:t>力停</w:t>
            </w:r>
            <w:r>
              <w:rPr>
                <w:rFonts w:hint="default" w:ascii="Times New Roman" w:hAnsi="Times New Roman" w:eastAsia="宋体" w:cs="Times New Roman"/>
                <w:bCs/>
                <w:color w:val="auto"/>
                <w:sz w:val="24"/>
                <w:highlight w:val="none"/>
                <w:lang w:val="en-US" w:eastAsia="zh-CN"/>
              </w:rPr>
              <w:t>留时间，从而保证污水可以稳定达标，最终全厂处理能力为8500t/d。</w:t>
            </w:r>
          </w:p>
          <w:p w14:paraId="5CC2BB0F">
            <w:pPr>
              <w:spacing w:line="360" w:lineRule="auto"/>
              <w:ind w:firstLine="482" w:firstLineChars="200"/>
              <w:jc w:val="left"/>
              <w:rPr>
                <w:rFonts w:hint="default" w:ascii="Times New Roman" w:hAnsi="Times New Roman" w:eastAsia="宋体" w:cs="Times New Roman"/>
                <w:b/>
                <w:bCs w:val="0"/>
                <w:color w:val="auto"/>
                <w:sz w:val="24"/>
                <w:highlight w:val="none"/>
                <w:lang w:val="en-US" w:eastAsia="zh-CN" w:bidi="zh-TW"/>
              </w:rPr>
            </w:pPr>
            <w:r>
              <w:rPr>
                <w:rFonts w:hint="default" w:ascii="Times New Roman" w:hAnsi="Times New Roman" w:eastAsia="宋体" w:cs="Times New Roman"/>
                <w:b/>
                <w:bCs w:val="0"/>
                <w:color w:val="auto"/>
                <w:sz w:val="24"/>
                <w:highlight w:val="none"/>
                <w:lang w:val="en-US" w:eastAsia="zh-CN" w:bidi="zh-TW"/>
              </w:rPr>
              <w:t>2.2现有项目建设情况</w:t>
            </w:r>
          </w:p>
          <w:p w14:paraId="5BCF70BC">
            <w:pPr>
              <w:spacing w:line="360" w:lineRule="auto"/>
              <w:ind w:firstLine="480" w:firstLineChars="200"/>
              <w:jc w:val="left"/>
              <w:rPr>
                <w:rFonts w:hint="default" w:ascii="Times New Roman" w:hAnsi="Times New Roman" w:eastAsia="宋体" w:cs="Times New Roman"/>
                <w:bCs/>
                <w:color w:val="auto"/>
                <w:sz w:val="24"/>
                <w:highlight w:val="none"/>
                <w:lang w:val="en-US" w:eastAsia="zh-CN" w:bidi="zh-TW"/>
              </w:rPr>
            </w:pPr>
            <w:r>
              <w:rPr>
                <w:rFonts w:hint="default" w:ascii="Times New Roman" w:hAnsi="Times New Roman" w:eastAsia="宋体" w:cs="Times New Roman"/>
                <w:bCs/>
                <w:color w:val="auto"/>
                <w:sz w:val="24"/>
                <w:highlight w:val="none"/>
                <w:lang w:val="en-US" w:eastAsia="zh-CN" w:bidi="zh-TW"/>
              </w:rPr>
              <w:t>杭锦旗锡尼镇污水处理厂一期工程设计处理能力为5000</w:t>
            </w:r>
            <w:r>
              <w:rPr>
                <w:rFonts w:hint="eastAsia" w:cs="Times New Roman"/>
                <w:bCs/>
                <w:color w:val="auto"/>
                <w:sz w:val="24"/>
                <w:highlight w:val="none"/>
                <w:vertAlign w:val="baseline"/>
                <w:lang w:val="en-US" w:eastAsia="zh-CN" w:bidi="zh-TW"/>
              </w:rPr>
              <w:t>t/d</w:t>
            </w:r>
            <w:r>
              <w:rPr>
                <w:rFonts w:hint="default" w:ascii="Times New Roman" w:hAnsi="Times New Roman" w:eastAsia="宋体" w:cs="Times New Roman"/>
                <w:bCs/>
                <w:color w:val="auto"/>
                <w:sz w:val="24"/>
                <w:highlight w:val="none"/>
                <w:lang w:val="en-US" w:eastAsia="zh-CN" w:bidi="zh-TW"/>
              </w:rPr>
              <w:t>，处理工艺采用A2/O法工艺，主要由预处理、A2/O池、二沉池、过滤、消毒池和污泥处理等几部分组成。于2009年8月建设运行。2015年进行了提标改造工程，增加了细格栅及曝气沉砂池、氧化池、厌氧池等，2017年新增了磁混凝澄清池。现阶段，污水厂一期工程因设备老旧等原因处理能力减为2000t/d。</w:t>
            </w:r>
          </w:p>
          <w:p w14:paraId="427CE0BB">
            <w:pPr>
              <w:spacing w:line="360" w:lineRule="auto"/>
              <w:ind w:firstLine="480" w:firstLineChars="200"/>
              <w:jc w:val="left"/>
              <w:rPr>
                <w:rFonts w:hint="default" w:ascii="Times New Roman" w:hAnsi="Times New Roman" w:eastAsia="宋体" w:cs="Times New Roman"/>
                <w:bCs/>
                <w:color w:val="auto"/>
                <w:sz w:val="24"/>
                <w:highlight w:val="none"/>
                <w:lang w:val="en-US" w:eastAsia="zh-CN" w:bidi="zh-TW"/>
              </w:rPr>
            </w:pPr>
            <w:r>
              <w:rPr>
                <w:rFonts w:hint="default" w:ascii="Times New Roman" w:hAnsi="Times New Roman" w:eastAsia="宋体" w:cs="Times New Roman"/>
                <w:bCs/>
                <w:color w:val="auto"/>
                <w:sz w:val="24"/>
                <w:highlight w:val="none"/>
                <w:lang w:val="en-US" w:eastAsia="zh-CN" w:bidi="zh-TW"/>
              </w:rPr>
              <w:t>污水厂二期工程处理能力为6500</w:t>
            </w:r>
            <w:r>
              <w:rPr>
                <w:rFonts w:hint="eastAsia" w:cs="Times New Roman"/>
                <w:bCs/>
                <w:color w:val="auto"/>
                <w:sz w:val="24"/>
                <w:highlight w:val="none"/>
                <w:vertAlign w:val="baseline"/>
                <w:lang w:val="en-US" w:eastAsia="zh-CN" w:bidi="zh-TW"/>
              </w:rPr>
              <w:t>t/d</w:t>
            </w:r>
            <w:r>
              <w:rPr>
                <w:rFonts w:hint="default" w:ascii="Times New Roman" w:hAnsi="Times New Roman" w:eastAsia="宋体" w:cs="Times New Roman"/>
                <w:bCs/>
                <w:color w:val="auto"/>
                <w:sz w:val="24"/>
                <w:highlight w:val="none"/>
                <w:lang w:val="en-US" w:eastAsia="zh-CN" w:bidi="zh-TW"/>
              </w:rPr>
              <w:t>，选择五段Bardenpho+磁混凝澄清池作为本工程的污水处理工艺，即生物处理段采用五段Bardenpho工艺（A/A/O/A/O五段工艺，采用能独立分别控制厌氧、第一缺氧、第一好氧、第二缺氧、第二好氧区域组成的生物除磷脱氮反应池），后续深度处理采用磁混凝澄清池，最后再用O</w:t>
            </w:r>
            <w:r>
              <w:rPr>
                <w:rFonts w:hint="default" w:ascii="Times New Roman" w:hAnsi="Times New Roman" w:eastAsia="宋体" w:cs="Times New Roman"/>
                <w:bCs/>
                <w:color w:val="auto"/>
                <w:sz w:val="24"/>
                <w:highlight w:val="none"/>
                <w:vertAlign w:val="subscript"/>
                <w:lang w:val="en-US" w:eastAsia="zh-CN" w:bidi="zh-TW"/>
              </w:rPr>
              <w:t>3</w:t>
            </w:r>
            <w:r>
              <w:rPr>
                <w:rFonts w:hint="default" w:ascii="Times New Roman" w:hAnsi="Times New Roman" w:eastAsia="宋体" w:cs="Times New Roman"/>
                <w:bCs/>
                <w:color w:val="auto"/>
                <w:sz w:val="24"/>
                <w:highlight w:val="none"/>
                <w:lang w:val="en-US" w:eastAsia="zh-CN" w:bidi="zh-TW"/>
              </w:rPr>
              <w:t>进行去除色度，二氧化氯消毒的方案。出厂水质达到《城镇污水处理厂污染物排放标准》（GB18918-2002）及其修改单中的一级A标准及《城市污水再生利用 工业用水水质》（GB/T19923-2024）、《城市污水再生利用 城市杂用水水质》（GB/T18920-2020）标准。</w:t>
            </w:r>
          </w:p>
          <w:p w14:paraId="19ACBF44">
            <w:pPr>
              <w:spacing w:line="360" w:lineRule="auto"/>
              <w:ind w:firstLine="480" w:firstLineChars="200"/>
              <w:jc w:val="left"/>
              <w:rPr>
                <w:rFonts w:hint="default" w:ascii="Times New Roman" w:hAnsi="Times New Roman" w:eastAsia="宋体" w:cs="Times New Roman"/>
                <w:bCs/>
                <w:color w:val="auto"/>
                <w:sz w:val="24"/>
                <w:highlight w:val="none"/>
                <w:lang w:val="en-US" w:eastAsia="zh-CN" w:bidi="zh-TW"/>
              </w:rPr>
            </w:pPr>
            <w:r>
              <w:rPr>
                <w:rFonts w:hint="default" w:ascii="Times New Roman" w:hAnsi="Times New Roman" w:eastAsia="宋体" w:cs="Times New Roman"/>
                <w:bCs/>
                <w:color w:val="auto"/>
                <w:sz w:val="24"/>
                <w:highlight w:val="none"/>
                <w:lang w:val="en-US" w:eastAsia="zh-CN" w:bidi="zh-TW"/>
              </w:rPr>
              <w:t>2023年</w:t>
            </w:r>
            <w:r>
              <w:rPr>
                <w:rFonts w:hint="default" w:ascii="Times New Roman" w:hAnsi="Times New Roman" w:cs="Times New Roman"/>
                <w:bCs/>
                <w:color w:val="auto"/>
                <w:sz w:val="24"/>
                <w:highlight w:val="none"/>
                <w:lang w:val="en-US" w:eastAsia="zh-CN" w:bidi="zh-TW"/>
              </w:rPr>
              <w:t>建设</w:t>
            </w:r>
            <w:r>
              <w:rPr>
                <w:rFonts w:hint="default" w:ascii="Times New Roman" w:hAnsi="Times New Roman" w:eastAsia="宋体" w:cs="Times New Roman"/>
                <w:bCs/>
                <w:color w:val="auto"/>
                <w:sz w:val="24"/>
                <w:highlight w:val="none"/>
                <w:lang w:val="en-US" w:eastAsia="zh-CN" w:bidi="zh-TW"/>
              </w:rPr>
              <w:t>6475</w:t>
            </w:r>
            <w:r>
              <w:rPr>
                <w:rFonts w:hint="eastAsia" w:cs="Times New Roman"/>
                <w:bCs/>
                <w:color w:val="auto"/>
                <w:sz w:val="24"/>
                <w:highlight w:val="none"/>
                <w:vertAlign w:val="baseline"/>
                <w:lang w:val="en-US" w:eastAsia="zh-CN" w:bidi="zh-TW"/>
              </w:rPr>
              <w:t>m</w:t>
            </w:r>
            <w:r>
              <w:rPr>
                <w:rFonts w:hint="eastAsia" w:cs="Times New Roman"/>
                <w:bCs/>
                <w:color w:val="auto"/>
                <w:sz w:val="24"/>
                <w:highlight w:val="none"/>
                <w:vertAlign w:val="superscript"/>
                <w:lang w:val="en-US" w:eastAsia="zh-CN" w:bidi="zh-TW"/>
              </w:rPr>
              <w:t>3</w:t>
            </w:r>
            <w:r>
              <w:rPr>
                <w:rFonts w:hint="default" w:ascii="Times New Roman" w:hAnsi="Times New Roman" w:eastAsia="宋体" w:cs="Times New Roman"/>
                <w:bCs/>
                <w:color w:val="auto"/>
                <w:sz w:val="24"/>
                <w:highlight w:val="none"/>
                <w:lang w:val="en-US" w:eastAsia="zh-CN" w:bidi="zh-TW"/>
              </w:rPr>
              <w:t>应急池一座，有效容积5750</w:t>
            </w:r>
            <w:r>
              <w:rPr>
                <w:rFonts w:hint="eastAsia" w:cs="Times New Roman"/>
                <w:bCs/>
                <w:color w:val="auto"/>
                <w:sz w:val="24"/>
                <w:highlight w:val="none"/>
                <w:vertAlign w:val="baseline"/>
                <w:lang w:val="en-US" w:eastAsia="zh-CN" w:bidi="zh-TW"/>
              </w:rPr>
              <w:t>m</w:t>
            </w:r>
            <w:r>
              <w:rPr>
                <w:rFonts w:hint="eastAsia" w:cs="Times New Roman"/>
                <w:bCs/>
                <w:color w:val="auto"/>
                <w:sz w:val="24"/>
                <w:highlight w:val="none"/>
                <w:vertAlign w:val="superscript"/>
                <w:lang w:val="en-US" w:eastAsia="zh-CN" w:bidi="zh-TW"/>
              </w:rPr>
              <w:t>3</w:t>
            </w:r>
            <w:r>
              <w:rPr>
                <w:rFonts w:hint="default" w:ascii="Times New Roman" w:hAnsi="Times New Roman" w:eastAsia="宋体" w:cs="Times New Roman"/>
                <w:bCs/>
                <w:color w:val="auto"/>
                <w:sz w:val="24"/>
                <w:highlight w:val="none"/>
                <w:lang w:val="en-US" w:eastAsia="zh-CN" w:bidi="zh-TW"/>
              </w:rPr>
              <w:t>，位于污水处理厂南墙外。</w:t>
            </w:r>
          </w:p>
          <w:p w14:paraId="0721EC98">
            <w:pPr>
              <w:spacing w:line="360" w:lineRule="auto"/>
              <w:ind w:firstLine="482" w:firstLineChars="200"/>
              <w:jc w:val="lef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3</w:t>
            </w:r>
            <w:r>
              <w:rPr>
                <w:rFonts w:hint="default" w:ascii="Times New Roman" w:hAnsi="Times New Roman" w:eastAsia="宋体" w:cs="Times New Roman"/>
                <w:b/>
                <w:bCs/>
                <w:color w:val="auto"/>
                <w:sz w:val="24"/>
                <w:highlight w:val="none"/>
              </w:rPr>
              <w:t>.建设内容</w:t>
            </w:r>
          </w:p>
          <w:p w14:paraId="06160080">
            <w:pPr>
              <w:spacing w:line="360" w:lineRule="auto"/>
              <w:ind w:firstLine="482"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
                <w:bCs/>
                <w:color w:val="auto"/>
                <w:sz w:val="24"/>
                <w:highlight w:val="none"/>
              </w:rPr>
              <w:t>项目名称：</w:t>
            </w:r>
            <w:r>
              <w:rPr>
                <w:rFonts w:hint="default" w:ascii="Times New Roman" w:hAnsi="Times New Roman" w:eastAsia="宋体" w:cs="Times New Roman"/>
                <w:bCs/>
                <w:color w:val="auto"/>
                <w:sz w:val="24"/>
                <w:highlight w:val="none"/>
                <w:lang w:eastAsia="zh-CN"/>
              </w:rPr>
              <w:t>杭锦旗污水厂更新改造建设项目</w:t>
            </w:r>
          </w:p>
          <w:p w14:paraId="0453E053">
            <w:pPr>
              <w:spacing w:line="360" w:lineRule="auto"/>
              <w:ind w:firstLine="482" w:firstLineChars="200"/>
              <w:jc w:val="left"/>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b/>
                <w:bCs/>
                <w:color w:val="auto"/>
                <w:sz w:val="24"/>
                <w:highlight w:val="none"/>
              </w:rPr>
              <w:t>建设单位：</w:t>
            </w:r>
            <w:r>
              <w:rPr>
                <w:rFonts w:hint="default" w:ascii="Times New Roman" w:hAnsi="Times New Roman" w:eastAsia="宋体" w:cs="Times New Roman"/>
                <w:bCs/>
                <w:color w:val="auto"/>
                <w:sz w:val="24"/>
                <w:highlight w:val="none"/>
                <w:lang w:eastAsia="zh-CN"/>
              </w:rPr>
              <w:t>杭锦旗城市公用事业服务中心</w:t>
            </w:r>
          </w:p>
          <w:p w14:paraId="500A1AFB">
            <w:pPr>
              <w:spacing w:line="360" w:lineRule="auto"/>
              <w:ind w:firstLine="482" w:firstLineChars="200"/>
              <w:jc w:val="left"/>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rPr>
              <w:t>建设性质：</w:t>
            </w:r>
            <w:r>
              <w:rPr>
                <w:rFonts w:hint="default" w:ascii="Times New Roman" w:hAnsi="Times New Roman" w:eastAsia="宋体" w:cs="Times New Roman"/>
                <w:b w:val="0"/>
                <w:bCs w:val="0"/>
                <w:color w:val="auto"/>
                <w:sz w:val="24"/>
                <w:highlight w:val="none"/>
                <w:lang w:val="en-US" w:eastAsia="zh-CN"/>
              </w:rPr>
              <w:t>改建、</w:t>
            </w:r>
            <w:r>
              <w:rPr>
                <w:rFonts w:hint="default" w:ascii="Times New Roman" w:hAnsi="Times New Roman" w:cs="Times New Roman"/>
                <w:b w:val="0"/>
                <w:bCs w:val="0"/>
                <w:color w:val="auto"/>
                <w:sz w:val="24"/>
                <w:highlight w:val="none"/>
                <w:lang w:val="en-US" w:eastAsia="zh-CN"/>
              </w:rPr>
              <w:t>扩建、</w:t>
            </w:r>
            <w:r>
              <w:rPr>
                <w:rFonts w:hint="default" w:ascii="Times New Roman" w:hAnsi="Times New Roman" w:eastAsia="宋体" w:cs="Times New Roman"/>
                <w:color w:val="auto"/>
                <w:sz w:val="24"/>
                <w:highlight w:val="none"/>
                <w:lang w:val="en-US" w:eastAsia="zh-CN"/>
              </w:rPr>
              <w:t>技术改造</w:t>
            </w:r>
          </w:p>
          <w:p w14:paraId="7B25A454">
            <w:pPr>
              <w:spacing w:line="360" w:lineRule="auto"/>
              <w:ind w:firstLine="482"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
                <w:bCs/>
                <w:color w:val="auto"/>
                <w:sz w:val="24"/>
                <w:highlight w:val="none"/>
              </w:rPr>
              <w:t>建设地点：</w:t>
            </w:r>
            <w:bookmarkStart w:id="2" w:name="_Hlk172558676"/>
            <w:r>
              <w:rPr>
                <w:rFonts w:hint="default" w:ascii="Times New Roman" w:hAnsi="Times New Roman" w:eastAsia="宋体" w:cs="Times New Roman"/>
                <w:bCs/>
                <w:color w:val="auto"/>
                <w:sz w:val="24"/>
                <w:highlight w:val="none"/>
              </w:rPr>
              <w:t>项目位于内蒙古自治区鄂尔多斯市</w:t>
            </w:r>
            <w:bookmarkEnd w:id="2"/>
            <w:r>
              <w:rPr>
                <w:rFonts w:hint="default" w:ascii="Times New Roman" w:hAnsi="Times New Roman" w:eastAsia="宋体" w:cs="Times New Roman"/>
                <w:bCs/>
                <w:color w:val="auto"/>
                <w:sz w:val="24"/>
                <w:highlight w:val="none"/>
                <w:lang w:eastAsia="zh-CN"/>
              </w:rPr>
              <w:t>杭锦旗锡尼镇污水处理厂厂区内</w:t>
            </w:r>
            <w:r>
              <w:rPr>
                <w:rFonts w:hint="default" w:ascii="Times New Roman" w:hAnsi="Times New Roman" w:eastAsia="宋体" w:cs="Times New Roman"/>
                <w:bCs/>
                <w:color w:val="auto"/>
                <w:sz w:val="24"/>
                <w:highlight w:val="none"/>
              </w:rPr>
              <w:t>，厂址中心地理坐标为：E10</w:t>
            </w:r>
            <w:r>
              <w:rPr>
                <w:rFonts w:hint="default" w:ascii="Times New Roman" w:hAnsi="Times New Roman" w:eastAsia="宋体" w:cs="Times New Roman"/>
                <w:bCs/>
                <w:color w:val="auto"/>
                <w:sz w:val="24"/>
                <w:highlight w:val="none"/>
                <w:lang w:val="en-US" w:eastAsia="zh-CN"/>
              </w:rPr>
              <w:t>8</w:t>
            </w:r>
            <w:r>
              <w:rPr>
                <w:rFonts w:hint="default" w:ascii="Times New Roman" w:hAnsi="Times New Roman" w:eastAsia="宋体" w:cs="Times New Roman"/>
                <w:bCs/>
                <w:color w:val="auto"/>
                <w:sz w:val="24"/>
                <w:highlight w:val="none"/>
              </w:rPr>
              <w:t>°</w:t>
            </w:r>
            <w:r>
              <w:rPr>
                <w:rFonts w:hint="default" w:ascii="Times New Roman" w:hAnsi="Times New Roman" w:eastAsia="宋体" w:cs="Times New Roman"/>
                <w:bCs/>
                <w:color w:val="auto"/>
                <w:sz w:val="24"/>
                <w:highlight w:val="none"/>
                <w:lang w:val="en-US" w:eastAsia="zh-CN"/>
              </w:rPr>
              <w:t>43</w:t>
            </w:r>
            <w:r>
              <w:rPr>
                <w:rFonts w:hint="default" w:ascii="Times New Roman" w:hAnsi="Times New Roman" w:eastAsia="宋体" w:cs="Times New Roman"/>
                <w:bCs/>
                <w:color w:val="auto"/>
                <w:sz w:val="24"/>
                <w:highlight w:val="none"/>
              </w:rPr>
              <w:t>'</w:t>
            </w:r>
            <w:r>
              <w:rPr>
                <w:rFonts w:hint="default" w:ascii="Times New Roman" w:hAnsi="Times New Roman" w:eastAsia="宋体" w:cs="Times New Roman"/>
                <w:bCs/>
                <w:color w:val="auto"/>
                <w:sz w:val="24"/>
                <w:highlight w:val="none"/>
                <w:lang w:val="en-US" w:eastAsia="zh-CN"/>
              </w:rPr>
              <w:t>26.627</w:t>
            </w:r>
            <w:r>
              <w:rPr>
                <w:rFonts w:hint="default" w:ascii="Times New Roman" w:hAnsi="Times New Roman" w:eastAsia="宋体" w:cs="Times New Roman"/>
                <w:bCs/>
                <w:color w:val="auto"/>
                <w:sz w:val="24"/>
                <w:highlight w:val="none"/>
              </w:rPr>
              <w:t>"，N</w:t>
            </w:r>
            <w:r>
              <w:rPr>
                <w:rFonts w:hint="default" w:ascii="Times New Roman" w:hAnsi="Times New Roman" w:eastAsia="宋体" w:cs="Times New Roman"/>
                <w:bCs/>
                <w:color w:val="auto"/>
                <w:sz w:val="24"/>
                <w:highlight w:val="none"/>
                <w:lang w:val="en-US" w:eastAsia="zh-CN"/>
              </w:rPr>
              <w:t>39</w:t>
            </w:r>
            <w:r>
              <w:rPr>
                <w:rFonts w:hint="default" w:ascii="Times New Roman" w:hAnsi="Times New Roman" w:eastAsia="宋体" w:cs="Times New Roman"/>
                <w:bCs/>
                <w:color w:val="auto"/>
                <w:sz w:val="24"/>
                <w:highlight w:val="none"/>
              </w:rPr>
              <w:t>°</w:t>
            </w:r>
            <w:r>
              <w:rPr>
                <w:rFonts w:hint="default" w:ascii="Times New Roman" w:hAnsi="Times New Roman" w:eastAsia="宋体" w:cs="Times New Roman"/>
                <w:bCs/>
                <w:color w:val="auto"/>
                <w:sz w:val="24"/>
                <w:highlight w:val="none"/>
                <w:lang w:val="en-US" w:eastAsia="zh-CN"/>
              </w:rPr>
              <w:t>51</w:t>
            </w:r>
            <w:r>
              <w:rPr>
                <w:rFonts w:hint="default" w:ascii="Times New Roman" w:hAnsi="Times New Roman" w:eastAsia="宋体" w:cs="Times New Roman"/>
                <w:bCs/>
                <w:color w:val="auto"/>
                <w:sz w:val="24"/>
                <w:highlight w:val="none"/>
              </w:rPr>
              <w:t>'</w:t>
            </w:r>
            <w:r>
              <w:rPr>
                <w:rFonts w:hint="default" w:ascii="Times New Roman" w:hAnsi="Times New Roman" w:eastAsia="宋体" w:cs="Times New Roman"/>
                <w:bCs/>
                <w:color w:val="auto"/>
                <w:sz w:val="24"/>
                <w:highlight w:val="none"/>
                <w:lang w:val="en-US" w:eastAsia="zh-CN"/>
              </w:rPr>
              <w:t>27.394</w:t>
            </w:r>
            <w:r>
              <w:rPr>
                <w:rFonts w:hint="default" w:ascii="Times New Roman" w:hAnsi="Times New Roman" w:eastAsia="宋体" w:cs="Times New Roman"/>
                <w:bCs/>
                <w:color w:val="auto"/>
                <w:sz w:val="24"/>
                <w:highlight w:val="none"/>
              </w:rPr>
              <w:t>"。项目地理位置图见附图2。</w:t>
            </w:r>
          </w:p>
          <w:p w14:paraId="7E1F8A6B">
            <w:pPr>
              <w:spacing w:line="360" w:lineRule="auto"/>
              <w:ind w:firstLine="482"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
                <w:bCs/>
                <w:color w:val="auto"/>
                <w:sz w:val="24"/>
                <w:highlight w:val="none"/>
              </w:rPr>
              <w:t>建设内容及规模：</w:t>
            </w:r>
            <w:r>
              <w:rPr>
                <w:rFonts w:hint="default" w:ascii="Times New Roman" w:hAnsi="Times New Roman" w:eastAsia="宋体" w:cs="Times New Roman"/>
                <w:b w:val="0"/>
                <w:bCs w:val="0"/>
                <w:color w:val="auto"/>
                <w:sz w:val="24"/>
                <w:highlight w:val="none"/>
                <w:lang w:val="en-US" w:eastAsia="zh-CN"/>
              </w:rPr>
              <w:t>杭锦旗锡尼镇污水处理厂一期工程现有处理能力为2000t/d，处理工艺采用AAO法+磁混凝澄清池工艺，二期工程现有处理能力为6500t/d，处理工艺采用五段Bardenpho+磁混凝澄清池。本次改造后一期污水处理规模达到5000t/d，二期工程</w:t>
            </w:r>
            <w:r>
              <w:rPr>
                <w:rFonts w:hint="eastAsia" w:cs="Times New Roman"/>
                <w:b w:val="0"/>
                <w:bCs w:val="0"/>
                <w:color w:val="auto"/>
                <w:sz w:val="24"/>
                <w:highlight w:val="none"/>
                <w:lang w:val="en-US" w:eastAsia="zh-CN"/>
              </w:rPr>
              <w:t>规模</w:t>
            </w:r>
            <w:r>
              <w:rPr>
                <w:rFonts w:hint="default" w:ascii="Times New Roman" w:hAnsi="Times New Roman" w:eastAsia="宋体" w:cs="Times New Roman"/>
                <w:b w:val="0"/>
                <w:bCs w:val="0"/>
                <w:color w:val="auto"/>
                <w:sz w:val="24"/>
                <w:highlight w:val="none"/>
                <w:lang w:val="en-US" w:eastAsia="zh-CN"/>
              </w:rPr>
              <w:t>不变，合计污水厂总体处理能力为11500t/d。</w:t>
            </w:r>
            <w:r>
              <w:rPr>
                <w:rFonts w:hint="default" w:ascii="Times New Roman" w:hAnsi="Times New Roman" w:eastAsia="宋体" w:cs="Times New Roman"/>
                <w:bCs/>
                <w:color w:val="auto"/>
                <w:sz w:val="24"/>
                <w:highlight w:val="none"/>
                <w:lang w:val="en-US" w:eastAsia="zh-CN"/>
              </w:rPr>
              <w:t>本</w:t>
            </w:r>
            <w:r>
              <w:rPr>
                <w:rFonts w:hint="default" w:ascii="Times New Roman" w:hAnsi="Times New Roman" w:cs="Times New Roman"/>
                <w:bCs/>
                <w:color w:val="auto"/>
                <w:sz w:val="24"/>
                <w:highlight w:val="none"/>
                <w:lang w:val="en-US" w:eastAsia="zh-CN"/>
              </w:rPr>
              <w:t>次一期工程</w:t>
            </w:r>
            <w:r>
              <w:rPr>
                <w:rFonts w:hint="default" w:ascii="Times New Roman" w:hAnsi="Times New Roman" w:eastAsia="宋体" w:cs="Times New Roman"/>
                <w:bCs/>
                <w:color w:val="auto"/>
                <w:sz w:val="24"/>
                <w:highlight w:val="none"/>
                <w:lang w:val="en-US" w:eastAsia="zh-CN"/>
              </w:rPr>
              <w:t>更新改造采用改良AAO生物处理+磁絮凝池+深度脱氮+消毒工艺方案，设计出水水质达到国家标准一级A。更换相关污水工艺设备及相关附属工程。扩建应急池一座，应急池规模为有效容积20000</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w:t>
            </w:r>
          </w:p>
          <w:p w14:paraId="7D2054D0">
            <w:pPr>
              <w:spacing w:line="360" w:lineRule="auto"/>
              <w:ind w:firstLine="482" w:firstLineChars="200"/>
              <w:jc w:val="lef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占地面积：</w:t>
            </w:r>
            <w:r>
              <w:rPr>
                <w:rFonts w:hint="default" w:ascii="Times New Roman" w:hAnsi="Times New Roman" w:eastAsia="宋体" w:cs="Times New Roman"/>
                <w:color w:val="auto"/>
                <w:sz w:val="24"/>
                <w:highlight w:val="none"/>
              </w:rPr>
              <w:t>本次改造在杭锦旗</w:t>
            </w:r>
            <w:r>
              <w:rPr>
                <w:rFonts w:hint="default" w:ascii="Times New Roman" w:hAnsi="Times New Roman" w:eastAsia="宋体" w:cs="Times New Roman"/>
                <w:color w:val="auto"/>
                <w:sz w:val="24"/>
                <w:highlight w:val="none"/>
                <w:lang w:val="en-US" w:eastAsia="zh-CN"/>
              </w:rPr>
              <w:t>锡尼镇</w:t>
            </w:r>
            <w:r>
              <w:rPr>
                <w:rFonts w:hint="default" w:ascii="Times New Roman" w:hAnsi="Times New Roman" w:eastAsia="宋体" w:cs="Times New Roman"/>
                <w:color w:val="auto"/>
                <w:sz w:val="24"/>
                <w:highlight w:val="none"/>
              </w:rPr>
              <w:t>污水处理厂院内进行，原厂占地16820</w:t>
            </w:r>
            <w:r>
              <w:rPr>
                <w:rFonts w:hint="eastAsia" w:cs="Times New Roman"/>
                <w:color w:val="auto"/>
                <w:sz w:val="24"/>
                <w:highlight w:val="none"/>
                <w:vertAlign w:val="baseline"/>
                <w:lang w:eastAsia="zh-CN"/>
              </w:rPr>
              <w:t>m</w:t>
            </w:r>
            <w:r>
              <w:rPr>
                <w:rFonts w:hint="eastAsia" w:cs="Times New Roman"/>
                <w:color w:val="auto"/>
                <w:sz w:val="24"/>
                <w:highlight w:val="none"/>
                <w:vertAlign w:val="superscript"/>
                <w:lang w:eastAsia="zh-CN"/>
              </w:rPr>
              <w:t>2</w:t>
            </w:r>
            <w:r>
              <w:rPr>
                <w:rFonts w:hint="default" w:ascii="Times New Roman" w:hAnsi="Times New Roman" w:eastAsia="宋体" w:cs="Times New Roman"/>
                <w:color w:val="auto"/>
                <w:sz w:val="24"/>
                <w:highlight w:val="none"/>
              </w:rPr>
              <w:t>。</w:t>
            </w:r>
          </w:p>
          <w:p w14:paraId="441F741A">
            <w:pPr>
              <w:spacing w:line="360" w:lineRule="auto"/>
              <w:ind w:firstLine="482" w:firstLineChars="200"/>
              <w:jc w:val="left"/>
              <w:rPr>
                <w:rFonts w:hint="default" w:ascii="Times New Roman" w:hAnsi="Times New Roman" w:eastAsia="宋体" w:cs="Times New Roman"/>
                <w:b/>
                <w:bCs/>
                <w:iCs/>
                <w:color w:val="auto"/>
                <w:sz w:val="24"/>
                <w:highlight w:val="none"/>
              </w:rPr>
            </w:pPr>
            <w:r>
              <w:rPr>
                <w:rFonts w:hint="default" w:ascii="Times New Roman" w:hAnsi="Times New Roman" w:eastAsia="宋体" w:cs="Times New Roman"/>
                <w:b/>
                <w:bCs/>
                <w:color w:val="auto"/>
                <w:sz w:val="24"/>
                <w:highlight w:val="none"/>
              </w:rPr>
              <w:t>项目投资：</w:t>
            </w:r>
            <w:r>
              <w:rPr>
                <w:rFonts w:hint="default" w:ascii="Times New Roman" w:hAnsi="Times New Roman" w:eastAsia="宋体" w:cs="Times New Roman"/>
                <w:bCs/>
                <w:color w:val="auto"/>
                <w:sz w:val="24"/>
                <w:highlight w:val="none"/>
              </w:rPr>
              <w:t>本项目为</w:t>
            </w:r>
            <w:r>
              <w:rPr>
                <w:rFonts w:hint="default" w:ascii="Times New Roman" w:hAnsi="Times New Roman" w:eastAsia="宋体" w:cs="Times New Roman"/>
                <w:bCs/>
                <w:color w:val="auto"/>
                <w:sz w:val="24"/>
                <w:highlight w:val="none"/>
                <w:lang w:val="en-US" w:eastAsia="zh-CN"/>
              </w:rPr>
              <w:t>污水处理厂</w:t>
            </w:r>
            <w:r>
              <w:rPr>
                <w:rFonts w:hint="default" w:ascii="Times New Roman" w:hAnsi="Times New Roman" w:eastAsia="宋体" w:cs="Times New Roman"/>
                <w:bCs/>
                <w:color w:val="auto"/>
                <w:sz w:val="24"/>
                <w:highlight w:val="none"/>
              </w:rPr>
              <w:t>，总投资为</w:t>
            </w:r>
            <w:r>
              <w:rPr>
                <w:rFonts w:hint="eastAsia" w:cs="Times New Roman"/>
                <w:bCs/>
                <w:color w:val="auto"/>
                <w:sz w:val="24"/>
                <w:highlight w:val="none"/>
                <w:lang w:val="en-US" w:eastAsia="zh-CN"/>
              </w:rPr>
              <w:t>5591.58</w:t>
            </w:r>
            <w:r>
              <w:rPr>
                <w:rFonts w:hint="default" w:ascii="Times New Roman" w:hAnsi="Times New Roman" w:eastAsia="宋体" w:cs="Times New Roman"/>
                <w:bCs/>
                <w:color w:val="auto"/>
                <w:sz w:val="24"/>
                <w:highlight w:val="none"/>
              </w:rPr>
              <w:t>万元，属于环保工程，故全部为环保投资。</w:t>
            </w:r>
          </w:p>
          <w:p w14:paraId="7B6F2564">
            <w:pPr>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val="en-US" w:eastAsia="zh-CN"/>
              </w:rPr>
              <w:t>杭锦旗锡尼镇污水处理厂二期工程不变，一期工程改扩建</w:t>
            </w:r>
            <w:r>
              <w:rPr>
                <w:rFonts w:hint="default" w:ascii="Times New Roman" w:hAnsi="Times New Roman" w:eastAsia="宋体" w:cs="Times New Roman"/>
                <w:bCs/>
                <w:color w:val="auto"/>
                <w:sz w:val="24"/>
                <w:highlight w:val="none"/>
              </w:rPr>
              <w:t>组成见表2-1。</w:t>
            </w:r>
          </w:p>
          <w:p w14:paraId="39AD4C86">
            <w:pPr>
              <w:pStyle w:val="16"/>
              <w:rPr>
                <w:rFonts w:hint="default" w:ascii="Times New Roman" w:hAnsi="Times New Roman" w:eastAsia="宋体" w:cs="Times New Roman"/>
                <w:color w:val="auto"/>
                <w:highlight w:val="none"/>
              </w:rPr>
            </w:pPr>
          </w:p>
        </w:tc>
      </w:tr>
    </w:tbl>
    <w:p w14:paraId="1EA7CD9D">
      <w:pPr>
        <w:rPr>
          <w:rFonts w:hint="default" w:ascii="Times New Roman" w:hAnsi="Times New Roman" w:cs="Times New Roman"/>
          <w:color w:val="auto"/>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22CF7D07">
      <w:pPr>
        <w:pStyle w:val="16"/>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表2-1 项目组成一览表</w:t>
      </w:r>
    </w:p>
    <w:tbl>
      <w:tblPr>
        <w:tblStyle w:val="10"/>
        <w:tblW w:w="539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8"/>
        <w:gridCol w:w="1229"/>
        <w:gridCol w:w="2784"/>
        <w:gridCol w:w="3650"/>
        <w:gridCol w:w="4838"/>
        <w:gridCol w:w="1259"/>
      </w:tblGrid>
      <w:tr w14:paraId="06644B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tcMar>
              <w:left w:w="28" w:type="dxa"/>
              <w:right w:w="28" w:type="dxa"/>
            </w:tcMar>
            <w:vAlign w:val="center"/>
          </w:tcPr>
          <w:p w14:paraId="23E61E60">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类别</w:t>
            </w:r>
          </w:p>
        </w:tc>
        <w:tc>
          <w:tcPr>
            <w:tcW w:w="1222" w:type="dxa"/>
            <w:tcMar>
              <w:left w:w="28" w:type="dxa"/>
              <w:right w:w="28" w:type="dxa"/>
            </w:tcMar>
            <w:vAlign w:val="center"/>
          </w:tcPr>
          <w:p w14:paraId="6BC94022">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工程名称</w:t>
            </w:r>
          </w:p>
        </w:tc>
        <w:tc>
          <w:tcPr>
            <w:tcW w:w="2768" w:type="dxa"/>
            <w:tcMar>
              <w:left w:w="28" w:type="dxa"/>
              <w:right w:w="28" w:type="dxa"/>
            </w:tcMar>
            <w:vAlign w:val="center"/>
          </w:tcPr>
          <w:p w14:paraId="3FF9A50E">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一期现有工程</w:t>
            </w:r>
          </w:p>
        </w:tc>
        <w:tc>
          <w:tcPr>
            <w:tcW w:w="3629" w:type="dxa"/>
            <w:tcMar>
              <w:left w:w="28" w:type="dxa"/>
              <w:right w:w="28" w:type="dxa"/>
            </w:tcMar>
            <w:vAlign w:val="center"/>
          </w:tcPr>
          <w:p w14:paraId="3CFC498C">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本次一期改扩建内容</w:t>
            </w:r>
          </w:p>
        </w:tc>
        <w:tc>
          <w:tcPr>
            <w:tcW w:w="4810" w:type="dxa"/>
            <w:shd w:val="clear" w:color="auto" w:fill="auto"/>
            <w:vAlign w:val="center"/>
          </w:tcPr>
          <w:p w14:paraId="1AF65318">
            <w:pPr>
              <w:pStyle w:val="15"/>
              <w:bidi w:val="0"/>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cs="Times New Roman"/>
                <w:b/>
                <w:bCs/>
                <w:color w:val="auto"/>
                <w:sz w:val="21"/>
                <w:szCs w:val="21"/>
                <w:lang w:val="en-US" w:eastAsia="zh-CN"/>
              </w:rPr>
              <w:t>更新改造后</w:t>
            </w:r>
            <w:r>
              <w:rPr>
                <w:rFonts w:hint="eastAsia" w:cs="Times New Roman"/>
                <w:b/>
                <w:bCs/>
                <w:color w:val="auto"/>
                <w:sz w:val="21"/>
                <w:szCs w:val="21"/>
                <w:lang w:val="en-US" w:eastAsia="zh-CN"/>
              </w:rPr>
              <w:t>的</w:t>
            </w:r>
            <w:r>
              <w:rPr>
                <w:rFonts w:hint="default" w:ascii="Times New Roman" w:hAnsi="Times New Roman" w:cs="Times New Roman"/>
                <w:b/>
                <w:bCs/>
                <w:color w:val="auto"/>
                <w:sz w:val="21"/>
                <w:szCs w:val="21"/>
                <w:lang w:val="en-US" w:eastAsia="zh-CN"/>
              </w:rPr>
              <w:t>一期项目组成</w:t>
            </w:r>
          </w:p>
        </w:tc>
        <w:tc>
          <w:tcPr>
            <w:tcW w:w="1252" w:type="dxa"/>
            <w:vAlign w:val="center"/>
          </w:tcPr>
          <w:p w14:paraId="689B35CB">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备注</w:t>
            </w:r>
          </w:p>
        </w:tc>
      </w:tr>
      <w:tr w14:paraId="48A924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restart"/>
            <w:tcMar>
              <w:left w:w="28" w:type="dxa"/>
              <w:right w:w="28" w:type="dxa"/>
            </w:tcMar>
            <w:vAlign w:val="center"/>
          </w:tcPr>
          <w:p w14:paraId="76ABF567">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主体</w:t>
            </w:r>
          </w:p>
          <w:p w14:paraId="363B8981">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工程</w:t>
            </w:r>
          </w:p>
        </w:tc>
        <w:tc>
          <w:tcPr>
            <w:tcW w:w="1222" w:type="dxa"/>
            <w:tcMar>
              <w:left w:w="28" w:type="dxa"/>
              <w:right w:w="28" w:type="dxa"/>
            </w:tcMar>
            <w:vAlign w:val="center"/>
          </w:tcPr>
          <w:p w14:paraId="640EACDE">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eastAsia="zh-CN"/>
              </w:rPr>
              <w:t>进水井</w:t>
            </w:r>
          </w:p>
        </w:tc>
        <w:tc>
          <w:tcPr>
            <w:tcW w:w="2768" w:type="dxa"/>
            <w:shd w:val="clear" w:color="auto" w:fill="auto"/>
            <w:tcMar>
              <w:left w:w="28" w:type="dxa"/>
              <w:right w:w="28" w:type="dxa"/>
            </w:tcMar>
            <w:vAlign w:val="center"/>
          </w:tcPr>
          <w:p w14:paraId="7F902BB2">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eastAsia="zh-CN"/>
              </w:rPr>
              <w:t>数量：1座，</w:t>
            </w:r>
            <w:r>
              <w:rPr>
                <w:rFonts w:hint="default" w:ascii="Times New Roman" w:hAnsi="Times New Roman" w:cs="Times New Roman"/>
                <w:color w:val="auto"/>
                <w:sz w:val="21"/>
                <w:szCs w:val="21"/>
                <w:lang w:val="en-US" w:eastAsia="zh-CN"/>
              </w:rPr>
              <w:t>41.86</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w:t>
            </w:r>
            <w:r>
              <w:rPr>
                <w:rFonts w:hint="default" w:ascii="Times New Roman" w:hAnsi="Times New Roman" w:cs="Times New Roman"/>
                <w:color w:val="auto"/>
                <w:sz w:val="21"/>
                <w:szCs w:val="21"/>
                <w:lang w:eastAsia="zh-CN"/>
              </w:rPr>
              <w:t>尺寸：4.6</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×2.6</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×3.5</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（长×宽×高），</w:t>
            </w:r>
            <w:r>
              <w:rPr>
                <w:rFonts w:hint="default" w:ascii="Times New Roman" w:hAnsi="Times New Roman" w:cs="Times New Roman"/>
                <w:color w:val="auto"/>
                <w:sz w:val="21"/>
                <w:szCs w:val="21"/>
                <w:lang w:val="en-US" w:eastAsia="zh-CN"/>
              </w:rPr>
              <w:t>闸门DN600</w:t>
            </w:r>
            <w:r>
              <w:rPr>
                <w:rFonts w:hint="eastAsia" w:cs="Times New Roman"/>
                <w:color w:val="auto"/>
                <w:sz w:val="21"/>
                <w:szCs w:val="21"/>
                <w:lang w:val="en-US" w:eastAsia="zh-CN"/>
              </w:rPr>
              <w:t>。</w:t>
            </w:r>
          </w:p>
        </w:tc>
        <w:tc>
          <w:tcPr>
            <w:tcW w:w="3629" w:type="dxa"/>
            <w:tcMar>
              <w:left w:w="28" w:type="dxa"/>
              <w:right w:w="28" w:type="dxa"/>
            </w:tcMar>
            <w:vAlign w:val="center"/>
          </w:tcPr>
          <w:p w14:paraId="23CC1445">
            <w:pPr>
              <w:pStyle w:val="15"/>
              <w:bidi w:val="0"/>
              <w:jc w:val="left"/>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val="en-US" w:eastAsia="zh-CN"/>
              </w:rPr>
              <w:t>目前进水井可继续使用，</w:t>
            </w:r>
            <w:r>
              <w:rPr>
                <w:rFonts w:hint="eastAsia" w:cs="Times New Roman"/>
                <w:color w:val="auto"/>
                <w:sz w:val="21"/>
                <w:szCs w:val="21"/>
                <w:lang w:val="en-US" w:eastAsia="zh-CN"/>
              </w:rPr>
              <w:t>因</w:t>
            </w:r>
            <w:r>
              <w:rPr>
                <w:rFonts w:hint="default" w:ascii="Times New Roman" w:hAnsi="Times New Roman" w:cs="Times New Roman"/>
                <w:color w:val="auto"/>
                <w:sz w:val="21"/>
                <w:szCs w:val="21"/>
                <w:lang w:val="en-US" w:eastAsia="zh-CN"/>
              </w:rPr>
              <w:t>闸门锈蚀，需要更</w:t>
            </w:r>
            <w:r>
              <w:rPr>
                <w:rFonts w:hint="eastAsia" w:cs="Times New Roman"/>
                <w:color w:val="auto"/>
                <w:sz w:val="21"/>
                <w:szCs w:val="21"/>
                <w:lang w:val="en-US" w:eastAsia="zh-CN"/>
              </w:rPr>
              <w:t>换设</w:t>
            </w:r>
            <w:r>
              <w:rPr>
                <w:rFonts w:hint="default" w:ascii="Times New Roman" w:hAnsi="Times New Roman" w:cs="Times New Roman"/>
                <w:color w:val="auto"/>
                <w:sz w:val="21"/>
                <w:szCs w:val="21"/>
                <w:lang w:val="en-US" w:eastAsia="zh-CN"/>
              </w:rPr>
              <w:t>备</w:t>
            </w:r>
            <w:r>
              <w:rPr>
                <w:rFonts w:hint="eastAsia" w:cs="Times New Roman"/>
                <w:color w:val="auto"/>
                <w:sz w:val="21"/>
                <w:szCs w:val="21"/>
                <w:lang w:val="en-US" w:eastAsia="zh-CN"/>
              </w:rPr>
              <w:t>。</w:t>
            </w:r>
          </w:p>
        </w:tc>
        <w:tc>
          <w:tcPr>
            <w:tcW w:w="4810" w:type="dxa"/>
            <w:shd w:val="clear" w:color="auto" w:fill="auto"/>
            <w:vAlign w:val="center"/>
          </w:tcPr>
          <w:p w14:paraId="7517C12D">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eastAsia="zh-CN"/>
              </w:rPr>
              <w:t>数量：1座，</w:t>
            </w:r>
            <w:r>
              <w:rPr>
                <w:rFonts w:hint="default" w:ascii="Times New Roman" w:hAnsi="Times New Roman" w:cs="Times New Roman"/>
                <w:color w:val="auto"/>
                <w:sz w:val="21"/>
                <w:szCs w:val="21"/>
                <w:lang w:val="en-US" w:eastAsia="zh-CN"/>
              </w:rPr>
              <w:t>41.86</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w:t>
            </w:r>
            <w:r>
              <w:rPr>
                <w:rFonts w:hint="default" w:ascii="Times New Roman" w:hAnsi="Times New Roman" w:cs="Times New Roman"/>
                <w:color w:val="auto"/>
                <w:sz w:val="21"/>
                <w:szCs w:val="21"/>
                <w:lang w:eastAsia="zh-CN"/>
              </w:rPr>
              <w:t>尺寸：4.6</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×2.6</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×3.5</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（长×宽×高），</w:t>
            </w:r>
            <w:r>
              <w:rPr>
                <w:rFonts w:hint="default" w:ascii="Times New Roman" w:hAnsi="Times New Roman" w:cs="Times New Roman"/>
                <w:color w:val="auto"/>
                <w:sz w:val="21"/>
                <w:szCs w:val="21"/>
                <w:lang w:val="en-US" w:eastAsia="zh-CN"/>
              </w:rPr>
              <w:t>闸门DN600</w:t>
            </w:r>
            <w:r>
              <w:rPr>
                <w:rFonts w:hint="eastAsia" w:cs="Times New Roman"/>
                <w:color w:val="auto"/>
                <w:sz w:val="21"/>
                <w:szCs w:val="21"/>
                <w:lang w:val="en-US" w:eastAsia="zh-CN"/>
              </w:rPr>
              <w:t>。</w:t>
            </w:r>
          </w:p>
        </w:tc>
        <w:tc>
          <w:tcPr>
            <w:tcW w:w="1252" w:type="dxa"/>
            <w:vAlign w:val="center"/>
          </w:tcPr>
          <w:p w14:paraId="4C05461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建筑维修，更换设备</w:t>
            </w:r>
            <w:r>
              <w:rPr>
                <w:rFonts w:hint="eastAsia" w:cs="Times New Roman"/>
                <w:color w:val="auto"/>
                <w:sz w:val="21"/>
                <w:szCs w:val="21"/>
                <w:lang w:val="en-US" w:eastAsia="zh-CN"/>
              </w:rPr>
              <w:t>。</w:t>
            </w:r>
          </w:p>
        </w:tc>
      </w:tr>
      <w:tr w14:paraId="618F0D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3F197435">
            <w:pPr>
              <w:pStyle w:val="15"/>
              <w:bidi w:val="0"/>
              <w:rPr>
                <w:rFonts w:hint="default" w:ascii="Times New Roman" w:hAnsi="Times New Roman" w:cs="Times New Roman"/>
                <w:b/>
                <w:bCs/>
                <w:color w:val="auto"/>
                <w:sz w:val="21"/>
                <w:szCs w:val="21"/>
              </w:rPr>
            </w:pPr>
          </w:p>
        </w:tc>
        <w:tc>
          <w:tcPr>
            <w:tcW w:w="1222" w:type="dxa"/>
            <w:tcMar>
              <w:left w:w="28" w:type="dxa"/>
              <w:right w:w="28" w:type="dxa"/>
            </w:tcMar>
            <w:vAlign w:val="center"/>
          </w:tcPr>
          <w:p w14:paraId="5F961A2A">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eastAsia="zh-CN"/>
              </w:rPr>
              <w:t>格栅间</w:t>
            </w:r>
          </w:p>
        </w:tc>
        <w:tc>
          <w:tcPr>
            <w:tcW w:w="2768" w:type="dxa"/>
            <w:shd w:val="clear" w:color="auto" w:fill="auto"/>
            <w:tcMar>
              <w:left w:w="28" w:type="dxa"/>
              <w:right w:w="28" w:type="dxa"/>
            </w:tcMar>
            <w:vAlign w:val="center"/>
          </w:tcPr>
          <w:p w14:paraId="15D2CEBF">
            <w:pPr>
              <w:pStyle w:val="15"/>
              <w:bidi w:val="0"/>
              <w:jc w:val="left"/>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格栅间1座：5.65</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×6.5</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×8.0</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，地下3.4</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，地上4.6</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，为钢混结构</w:t>
            </w:r>
            <w:r>
              <w:rPr>
                <w:rFonts w:hint="eastAsia" w:cs="Times New Roman"/>
                <w:color w:val="auto"/>
                <w:sz w:val="21"/>
                <w:szCs w:val="21"/>
                <w:lang w:eastAsia="zh-CN"/>
              </w:rPr>
              <w:t>。</w:t>
            </w:r>
          </w:p>
          <w:p w14:paraId="16BD4292">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eastAsia="zh-CN"/>
              </w:rPr>
              <w:t>地下格栅渠：单条4.4</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×0.8</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×3.4</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，共2条</w:t>
            </w:r>
            <w:r>
              <w:rPr>
                <w:rFonts w:hint="eastAsia" w:cs="Times New Roman"/>
                <w:color w:val="auto"/>
                <w:sz w:val="21"/>
                <w:szCs w:val="21"/>
                <w:lang w:eastAsia="zh-CN"/>
              </w:rPr>
              <w:t>。</w:t>
            </w:r>
          </w:p>
        </w:tc>
        <w:tc>
          <w:tcPr>
            <w:tcW w:w="3629" w:type="dxa"/>
            <w:tcMar>
              <w:left w:w="28" w:type="dxa"/>
              <w:right w:w="28" w:type="dxa"/>
            </w:tcMar>
            <w:vAlign w:val="center"/>
          </w:tcPr>
          <w:p w14:paraId="3954EF8B">
            <w:pPr>
              <w:pStyle w:val="15"/>
              <w:bidi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格栅间门窗变形，锈蚀；屋顶混凝土暴露钢筋，墙壁</w:t>
            </w:r>
            <w:r>
              <w:rPr>
                <w:rFonts w:hint="eastAsia" w:cs="Times New Roman"/>
                <w:color w:val="auto"/>
                <w:sz w:val="21"/>
                <w:szCs w:val="21"/>
                <w:lang w:val="en-US" w:eastAsia="zh-CN"/>
              </w:rPr>
              <w:t>和</w:t>
            </w:r>
            <w:r>
              <w:rPr>
                <w:rFonts w:hint="default" w:ascii="Times New Roman" w:hAnsi="Times New Roman" w:cs="Times New Roman"/>
                <w:color w:val="auto"/>
                <w:sz w:val="21"/>
                <w:szCs w:val="21"/>
                <w:lang w:val="en-US" w:eastAsia="zh-CN"/>
              </w:rPr>
              <w:t>地面破损，设备全部锈蚀；需要更换屋顶，保留主体，其余全部拆除更换</w:t>
            </w:r>
            <w:r>
              <w:rPr>
                <w:rFonts w:hint="eastAsia" w:cs="Times New Roman"/>
                <w:color w:val="auto"/>
                <w:sz w:val="21"/>
                <w:szCs w:val="21"/>
                <w:lang w:val="en-US" w:eastAsia="zh-CN"/>
              </w:rPr>
              <w:t>。</w:t>
            </w:r>
          </w:p>
        </w:tc>
        <w:tc>
          <w:tcPr>
            <w:tcW w:w="4810" w:type="dxa"/>
            <w:shd w:val="clear" w:color="auto" w:fill="auto"/>
            <w:vAlign w:val="center"/>
          </w:tcPr>
          <w:p w14:paraId="0CFF7A55">
            <w:pPr>
              <w:pStyle w:val="15"/>
              <w:bidi w:val="0"/>
              <w:jc w:val="left"/>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格栅间1座：5.65</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×6.5</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×8.0</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，地下3.4</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，地上4.6</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，为钢混结构</w:t>
            </w:r>
            <w:r>
              <w:rPr>
                <w:rFonts w:hint="eastAsia" w:cs="Times New Roman"/>
                <w:color w:val="auto"/>
                <w:sz w:val="21"/>
                <w:szCs w:val="21"/>
                <w:lang w:eastAsia="zh-CN"/>
              </w:rPr>
              <w:t>。</w:t>
            </w:r>
          </w:p>
          <w:p w14:paraId="2DE879D9">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eastAsia="zh-CN"/>
              </w:rPr>
              <w:t>地下格栅渠：单条4.4</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×0.8</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×3.4</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，共2条</w:t>
            </w:r>
            <w:r>
              <w:rPr>
                <w:rFonts w:hint="eastAsia" w:cs="Times New Roman"/>
                <w:color w:val="auto"/>
                <w:sz w:val="21"/>
                <w:szCs w:val="21"/>
                <w:lang w:eastAsia="zh-CN"/>
              </w:rPr>
              <w:t>。</w:t>
            </w:r>
          </w:p>
        </w:tc>
        <w:tc>
          <w:tcPr>
            <w:tcW w:w="1252" w:type="dxa"/>
            <w:vAlign w:val="center"/>
          </w:tcPr>
          <w:p w14:paraId="7920757A">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建筑维修，更换设备</w:t>
            </w:r>
            <w:r>
              <w:rPr>
                <w:rFonts w:hint="eastAsia" w:cs="Times New Roman"/>
                <w:color w:val="auto"/>
                <w:sz w:val="21"/>
                <w:szCs w:val="21"/>
                <w:lang w:val="en-US" w:eastAsia="zh-CN"/>
              </w:rPr>
              <w:t>。</w:t>
            </w:r>
          </w:p>
        </w:tc>
      </w:tr>
      <w:tr w14:paraId="1B68F4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777826B2">
            <w:pPr>
              <w:pStyle w:val="15"/>
              <w:bidi w:val="0"/>
              <w:rPr>
                <w:rFonts w:hint="default" w:ascii="Times New Roman" w:hAnsi="Times New Roman" w:cs="Times New Roman"/>
                <w:b/>
                <w:bCs/>
                <w:color w:val="auto"/>
                <w:sz w:val="21"/>
                <w:szCs w:val="21"/>
              </w:rPr>
            </w:pPr>
          </w:p>
        </w:tc>
        <w:tc>
          <w:tcPr>
            <w:tcW w:w="1222" w:type="dxa"/>
            <w:tcMar>
              <w:left w:w="28" w:type="dxa"/>
              <w:right w:w="28" w:type="dxa"/>
            </w:tcMar>
            <w:vAlign w:val="center"/>
          </w:tcPr>
          <w:p w14:paraId="41C02B08">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eastAsia="zh-CN"/>
              </w:rPr>
              <w:t>污水提升泵房</w:t>
            </w:r>
          </w:p>
        </w:tc>
        <w:tc>
          <w:tcPr>
            <w:tcW w:w="2768" w:type="dxa"/>
            <w:shd w:val="clear" w:color="auto" w:fill="auto"/>
            <w:tcMar>
              <w:left w:w="28" w:type="dxa"/>
              <w:right w:w="28" w:type="dxa"/>
            </w:tcMar>
            <w:vAlign w:val="center"/>
          </w:tcPr>
          <w:p w14:paraId="28E1D0E6">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eastAsia="zh-CN"/>
              </w:rPr>
              <w:t>数量：1座，尺寸：4.75</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×6.5</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×9.8</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，污水提升泵房与粗格栅间合建</w:t>
            </w:r>
            <w:r>
              <w:rPr>
                <w:rFonts w:hint="eastAsia" w:cs="Times New Roman"/>
                <w:color w:val="auto"/>
                <w:sz w:val="21"/>
                <w:szCs w:val="21"/>
                <w:lang w:eastAsia="zh-CN"/>
              </w:rPr>
              <w:t>。</w:t>
            </w:r>
          </w:p>
        </w:tc>
        <w:tc>
          <w:tcPr>
            <w:tcW w:w="3629" w:type="dxa"/>
            <w:tcMar>
              <w:left w:w="28" w:type="dxa"/>
              <w:right w:w="28" w:type="dxa"/>
            </w:tcMar>
            <w:vAlign w:val="center"/>
          </w:tcPr>
          <w:p w14:paraId="6C991EDE">
            <w:pPr>
              <w:pStyle w:val="15"/>
              <w:bidi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泵房顶板暴露钢筋，需要更换</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墙壁</w:t>
            </w:r>
            <w:r>
              <w:rPr>
                <w:rFonts w:hint="eastAsia" w:cs="Times New Roman"/>
                <w:color w:val="auto"/>
                <w:sz w:val="21"/>
                <w:szCs w:val="21"/>
                <w:lang w:val="en-US" w:eastAsia="zh-CN"/>
              </w:rPr>
              <w:t>和</w:t>
            </w:r>
            <w:r>
              <w:rPr>
                <w:rFonts w:hint="default" w:ascii="Times New Roman" w:hAnsi="Times New Roman" w:cs="Times New Roman"/>
                <w:color w:val="auto"/>
                <w:sz w:val="21"/>
                <w:szCs w:val="21"/>
                <w:lang w:val="en-US" w:eastAsia="zh-CN"/>
              </w:rPr>
              <w:t>地面破损，门窗破烂</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污水提升泵设备老旧，不能使用。需要拆除屋顶，保留主体和水池，更换门窗、保温、装修和设备等</w:t>
            </w:r>
            <w:r>
              <w:rPr>
                <w:rFonts w:hint="eastAsia" w:cs="Times New Roman"/>
                <w:color w:val="auto"/>
                <w:sz w:val="21"/>
                <w:szCs w:val="21"/>
                <w:lang w:val="en-US" w:eastAsia="zh-CN"/>
              </w:rPr>
              <w:t>。</w:t>
            </w:r>
          </w:p>
        </w:tc>
        <w:tc>
          <w:tcPr>
            <w:tcW w:w="4810" w:type="dxa"/>
            <w:shd w:val="clear" w:color="auto" w:fill="auto"/>
            <w:vAlign w:val="center"/>
          </w:tcPr>
          <w:p w14:paraId="2A583E0B">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eastAsia="zh-CN"/>
              </w:rPr>
              <w:t>数量：1座，尺寸：4.75</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×6.5</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×9.8</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，污水提升泵房与粗格栅间合建</w:t>
            </w:r>
            <w:r>
              <w:rPr>
                <w:rFonts w:hint="eastAsia" w:cs="Times New Roman"/>
                <w:color w:val="auto"/>
                <w:sz w:val="21"/>
                <w:szCs w:val="21"/>
                <w:lang w:eastAsia="zh-CN"/>
              </w:rPr>
              <w:t>。</w:t>
            </w:r>
          </w:p>
        </w:tc>
        <w:tc>
          <w:tcPr>
            <w:tcW w:w="1252" w:type="dxa"/>
            <w:vAlign w:val="center"/>
          </w:tcPr>
          <w:p w14:paraId="3971A7F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建筑维修，更换设备</w:t>
            </w:r>
            <w:r>
              <w:rPr>
                <w:rFonts w:hint="eastAsia" w:cs="Times New Roman"/>
                <w:color w:val="auto"/>
                <w:sz w:val="21"/>
                <w:szCs w:val="21"/>
                <w:lang w:val="en-US" w:eastAsia="zh-CN"/>
              </w:rPr>
              <w:t>。</w:t>
            </w:r>
          </w:p>
        </w:tc>
      </w:tr>
      <w:tr w14:paraId="658259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64CF9A35">
            <w:pPr>
              <w:pStyle w:val="15"/>
              <w:bidi w:val="0"/>
              <w:rPr>
                <w:rFonts w:hint="default" w:ascii="Times New Roman" w:hAnsi="Times New Roman" w:cs="Times New Roman"/>
                <w:b/>
                <w:bCs/>
                <w:color w:val="auto"/>
                <w:sz w:val="21"/>
                <w:szCs w:val="21"/>
              </w:rPr>
            </w:pPr>
          </w:p>
        </w:tc>
        <w:tc>
          <w:tcPr>
            <w:tcW w:w="1222" w:type="dxa"/>
            <w:tcMar>
              <w:left w:w="28" w:type="dxa"/>
              <w:right w:w="28" w:type="dxa"/>
            </w:tcMar>
            <w:vAlign w:val="center"/>
          </w:tcPr>
          <w:p w14:paraId="4149F8A9">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细格栅沉砂间</w:t>
            </w:r>
          </w:p>
        </w:tc>
        <w:tc>
          <w:tcPr>
            <w:tcW w:w="2768" w:type="dxa"/>
            <w:shd w:val="clear" w:color="auto" w:fill="auto"/>
            <w:tcMar>
              <w:left w:w="28" w:type="dxa"/>
              <w:right w:w="28" w:type="dxa"/>
            </w:tcMar>
            <w:vAlign w:val="center"/>
          </w:tcPr>
          <w:p w14:paraId="2B0B2685">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eastAsia="zh-CN"/>
              </w:rPr>
              <w:t>数量：1座，尺寸：</w:t>
            </w:r>
            <w:r>
              <w:rPr>
                <w:rFonts w:hint="default" w:ascii="Times New Roman" w:hAnsi="Times New Roman" w:cs="Times New Roman"/>
                <w:color w:val="auto"/>
                <w:sz w:val="21"/>
                <w:szCs w:val="21"/>
                <w:lang w:val="en-US" w:eastAsia="zh-CN"/>
              </w:rPr>
              <w:t>14</w:t>
            </w:r>
            <w:r>
              <w:rPr>
                <w:rFonts w:hint="eastAsia" w:cs="Times New Roman"/>
                <w:color w:val="auto"/>
                <w:sz w:val="21"/>
                <w:szCs w:val="21"/>
                <w:lang w:val="en-US" w:eastAsia="zh-CN"/>
              </w:rPr>
              <w:t>m</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8</w:t>
            </w:r>
            <w:r>
              <w:rPr>
                <w:rFonts w:hint="eastAsia" w:cs="Times New Roman"/>
                <w:color w:val="auto"/>
                <w:sz w:val="21"/>
                <w:szCs w:val="21"/>
                <w:lang w:val="en-US" w:eastAsia="zh-CN"/>
              </w:rPr>
              <w:t>m</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6.3</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细格栅间</w:t>
            </w:r>
            <w:r>
              <w:rPr>
                <w:rFonts w:hint="default" w:ascii="Times New Roman" w:hAnsi="Times New Roman" w:cs="Times New Roman"/>
                <w:color w:val="auto"/>
                <w:sz w:val="21"/>
                <w:szCs w:val="21"/>
                <w:lang w:eastAsia="zh-CN"/>
              </w:rPr>
              <w:t>与</w:t>
            </w:r>
            <w:r>
              <w:rPr>
                <w:rFonts w:hint="default" w:ascii="Times New Roman" w:hAnsi="Times New Roman" w:cs="Times New Roman"/>
                <w:color w:val="auto"/>
                <w:sz w:val="21"/>
                <w:szCs w:val="21"/>
                <w:lang w:val="en-US" w:eastAsia="zh-CN"/>
              </w:rPr>
              <w:t>沉砂间</w:t>
            </w:r>
            <w:r>
              <w:rPr>
                <w:rFonts w:hint="default" w:ascii="Times New Roman" w:hAnsi="Times New Roman" w:cs="Times New Roman"/>
                <w:color w:val="auto"/>
                <w:sz w:val="21"/>
                <w:szCs w:val="21"/>
                <w:lang w:eastAsia="zh-CN"/>
              </w:rPr>
              <w:t>合建</w:t>
            </w:r>
            <w:r>
              <w:rPr>
                <w:rFonts w:hint="eastAsia" w:cs="Times New Roman"/>
                <w:color w:val="auto"/>
                <w:sz w:val="21"/>
                <w:szCs w:val="21"/>
                <w:lang w:eastAsia="zh-CN"/>
              </w:rPr>
              <w:t>。</w:t>
            </w:r>
          </w:p>
        </w:tc>
        <w:tc>
          <w:tcPr>
            <w:tcW w:w="3629" w:type="dxa"/>
            <w:tcMar>
              <w:left w:w="28" w:type="dxa"/>
              <w:right w:w="28" w:type="dxa"/>
            </w:tcMar>
            <w:vAlign w:val="center"/>
          </w:tcPr>
          <w:p w14:paraId="7CA2B070">
            <w:pPr>
              <w:pStyle w:val="15"/>
              <w:bidi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细格栅间主体完好，需要重新更换保温、装修；除曝气沉砂池外，其余都需要更换</w:t>
            </w:r>
            <w:r>
              <w:rPr>
                <w:rFonts w:hint="eastAsia" w:cs="Times New Roman"/>
                <w:color w:val="auto"/>
                <w:sz w:val="21"/>
                <w:szCs w:val="21"/>
                <w:lang w:val="en-US" w:eastAsia="zh-CN"/>
              </w:rPr>
              <w:t>。</w:t>
            </w:r>
          </w:p>
        </w:tc>
        <w:tc>
          <w:tcPr>
            <w:tcW w:w="4810" w:type="dxa"/>
            <w:shd w:val="clear" w:color="auto" w:fill="auto"/>
            <w:vAlign w:val="center"/>
          </w:tcPr>
          <w:p w14:paraId="15EC0EFB">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eastAsia="zh-CN"/>
              </w:rPr>
              <w:t>数量：1座，尺寸：</w:t>
            </w:r>
            <w:r>
              <w:rPr>
                <w:rFonts w:hint="default" w:ascii="Times New Roman" w:hAnsi="Times New Roman" w:cs="Times New Roman"/>
                <w:color w:val="auto"/>
                <w:sz w:val="21"/>
                <w:szCs w:val="21"/>
                <w:lang w:val="en-US" w:eastAsia="zh-CN"/>
              </w:rPr>
              <w:t>14</w:t>
            </w:r>
            <w:r>
              <w:rPr>
                <w:rFonts w:hint="eastAsia" w:cs="Times New Roman"/>
                <w:color w:val="auto"/>
                <w:sz w:val="21"/>
                <w:szCs w:val="21"/>
                <w:lang w:val="en-US" w:eastAsia="zh-CN"/>
              </w:rPr>
              <w:t>m</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8</w:t>
            </w:r>
            <w:r>
              <w:rPr>
                <w:rFonts w:hint="eastAsia" w:cs="Times New Roman"/>
                <w:color w:val="auto"/>
                <w:sz w:val="21"/>
                <w:szCs w:val="21"/>
                <w:lang w:val="en-US" w:eastAsia="zh-CN"/>
              </w:rPr>
              <w:t>m</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6.3</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细格栅间</w:t>
            </w:r>
            <w:r>
              <w:rPr>
                <w:rFonts w:hint="default" w:ascii="Times New Roman" w:hAnsi="Times New Roman" w:cs="Times New Roman"/>
                <w:color w:val="auto"/>
                <w:sz w:val="21"/>
                <w:szCs w:val="21"/>
                <w:lang w:eastAsia="zh-CN"/>
              </w:rPr>
              <w:t>与</w:t>
            </w:r>
            <w:r>
              <w:rPr>
                <w:rFonts w:hint="default" w:ascii="Times New Roman" w:hAnsi="Times New Roman" w:cs="Times New Roman"/>
                <w:color w:val="auto"/>
                <w:sz w:val="21"/>
                <w:szCs w:val="21"/>
                <w:lang w:val="en-US" w:eastAsia="zh-CN"/>
              </w:rPr>
              <w:t>沉砂间</w:t>
            </w:r>
            <w:r>
              <w:rPr>
                <w:rFonts w:hint="default" w:ascii="Times New Roman" w:hAnsi="Times New Roman" w:cs="Times New Roman"/>
                <w:color w:val="auto"/>
                <w:sz w:val="21"/>
                <w:szCs w:val="21"/>
                <w:lang w:eastAsia="zh-CN"/>
              </w:rPr>
              <w:t>合建</w:t>
            </w:r>
            <w:r>
              <w:rPr>
                <w:rFonts w:hint="eastAsia" w:cs="Times New Roman"/>
                <w:color w:val="auto"/>
                <w:sz w:val="21"/>
                <w:szCs w:val="21"/>
                <w:lang w:eastAsia="zh-CN"/>
              </w:rPr>
              <w:t>。</w:t>
            </w:r>
          </w:p>
        </w:tc>
        <w:tc>
          <w:tcPr>
            <w:tcW w:w="1252" w:type="dxa"/>
            <w:vAlign w:val="center"/>
          </w:tcPr>
          <w:p w14:paraId="6B8A8007">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建筑维修，更换设备</w:t>
            </w:r>
            <w:r>
              <w:rPr>
                <w:rFonts w:hint="eastAsia" w:cs="Times New Roman"/>
                <w:color w:val="auto"/>
                <w:sz w:val="21"/>
                <w:szCs w:val="21"/>
                <w:lang w:val="en-US" w:eastAsia="zh-CN"/>
              </w:rPr>
              <w:t>。</w:t>
            </w:r>
          </w:p>
        </w:tc>
      </w:tr>
      <w:tr w14:paraId="4078C0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489662E1">
            <w:pPr>
              <w:pStyle w:val="15"/>
              <w:bidi w:val="0"/>
              <w:rPr>
                <w:rFonts w:hint="default" w:ascii="Times New Roman" w:hAnsi="Times New Roman" w:cs="Times New Roman"/>
                <w:b/>
                <w:bCs/>
                <w:color w:val="auto"/>
                <w:sz w:val="21"/>
                <w:szCs w:val="21"/>
              </w:rPr>
            </w:pPr>
          </w:p>
        </w:tc>
        <w:tc>
          <w:tcPr>
            <w:tcW w:w="1222" w:type="dxa"/>
            <w:tcMar>
              <w:left w:w="28" w:type="dxa"/>
              <w:right w:w="28" w:type="dxa"/>
            </w:tcMar>
            <w:vAlign w:val="center"/>
          </w:tcPr>
          <w:p w14:paraId="1A8A8F51">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改良AAO池</w:t>
            </w:r>
          </w:p>
        </w:tc>
        <w:tc>
          <w:tcPr>
            <w:tcW w:w="2768" w:type="dxa"/>
            <w:shd w:val="clear" w:color="auto" w:fill="auto"/>
            <w:tcMar>
              <w:left w:w="28" w:type="dxa"/>
              <w:right w:w="28" w:type="dxa"/>
            </w:tcMar>
            <w:vAlign w:val="center"/>
          </w:tcPr>
          <w:p w14:paraId="15274541">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设计规模：2000t/d</w:t>
            </w:r>
          </w:p>
          <w:p w14:paraId="3037DF98">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厌氧池：2座</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每座尺寸：11.35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×3.0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×5.1</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w:t>
            </w:r>
          </w:p>
          <w:p w14:paraId="0382AB74">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好氧池：2座</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每座尺寸：15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×21</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×5.1</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w:t>
            </w:r>
          </w:p>
          <w:p w14:paraId="7A0DFD68">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好氧池：2座</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每座尺寸：6</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×12</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×5.1</w:t>
            </w:r>
            <w:r>
              <w:rPr>
                <w:rFonts w:hint="eastAsia" w:cs="Times New Roman"/>
                <w:color w:val="auto"/>
                <w:sz w:val="21"/>
                <w:szCs w:val="21"/>
                <w:lang w:val="en-US" w:eastAsia="zh-CN"/>
              </w:rPr>
              <w:t>m。</w:t>
            </w:r>
          </w:p>
          <w:p w14:paraId="5C7C8EFF">
            <w:pPr>
              <w:pStyle w:val="15"/>
              <w:bidi w:val="0"/>
              <w:jc w:val="left"/>
              <w:rPr>
                <w:rFonts w:hint="default" w:ascii="Times New Roman" w:hAnsi="Times New Roman" w:cs="Times New Roman"/>
                <w:color w:val="auto"/>
                <w:sz w:val="21"/>
                <w:szCs w:val="21"/>
                <w:lang w:val="en-US" w:eastAsia="zh-CN"/>
              </w:rPr>
            </w:pPr>
          </w:p>
        </w:tc>
        <w:tc>
          <w:tcPr>
            <w:tcW w:w="3629" w:type="dxa"/>
            <w:tcMar>
              <w:left w:w="28" w:type="dxa"/>
              <w:right w:w="28" w:type="dxa"/>
            </w:tcMar>
            <w:vAlign w:val="center"/>
          </w:tcPr>
          <w:p w14:paraId="4ED03817">
            <w:pPr>
              <w:pStyle w:val="15"/>
              <w:bidi w:val="0"/>
              <w:jc w:val="left"/>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val="en-US" w:eastAsia="zh-CN"/>
              </w:rPr>
              <w:t>生物池除主体外全部需要拆除改造。</w:t>
            </w:r>
          </w:p>
          <w:p w14:paraId="2F019544">
            <w:pPr>
              <w:pStyle w:val="15"/>
              <w:bidi w:val="0"/>
              <w:jc w:val="left"/>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val="en-US" w:eastAsia="zh-CN"/>
              </w:rPr>
              <w:t>新建缺氧池：2座</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每座尺寸：9.5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×9</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×5.5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容积1710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，停留时间8.21h</w:t>
            </w:r>
            <w:r>
              <w:rPr>
                <w:rFonts w:hint="eastAsia" w:cs="Times New Roman"/>
                <w:color w:val="auto"/>
                <w:sz w:val="21"/>
                <w:szCs w:val="21"/>
                <w:lang w:val="en-US" w:eastAsia="zh-CN"/>
              </w:rPr>
              <w:t>。</w:t>
            </w:r>
          </w:p>
        </w:tc>
        <w:tc>
          <w:tcPr>
            <w:tcW w:w="4810" w:type="dxa"/>
            <w:shd w:val="clear" w:color="auto" w:fill="auto"/>
            <w:vAlign w:val="center"/>
          </w:tcPr>
          <w:p w14:paraId="3856F06F">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设计规模：5000t/d</w:t>
            </w:r>
            <w:r>
              <w:rPr>
                <w:rFonts w:hint="eastAsia" w:cs="Times New Roman"/>
                <w:color w:val="auto"/>
                <w:sz w:val="21"/>
                <w:szCs w:val="21"/>
                <w:lang w:val="en-US" w:eastAsia="zh-CN"/>
              </w:rPr>
              <w:t>，</w:t>
            </w:r>
          </w:p>
          <w:p w14:paraId="291B08FC">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总有效容积：5751.47</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eastAsia" w:cs="Times New Roman"/>
                <w:color w:val="auto"/>
                <w:sz w:val="21"/>
                <w:szCs w:val="21"/>
                <w:lang w:val="en-US" w:eastAsia="zh-CN"/>
              </w:rPr>
              <w:t>，</w:t>
            </w:r>
          </w:p>
          <w:p w14:paraId="4DE09206">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单座生化池平面内壁尺寸为24</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×54</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×6.3</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（共两座）</w:t>
            </w:r>
            <w:r>
              <w:rPr>
                <w:rFonts w:hint="eastAsia" w:cs="Times New Roman"/>
                <w:color w:val="auto"/>
                <w:sz w:val="21"/>
                <w:szCs w:val="21"/>
                <w:lang w:val="en-US" w:eastAsia="zh-CN"/>
              </w:rPr>
              <w:t>，</w:t>
            </w:r>
          </w:p>
          <w:p w14:paraId="30C609C8">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有效水深为5.5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，超高0.8</w:t>
            </w:r>
            <w:r>
              <w:rPr>
                <w:rFonts w:hint="eastAsia" w:cs="Times New Roman"/>
                <w:color w:val="auto"/>
                <w:sz w:val="21"/>
                <w:szCs w:val="21"/>
                <w:lang w:val="en-US" w:eastAsia="zh-CN"/>
              </w:rPr>
              <w:t>m，</w:t>
            </w:r>
          </w:p>
          <w:p w14:paraId="7EE16288">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预反硝化区：沿用现状提标扩建好氧池，容积667.92</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，停留时间3.2h</w:t>
            </w:r>
            <w:r>
              <w:rPr>
                <w:rFonts w:hint="eastAsia" w:cs="Times New Roman"/>
                <w:color w:val="auto"/>
                <w:sz w:val="21"/>
                <w:szCs w:val="21"/>
                <w:lang w:val="en-US" w:eastAsia="zh-CN"/>
              </w:rPr>
              <w:t>，</w:t>
            </w:r>
          </w:p>
          <w:p w14:paraId="13C9A634">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厌氧池：沿用现状厌氧池，容积313.26</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，停留时间1.5h</w:t>
            </w:r>
            <w:r>
              <w:rPr>
                <w:rFonts w:hint="eastAsia" w:cs="Times New Roman"/>
                <w:color w:val="auto"/>
                <w:sz w:val="21"/>
                <w:szCs w:val="21"/>
                <w:lang w:val="en-US" w:eastAsia="zh-CN"/>
              </w:rPr>
              <w:t>，</w:t>
            </w:r>
          </w:p>
          <w:p w14:paraId="0510E0F0">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新建缺氧池：2座</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每座尺寸：9.5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×9</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×5.5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容积1710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，停留时间8.21h</w:t>
            </w:r>
            <w:r>
              <w:rPr>
                <w:rFonts w:hint="eastAsia" w:cs="Times New Roman"/>
                <w:color w:val="auto"/>
                <w:sz w:val="21"/>
                <w:szCs w:val="21"/>
                <w:lang w:val="en-US" w:eastAsia="zh-CN"/>
              </w:rPr>
              <w:t>，</w:t>
            </w:r>
          </w:p>
          <w:p w14:paraId="3834CCA2">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好氧池：沿用现状缺氧好氧池，容积3060.29</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，停留时间14.69h</w:t>
            </w:r>
            <w:r>
              <w:rPr>
                <w:rFonts w:hint="eastAsia" w:cs="Times New Roman"/>
                <w:color w:val="auto"/>
                <w:sz w:val="21"/>
                <w:szCs w:val="21"/>
                <w:lang w:val="en-US" w:eastAsia="zh-CN"/>
              </w:rPr>
              <w:t>。</w:t>
            </w:r>
          </w:p>
        </w:tc>
        <w:tc>
          <w:tcPr>
            <w:tcW w:w="1252" w:type="dxa"/>
            <w:vAlign w:val="center"/>
          </w:tcPr>
          <w:p w14:paraId="36BF17D2">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加固池体，更换设备</w:t>
            </w:r>
            <w:r>
              <w:rPr>
                <w:rFonts w:hint="eastAsia" w:cs="Times New Roman"/>
                <w:color w:val="auto"/>
                <w:sz w:val="21"/>
                <w:szCs w:val="21"/>
                <w:lang w:val="en-US" w:eastAsia="zh-CN"/>
              </w:rPr>
              <w:t>。</w:t>
            </w:r>
          </w:p>
        </w:tc>
      </w:tr>
      <w:tr w14:paraId="55F495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055542EF">
            <w:pPr>
              <w:pStyle w:val="15"/>
              <w:bidi w:val="0"/>
              <w:rPr>
                <w:rFonts w:hint="default" w:ascii="Times New Roman" w:hAnsi="Times New Roman" w:cs="Times New Roman"/>
                <w:b/>
                <w:bCs/>
                <w:color w:val="auto"/>
                <w:sz w:val="21"/>
                <w:szCs w:val="21"/>
              </w:rPr>
            </w:pPr>
          </w:p>
        </w:tc>
        <w:tc>
          <w:tcPr>
            <w:tcW w:w="1222" w:type="dxa"/>
            <w:shd w:val="clear" w:color="auto" w:fill="auto"/>
            <w:tcMar>
              <w:left w:w="28" w:type="dxa"/>
              <w:right w:w="28" w:type="dxa"/>
            </w:tcMar>
            <w:vAlign w:val="center"/>
          </w:tcPr>
          <w:p w14:paraId="06F3D6D4">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二沉池</w:t>
            </w:r>
          </w:p>
        </w:tc>
        <w:tc>
          <w:tcPr>
            <w:tcW w:w="2768" w:type="dxa"/>
            <w:shd w:val="clear" w:color="auto" w:fill="auto"/>
            <w:tcMar>
              <w:left w:w="28" w:type="dxa"/>
              <w:right w:w="28" w:type="dxa"/>
            </w:tcMar>
            <w:vAlign w:val="center"/>
          </w:tcPr>
          <w:p w14:paraId="04C84565">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数量：2座，尺寸：Φ14.6</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×2.7</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（直径×有效高），HRT：3.6h，表面负荷：0.84</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r>
              <w:rPr>
                <w:rFonts w:hint="default" w:ascii="Times New Roman" w:hAnsi="Times New Roman" w:cs="Times New Roman"/>
                <w:color w:val="auto"/>
                <w:sz w:val="21"/>
                <w:szCs w:val="21"/>
                <w:lang w:val="en-US" w:eastAsia="zh-CN"/>
              </w:rPr>
              <w:t>•h</w:t>
            </w:r>
            <w:r>
              <w:rPr>
                <w:rFonts w:hint="eastAsia" w:cs="Times New Roman"/>
                <w:color w:val="auto"/>
                <w:sz w:val="21"/>
                <w:szCs w:val="21"/>
                <w:lang w:val="en-US" w:eastAsia="zh-CN"/>
              </w:rPr>
              <w:t>。</w:t>
            </w:r>
          </w:p>
        </w:tc>
        <w:tc>
          <w:tcPr>
            <w:tcW w:w="3629" w:type="dxa"/>
            <w:shd w:val="clear" w:color="auto" w:fill="auto"/>
            <w:tcMar>
              <w:left w:w="28" w:type="dxa"/>
              <w:right w:w="28" w:type="dxa"/>
            </w:tcMar>
            <w:vAlign w:val="center"/>
          </w:tcPr>
          <w:p w14:paraId="1B91CF47">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二沉池运行的主要问题是浮泥严重，池体老化严重，需要对池体加固维修，更换设备</w:t>
            </w:r>
            <w:r>
              <w:rPr>
                <w:rFonts w:hint="eastAsia" w:cs="Times New Roman"/>
                <w:color w:val="auto"/>
                <w:sz w:val="21"/>
                <w:szCs w:val="21"/>
                <w:lang w:val="en-US" w:eastAsia="zh-CN"/>
              </w:rPr>
              <w:t>。</w:t>
            </w:r>
          </w:p>
        </w:tc>
        <w:tc>
          <w:tcPr>
            <w:tcW w:w="4810" w:type="dxa"/>
            <w:shd w:val="clear" w:color="auto" w:fill="auto"/>
            <w:vAlign w:val="center"/>
          </w:tcPr>
          <w:p w14:paraId="120F1301">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数量：2座，尺寸：Φ14.6</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×2.7</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（直径×有效高），HRT：3.6h，表面负荷：0.84</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r>
              <w:rPr>
                <w:rFonts w:hint="default" w:ascii="Times New Roman" w:hAnsi="Times New Roman" w:cs="Times New Roman"/>
                <w:color w:val="auto"/>
                <w:sz w:val="21"/>
                <w:szCs w:val="21"/>
                <w:lang w:val="en-US" w:eastAsia="zh-CN"/>
              </w:rPr>
              <w:t>•h</w:t>
            </w:r>
            <w:r>
              <w:rPr>
                <w:rFonts w:hint="eastAsia" w:cs="Times New Roman"/>
                <w:color w:val="auto"/>
                <w:sz w:val="21"/>
                <w:szCs w:val="21"/>
                <w:lang w:val="en-US" w:eastAsia="zh-CN"/>
              </w:rPr>
              <w:t>。</w:t>
            </w:r>
          </w:p>
        </w:tc>
        <w:tc>
          <w:tcPr>
            <w:tcW w:w="1252" w:type="dxa"/>
            <w:shd w:val="clear" w:color="auto" w:fill="auto"/>
            <w:vAlign w:val="center"/>
          </w:tcPr>
          <w:p w14:paraId="3A32C5C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加固池体，更换设备</w:t>
            </w:r>
            <w:r>
              <w:rPr>
                <w:rFonts w:hint="eastAsia" w:cs="Times New Roman"/>
                <w:color w:val="auto"/>
                <w:sz w:val="21"/>
                <w:szCs w:val="21"/>
                <w:lang w:val="en-US" w:eastAsia="zh-CN"/>
              </w:rPr>
              <w:t>。</w:t>
            </w:r>
          </w:p>
        </w:tc>
      </w:tr>
      <w:tr w14:paraId="36C272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1C3534CE">
            <w:pPr>
              <w:pStyle w:val="15"/>
              <w:bidi w:val="0"/>
              <w:rPr>
                <w:rFonts w:hint="default" w:ascii="Times New Roman" w:hAnsi="Times New Roman" w:cs="Times New Roman"/>
                <w:b/>
                <w:bCs/>
                <w:color w:val="auto"/>
                <w:sz w:val="21"/>
                <w:szCs w:val="21"/>
              </w:rPr>
            </w:pPr>
          </w:p>
        </w:tc>
        <w:tc>
          <w:tcPr>
            <w:tcW w:w="1222" w:type="dxa"/>
            <w:shd w:val="clear" w:color="auto" w:fill="auto"/>
            <w:tcMar>
              <w:left w:w="28" w:type="dxa"/>
              <w:right w:w="28" w:type="dxa"/>
            </w:tcMar>
            <w:vAlign w:val="center"/>
          </w:tcPr>
          <w:p w14:paraId="76062053">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eastAsia="zh-CN"/>
              </w:rPr>
              <w:t>磁混凝澄清池</w:t>
            </w:r>
          </w:p>
        </w:tc>
        <w:tc>
          <w:tcPr>
            <w:tcW w:w="2768" w:type="dxa"/>
            <w:shd w:val="clear" w:color="auto" w:fill="auto"/>
            <w:tcMar>
              <w:left w:w="28" w:type="dxa"/>
              <w:right w:w="28" w:type="dxa"/>
            </w:tcMar>
            <w:vAlign w:val="center"/>
          </w:tcPr>
          <w:p w14:paraId="7231AC30">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共设置2座磁混凝澄清池，每座包括絮凝池1座，磁混凝池2座，澄清池1座</w:t>
            </w:r>
            <w:r>
              <w:rPr>
                <w:rFonts w:hint="eastAsia" w:cs="Times New Roman"/>
                <w:color w:val="auto"/>
                <w:sz w:val="21"/>
                <w:szCs w:val="21"/>
                <w:lang w:val="en-US" w:eastAsia="zh-CN"/>
              </w:rPr>
              <w:t>。</w:t>
            </w:r>
          </w:p>
        </w:tc>
        <w:tc>
          <w:tcPr>
            <w:tcW w:w="3629" w:type="dxa"/>
            <w:shd w:val="clear" w:color="auto" w:fill="auto"/>
            <w:tcMar>
              <w:left w:w="28" w:type="dxa"/>
              <w:right w:w="28" w:type="dxa"/>
            </w:tcMar>
            <w:vAlign w:val="center"/>
          </w:tcPr>
          <w:p w14:paraId="02286D00">
            <w:pPr>
              <w:pStyle w:val="15"/>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4810" w:type="dxa"/>
            <w:shd w:val="clear" w:color="auto" w:fill="auto"/>
            <w:vAlign w:val="center"/>
          </w:tcPr>
          <w:p w14:paraId="16416A4B">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共设置2座磁混凝澄清池，每座包括絮凝池1座，磁混凝池2座，澄清池1座</w:t>
            </w:r>
            <w:r>
              <w:rPr>
                <w:rFonts w:hint="eastAsia" w:cs="Times New Roman"/>
                <w:color w:val="auto"/>
                <w:sz w:val="21"/>
                <w:szCs w:val="21"/>
                <w:lang w:val="en-US" w:eastAsia="zh-CN"/>
              </w:rPr>
              <w:t>。</w:t>
            </w:r>
          </w:p>
        </w:tc>
        <w:tc>
          <w:tcPr>
            <w:tcW w:w="1252" w:type="dxa"/>
            <w:shd w:val="clear" w:color="auto" w:fill="auto"/>
            <w:vAlign w:val="center"/>
          </w:tcPr>
          <w:p w14:paraId="7118F96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利旧</w:t>
            </w:r>
          </w:p>
        </w:tc>
      </w:tr>
      <w:tr w14:paraId="54B8D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61D51E25">
            <w:pPr>
              <w:pStyle w:val="15"/>
              <w:bidi w:val="0"/>
              <w:rPr>
                <w:rFonts w:hint="default" w:ascii="Times New Roman" w:hAnsi="Times New Roman" w:cs="Times New Roman"/>
                <w:b/>
                <w:bCs/>
                <w:color w:val="auto"/>
                <w:sz w:val="21"/>
                <w:szCs w:val="21"/>
              </w:rPr>
            </w:pPr>
          </w:p>
        </w:tc>
        <w:tc>
          <w:tcPr>
            <w:tcW w:w="1222" w:type="dxa"/>
            <w:shd w:val="clear" w:color="auto" w:fill="auto"/>
            <w:tcMar>
              <w:left w:w="28" w:type="dxa"/>
              <w:right w:w="28" w:type="dxa"/>
            </w:tcMar>
            <w:vAlign w:val="center"/>
          </w:tcPr>
          <w:p w14:paraId="77A65D6D">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eastAsia="zh-CN"/>
              </w:rPr>
              <w:t>深度脱氮池</w:t>
            </w:r>
          </w:p>
        </w:tc>
        <w:tc>
          <w:tcPr>
            <w:tcW w:w="2768" w:type="dxa"/>
            <w:shd w:val="clear" w:color="auto" w:fill="auto"/>
            <w:tcMar>
              <w:left w:w="28" w:type="dxa"/>
              <w:right w:w="28" w:type="dxa"/>
            </w:tcMar>
            <w:vAlign w:val="center"/>
          </w:tcPr>
          <w:p w14:paraId="43E74894">
            <w:pPr>
              <w:pStyle w:val="15"/>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3629" w:type="dxa"/>
            <w:shd w:val="clear" w:color="auto" w:fill="auto"/>
            <w:tcMar>
              <w:left w:w="28" w:type="dxa"/>
              <w:right w:w="28" w:type="dxa"/>
            </w:tcMar>
            <w:vAlign w:val="center"/>
          </w:tcPr>
          <w:p w14:paraId="164A37BB">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深床滤池共设计2格反硝化滤池，功能：去除SS、TN，</w:t>
            </w:r>
            <w:r>
              <w:rPr>
                <w:rFonts w:hint="eastAsia" w:cs="Times New Roman"/>
                <w:color w:val="auto"/>
                <w:sz w:val="21"/>
                <w:szCs w:val="21"/>
                <w:lang w:val="en-US" w:eastAsia="zh-CN"/>
              </w:rPr>
              <w:t>内径</w:t>
            </w:r>
            <w:r>
              <w:rPr>
                <w:rFonts w:hint="default" w:ascii="Times New Roman" w:hAnsi="Times New Roman" w:cs="Times New Roman"/>
                <w:color w:val="auto"/>
                <w:sz w:val="21"/>
                <w:szCs w:val="21"/>
                <w:lang w:val="en-US" w:eastAsia="zh-CN"/>
              </w:rPr>
              <w:t>尺寸：L×B=10.10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×2.9</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（单格），单格过滤面积：30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r>
              <w:rPr>
                <w:rFonts w:hint="default" w:ascii="Times New Roman" w:hAnsi="Times New Roman" w:cs="Times New Roman"/>
                <w:color w:val="auto"/>
                <w:sz w:val="21"/>
                <w:szCs w:val="21"/>
                <w:lang w:val="en-US" w:eastAsia="zh-CN"/>
              </w:rPr>
              <w:t>，</w:t>
            </w:r>
          </w:p>
          <w:p w14:paraId="6F775647">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设置1座废水池和1座清水池，配有1套独立的反冲洗水泵系统，共2台（1用1备），采用1套反冲洗风机系统，共2台（1用1备）和潜水排污泵2台（1用1备）</w:t>
            </w:r>
            <w:r>
              <w:rPr>
                <w:rFonts w:hint="eastAsia" w:cs="Times New Roman"/>
                <w:color w:val="auto"/>
                <w:sz w:val="21"/>
                <w:szCs w:val="21"/>
                <w:lang w:val="en-US" w:eastAsia="zh-CN"/>
              </w:rPr>
              <w:t>。</w:t>
            </w:r>
          </w:p>
        </w:tc>
        <w:tc>
          <w:tcPr>
            <w:tcW w:w="4810" w:type="dxa"/>
            <w:shd w:val="clear" w:color="auto" w:fill="auto"/>
            <w:vAlign w:val="center"/>
          </w:tcPr>
          <w:p w14:paraId="6E7D9B31">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深床滤池共设计2格反硝化滤池，功能：去除SS、TN，</w:t>
            </w:r>
            <w:r>
              <w:rPr>
                <w:rFonts w:hint="eastAsia" w:cs="Times New Roman"/>
                <w:color w:val="auto"/>
                <w:sz w:val="21"/>
                <w:szCs w:val="21"/>
                <w:lang w:val="en-US" w:eastAsia="zh-CN"/>
              </w:rPr>
              <w:t>内径</w:t>
            </w:r>
            <w:r>
              <w:rPr>
                <w:rFonts w:hint="default" w:ascii="Times New Roman" w:hAnsi="Times New Roman" w:cs="Times New Roman"/>
                <w:color w:val="auto"/>
                <w:sz w:val="21"/>
                <w:szCs w:val="21"/>
                <w:lang w:val="en-US" w:eastAsia="zh-CN"/>
              </w:rPr>
              <w:t>尺寸：L×B=10.10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×2.9</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（单格），单格过滤面积：30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p>
          <w:p w14:paraId="1EC412D9">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设置1座废水池和1座清水池，配有1套独立的反冲洗水泵系统，共2台（1用1备），采用1套反冲洗风机系统，共2台（1用1备）和潜水排污泵2台（1用1备）</w:t>
            </w:r>
            <w:r>
              <w:rPr>
                <w:rFonts w:hint="eastAsia" w:cs="Times New Roman"/>
                <w:color w:val="auto"/>
                <w:sz w:val="21"/>
                <w:szCs w:val="21"/>
                <w:lang w:val="en-US" w:eastAsia="zh-CN"/>
              </w:rPr>
              <w:t>。</w:t>
            </w:r>
          </w:p>
        </w:tc>
        <w:tc>
          <w:tcPr>
            <w:tcW w:w="1252" w:type="dxa"/>
            <w:shd w:val="clear" w:color="auto" w:fill="auto"/>
            <w:vAlign w:val="center"/>
          </w:tcPr>
          <w:p w14:paraId="50F9745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新建</w:t>
            </w:r>
          </w:p>
        </w:tc>
      </w:tr>
      <w:tr w14:paraId="691028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66384395">
            <w:pPr>
              <w:pStyle w:val="15"/>
              <w:bidi w:val="0"/>
              <w:rPr>
                <w:rFonts w:hint="default" w:ascii="Times New Roman" w:hAnsi="Times New Roman" w:cs="Times New Roman"/>
                <w:b/>
                <w:bCs/>
                <w:color w:val="auto"/>
                <w:sz w:val="21"/>
                <w:szCs w:val="21"/>
              </w:rPr>
            </w:pPr>
          </w:p>
        </w:tc>
        <w:tc>
          <w:tcPr>
            <w:tcW w:w="1222" w:type="dxa"/>
            <w:shd w:val="clear" w:color="auto" w:fill="auto"/>
            <w:tcMar>
              <w:left w:w="28" w:type="dxa"/>
              <w:right w:w="28" w:type="dxa"/>
            </w:tcMar>
            <w:vAlign w:val="center"/>
          </w:tcPr>
          <w:p w14:paraId="6BC4DA64">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消毒池</w:t>
            </w:r>
          </w:p>
        </w:tc>
        <w:tc>
          <w:tcPr>
            <w:tcW w:w="2768" w:type="dxa"/>
            <w:shd w:val="clear" w:color="auto" w:fill="auto"/>
            <w:tcMar>
              <w:left w:w="28" w:type="dxa"/>
              <w:right w:w="28" w:type="dxa"/>
            </w:tcMar>
            <w:vAlign w:val="center"/>
          </w:tcPr>
          <w:p w14:paraId="319E54EC">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数量：1座，尺寸：12.6</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×7.1</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×3.7</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（全地下）</w:t>
            </w:r>
            <w:r>
              <w:rPr>
                <w:rFonts w:hint="eastAsia" w:cs="Times New Roman"/>
                <w:color w:val="auto"/>
                <w:sz w:val="21"/>
                <w:szCs w:val="21"/>
                <w:lang w:val="en-US" w:eastAsia="zh-CN"/>
              </w:rPr>
              <w:t>。</w:t>
            </w:r>
          </w:p>
        </w:tc>
        <w:tc>
          <w:tcPr>
            <w:tcW w:w="3629" w:type="dxa"/>
            <w:shd w:val="clear" w:color="auto" w:fill="auto"/>
            <w:tcMar>
              <w:left w:w="28" w:type="dxa"/>
              <w:right w:w="28" w:type="dxa"/>
            </w:tcMar>
            <w:vAlign w:val="center"/>
          </w:tcPr>
          <w:p w14:paraId="1AA27827">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消毒池还可使用，需要维修</w:t>
            </w:r>
            <w:r>
              <w:rPr>
                <w:rFonts w:hint="eastAsia" w:cs="Times New Roman"/>
                <w:color w:val="auto"/>
                <w:sz w:val="21"/>
                <w:szCs w:val="21"/>
                <w:lang w:val="en-US" w:eastAsia="zh-CN"/>
              </w:rPr>
              <w:t>。</w:t>
            </w:r>
          </w:p>
        </w:tc>
        <w:tc>
          <w:tcPr>
            <w:tcW w:w="4810" w:type="dxa"/>
            <w:shd w:val="clear" w:color="auto" w:fill="auto"/>
            <w:vAlign w:val="center"/>
          </w:tcPr>
          <w:p w14:paraId="704205B1">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数量：1座，尺寸：12.6</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×7.1</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×3.7</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（全地下）</w:t>
            </w:r>
          </w:p>
        </w:tc>
        <w:tc>
          <w:tcPr>
            <w:tcW w:w="1252" w:type="dxa"/>
            <w:shd w:val="clear" w:color="auto" w:fill="auto"/>
            <w:vAlign w:val="center"/>
          </w:tcPr>
          <w:p w14:paraId="657F340F">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维修</w:t>
            </w:r>
          </w:p>
        </w:tc>
      </w:tr>
      <w:tr w14:paraId="7FD440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36EC1EED">
            <w:pPr>
              <w:pStyle w:val="15"/>
              <w:bidi w:val="0"/>
              <w:rPr>
                <w:rFonts w:hint="default" w:ascii="Times New Roman" w:hAnsi="Times New Roman" w:cs="Times New Roman"/>
                <w:b/>
                <w:bCs/>
                <w:color w:val="auto"/>
                <w:sz w:val="21"/>
                <w:szCs w:val="21"/>
              </w:rPr>
            </w:pPr>
          </w:p>
        </w:tc>
        <w:tc>
          <w:tcPr>
            <w:tcW w:w="1222" w:type="dxa"/>
            <w:shd w:val="clear" w:color="auto" w:fill="auto"/>
            <w:tcMar>
              <w:left w:w="28" w:type="dxa"/>
              <w:right w:w="28" w:type="dxa"/>
            </w:tcMar>
            <w:vAlign w:val="center"/>
          </w:tcPr>
          <w:p w14:paraId="30694816">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配水集泥井（原外回流污泥池）</w:t>
            </w:r>
          </w:p>
        </w:tc>
        <w:tc>
          <w:tcPr>
            <w:tcW w:w="2768" w:type="dxa"/>
            <w:shd w:val="clear" w:color="auto" w:fill="auto"/>
            <w:tcMar>
              <w:left w:w="28" w:type="dxa"/>
              <w:right w:w="28" w:type="dxa"/>
            </w:tcMar>
            <w:vAlign w:val="center"/>
          </w:tcPr>
          <w:p w14:paraId="56AC3CCF">
            <w:pPr>
              <w:pStyle w:val="15"/>
              <w:bidi w:val="0"/>
              <w:jc w:val="left"/>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数量：1座，尺寸：10.2</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×6.6</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×4.0</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（全地下）</w:t>
            </w:r>
          </w:p>
          <w:p w14:paraId="7EA5F3EF">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eastAsia="zh-CN"/>
              </w:rPr>
              <w:t>主要设备：污泥回流泵2台</w:t>
            </w:r>
            <w:r>
              <w:rPr>
                <w:rFonts w:hint="eastAsia" w:cs="Times New Roman"/>
                <w:color w:val="auto"/>
                <w:sz w:val="21"/>
                <w:szCs w:val="21"/>
                <w:lang w:eastAsia="zh-CN"/>
              </w:rPr>
              <w:t>。</w:t>
            </w:r>
          </w:p>
        </w:tc>
        <w:tc>
          <w:tcPr>
            <w:tcW w:w="3629" w:type="dxa"/>
            <w:shd w:val="clear" w:color="auto" w:fill="auto"/>
            <w:tcMar>
              <w:left w:w="28" w:type="dxa"/>
              <w:right w:w="28" w:type="dxa"/>
            </w:tcMar>
            <w:vAlign w:val="center"/>
          </w:tcPr>
          <w:p w14:paraId="70F35681">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池体和设备老化严重，需要加固池体及更换设备</w:t>
            </w:r>
            <w:r>
              <w:rPr>
                <w:rFonts w:hint="eastAsia" w:cs="Times New Roman"/>
                <w:color w:val="auto"/>
                <w:sz w:val="21"/>
                <w:szCs w:val="21"/>
                <w:lang w:val="en-US" w:eastAsia="zh-CN"/>
              </w:rPr>
              <w:t>。</w:t>
            </w:r>
          </w:p>
        </w:tc>
        <w:tc>
          <w:tcPr>
            <w:tcW w:w="4810" w:type="dxa"/>
            <w:shd w:val="clear" w:color="auto" w:fill="auto"/>
            <w:vAlign w:val="center"/>
          </w:tcPr>
          <w:p w14:paraId="3894C59F">
            <w:pPr>
              <w:pStyle w:val="15"/>
              <w:bidi w:val="0"/>
              <w:jc w:val="left"/>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数量：1座，尺寸：10.2</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×6.6</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×4.0</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（全地下）</w:t>
            </w:r>
          </w:p>
          <w:p w14:paraId="29D6AE14">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eastAsia="zh-CN"/>
              </w:rPr>
              <w:t>主要设备：污泥回流泵2台</w:t>
            </w:r>
            <w:r>
              <w:rPr>
                <w:rFonts w:hint="eastAsia" w:cs="Times New Roman"/>
                <w:color w:val="auto"/>
                <w:sz w:val="21"/>
                <w:szCs w:val="21"/>
                <w:lang w:eastAsia="zh-CN"/>
              </w:rPr>
              <w:t>。</w:t>
            </w:r>
          </w:p>
        </w:tc>
        <w:tc>
          <w:tcPr>
            <w:tcW w:w="1252" w:type="dxa"/>
            <w:shd w:val="clear" w:color="auto" w:fill="auto"/>
            <w:vAlign w:val="center"/>
          </w:tcPr>
          <w:p w14:paraId="559988A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加固池体，更换设备</w:t>
            </w:r>
            <w:r>
              <w:rPr>
                <w:rFonts w:hint="eastAsia" w:cs="Times New Roman"/>
                <w:color w:val="auto"/>
                <w:sz w:val="21"/>
                <w:szCs w:val="21"/>
                <w:lang w:val="en-US" w:eastAsia="zh-CN"/>
              </w:rPr>
              <w:t>。</w:t>
            </w:r>
          </w:p>
        </w:tc>
      </w:tr>
      <w:tr w14:paraId="00F2F4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475093D2">
            <w:pPr>
              <w:pStyle w:val="15"/>
              <w:bidi w:val="0"/>
              <w:rPr>
                <w:rFonts w:hint="default" w:ascii="Times New Roman" w:hAnsi="Times New Roman" w:cs="Times New Roman"/>
                <w:b/>
                <w:bCs/>
                <w:color w:val="auto"/>
                <w:sz w:val="21"/>
                <w:szCs w:val="21"/>
              </w:rPr>
            </w:pPr>
          </w:p>
        </w:tc>
        <w:tc>
          <w:tcPr>
            <w:tcW w:w="1222" w:type="dxa"/>
            <w:shd w:val="clear" w:color="auto" w:fill="auto"/>
            <w:tcMar>
              <w:left w:w="28" w:type="dxa"/>
              <w:right w:w="28" w:type="dxa"/>
            </w:tcMar>
            <w:vAlign w:val="center"/>
          </w:tcPr>
          <w:p w14:paraId="5E17322F">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污泥池（原混合反应池）</w:t>
            </w:r>
          </w:p>
        </w:tc>
        <w:tc>
          <w:tcPr>
            <w:tcW w:w="2768" w:type="dxa"/>
            <w:shd w:val="clear" w:color="auto" w:fill="auto"/>
            <w:tcMar>
              <w:left w:w="28" w:type="dxa"/>
              <w:right w:w="28" w:type="dxa"/>
            </w:tcMar>
            <w:vAlign w:val="center"/>
          </w:tcPr>
          <w:p w14:paraId="7529801F">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数量：1座，尺寸：9.6</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×5.2</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×3.95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（全地下）</w:t>
            </w:r>
          </w:p>
          <w:p w14:paraId="1A25CC60">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主要设备：剩余污泥泵4台</w:t>
            </w:r>
            <w:r>
              <w:rPr>
                <w:rFonts w:hint="eastAsia" w:cs="Times New Roman"/>
                <w:color w:val="auto"/>
                <w:sz w:val="21"/>
                <w:szCs w:val="21"/>
                <w:lang w:val="en-US" w:eastAsia="zh-CN"/>
              </w:rPr>
              <w:t>。</w:t>
            </w:r>
          </w:p>
        </w:tc>
        <w:tc>
          <w:tcPr>
            <w:tcW w:w="3629" w:type="dxa"/>
            <w:shd w:val="clear" w:color="auto" w:fill="auto"/>
            <w:tcMar>
              <w:left w:w="28" w:type="dxa"/>
              <w:right w:w="28" w:type="dxa"/>
            </w:tcMar>
            <w:vAlign w:val="center"/>
          </w:tcPr>
          <w:p w14:paraId="7AC9EC4F">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水池主体还可使用，需要维修</w:t>
            </w:r>
            <w:r>
              <w:rPr>
                <w:rFonts w:hint="eastAsia" w:cs="Times New Roman"/>
                <w:color w:val="auto"/>
                <w:sz w:val="21"/>
                <w:szCs w:val="21"/>
                <w:lang w:val="en-US" w:eastAsia="zh-CN"/>
              </w:rPr>
              <w:t>。</w:t>
            </w:r>
          </w:p>
        </w:tc>
        <w:tc>
          <w:tcPr>
            <w:tcW w:w="4810" w:type="dxa"/>
            <w:shd w:val="clear" w:color="auto" w:fill="auto"/>
            <w:vAlign w:val="center"/>
          </w:tcPr>
          <w:p w14:paraId="213FE37A">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数量：1座，尺寸：9.6</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×5.2</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×3.95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（全地下）</w:t>
            </w:r>
          </w:p>
          <w:p w14:paraId="7D509FC5">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主要设备：剩余污泥泵4台</w:t>
            </w:r>
            <w:r>
              <w:rPr>
                <w:rFonts w:hint="eastAsia" w:cs="Times New Roman"/>
                <w:color w:val="auto"/>
                <w:sz w:val="21"/>
                <w:szCs w:val="21"/>
                <w:lang w:val="en-US" w:eastAsia="zh-CN"/>
              </w:rPr>
              <w:t>。</w:t>
            </w:r>
          </w:p>
        </w:tc>
        <w:tc>
          <w:tcPr>
            <w:tcW w:w="1252" w:type="dxa"/>
            <w:shd w:val="clear" w:color="auto" w:fill="auto"/>
            <w:vAlign w:val="center"/>
          </w:tcPr>
          <w:p w14:paraId="4596A70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更换设备</w:t>
            </w:r>
          </w:p>
        </w:tc>
      </w:tr>
      <w:tr w14:paraId="6F1382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68CE387E">
            <w:pPr>
              <w:pStyle w:val="15"/>
              <w:bidi w:val="0"/>
              <w:rPr>
                <w:rFonts w:hint="default" w:ascii="Times New Roman" w:hAnsi="Times New Roman" w:cs="Times New Roman"/>
                <w:b/>
                <w:bCs/>
                <w:color w:val="auto"/>
                <w:sz w:val="21"/>
                <w:szCs w:val="21"/>
              </w:rPr>
            </w:pPr>
          </w:p>
        </w:tc>
        <w:tc>
          <w:tcPr>
            <w:tcW w:w="1222" w:type="dxa"/>
            <w:tcMar>
              <w:left w:w="28" w:type="dxa"/>
              <w:right w:w="28" w:type="dxa"/>
            </w:tcMar>
            <w:vAlign w:val="center"/>
          </w:tcPr>
          <w:p w14:paraId="2C91826B">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储泥池（原污泥调整池）</w:t>
            </w:r>
          </w:p>
        </w:tc>
        <w:tc>
          <w:tcPr>
            <w:tcW w:w="2768" w:type="dxa"/>
            <w:shd w:val="clear" w:color="auto" w:fill="auto"/>
            <w:tcMar>
              <w:left w:w="28" w:type="dxa"/>
              <w:right w:w="28" w:type="dxa"/>
            </w:tcMar>
            <w:vAlign w:val="center"/>
          </w:tcPr>
          <w:p w14:paraId="0758C40C">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数量：1座，尺寸：11.6</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×6.6</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×4.0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（地下1.75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w:t>
            </w:r>
          </w:p>
          <w:p w14:paraId="166EB5D7">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主要设备：污泥泵4台</w:t>
            </w:r>
            <w:r>
              <w:rPr>
                <w:rFonts w:hint="eastAsia" w:cs="Times New Roman"/>
                <w:color w:val="auto"/>
                <w:sz w:val="21"/>
                <w:szCs w:val="21"/>
                <w:lang w:val="en-US" w:eastAsia="zh-CN"/>
              </w:rPr>
              <w:t>。</w:t>
            </w:r>
          </w:p>
        </w:tc>
        <w:tc>
          <w:tcPr>
            <w:tcW w:w="3629" w:type="dxa"/>
            <w:tcMar>
              <w:left w:w="28" w:type="dxa"/>
              <w:right w:w="28" w:type="dxa"/>
            </w:tcMar>
            <w:vAlign w:val="center"/>
          </w:tcPr>
          <w:p w14:paraId="19BAD4FC">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水池结构还可使用，维护钢结构建筑需要维修</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设备锈蚀，需要更换</w:t>
            </w:r>
            <w:r>
              <w:rPr>
                <w:rFonts w:hint="eastAsia" w:cs="Times New Roman"/>
                <w:color w:val="auto"/>
                <w:sz w:val="21"/>
                <w:szCs w:val="21"/>
                <w:lang w:val="en-US" w:eastAsia="zh-CN"/>
              </w:rPr>
              <w:t>。</w:t>
            </w:r>
          </w:p>
        </w:tc>
        <w:tc>
          <w:tcPr>
            <w:tcW w:w="4810" w:type="dxa"/>
            <w:shd w:val="clear" w:color="auto" w:fill="auto"/>
            <w:vAlign w:val="center"/>
          </w:tcPr>
          <w:p w14:paraId="20D696A2">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数量：1座，尺寸：11.6</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×6.6</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×4.0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（地下1.75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w:t>
            </w:r>
          </w:p>
          <w:p w14:paraId="07190F7C">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主要设备：污泥泵4台</w:t>
            </w:r>
            <w:r>
              <w:rPr>
                <w:rFonts w:hint="eastAsia" w:cs="Times New Roman"/>
                <w:color w:val="auto"/>
                <w:sz w:val="21"/>
                <w:szCs w:val="21"/>
                <w:lang w:val="en-US" w:eastAsia="zh-CN"/>
              </w:rPr>
              <w:t>。</w:t>
            </w:r>
          </w:p>
        </w:tc>
        <w:tc>
          <w:tcPr>
            <w:tcW w:w="1252" w:type="dxa"/>
            <w:vAlign w:val="center"/>
          </w:tcPr>
          <w:p w14:paraId="2A27F88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建筑维修，更换设备</w:t>
            </w:r>
          </w:p>
        </w:tc>
      </w:tr>
      <w:tr w14:paraId="68C8A7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6C9320B7">
            <w:pPr>
              <w:pStyle w:val="15"/>
              <w:bidi w:val="0"/>
              <w:rPr>
                <w:rFonts w:hint="default" w:ascii="Times New Roman" w:hAnsi="Times New Roman" w:cs="Times New Roman"/>
                <w:b/>
                <w:bCs/>
                <w:color w:val="auto"/>
                <w:sz w:val="21"/>
                <w:szCs w:val="21"/>
              </w:rPr>
            </w:pPr>
          </w:p>
        </w:tc>
        <w:tc>
          <w:tcPr>
            <w:tcW w:w="1222" w:type="dxa"/>
            <w:tcMar>
              <w:left w:w="28" w:type="dxa"/>
              <w:right w:w="28" w:type="dxa"/>
            </w:tcMar>
            <w:vAlign w:val="center"/>
          </w:tcPr>
          <w:p w14:paraId="116A5194">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污泥脱水机房</w:t>
            </w:r>
          </w:p>
        </w:tc>
        <w:tc>
          <w:tcPr>
            <w:tcW w:w="2768" w:type="dxa"/>
            <w:shd w:val="clear" w:color="auto" w:fill="auto"/>
            <w:tcMar>
              <w:left w:w="28" w:type="dxa"/>
              <w:right w:w="28" w:type="dxa"/>
            </w:tcMar>
            <w:vAlign w:val="center"/>
          </w:tcPr>
          <w:p w14:paraId="062BA91F">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数量：1座，尺寸：14.3</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×11.3</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×6</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（地上，两层）</w:t>
            </w:r>
          </w:p>
          <w:p w14:paraId="0912C9D7">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压滤机泵：2台，规格：NM053BY01L06V，Q=6-30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/h，N=5.5kW。</w:t>
            </w:r>
          </w:p>
          <w:p w14:paraId="6EFB8E2B">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带式脱水机：2台，规格：DNY1000A，B=1.0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，N=1.1+0.75kW</w:t>
            </w:r>
            <w:r>
              <w:rPr>
                <w:rFonts w:hint="eastAsia" w:cs="Times New Roman"/>
                <w:color w:val="auto"/>
                <w:sz w:val="21"/>
                <w:szCs w:val="21"/>
                <w:lang w:val="en-US" w:eastAsia="zh-CN"/>
              </w:rPr>
              <w:t>，</w:t>
            </w:r>
          </w:p>
          <w:p w14:paraId="6534857D">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污泥烘干机：1套，规格：20t/天</w:t>
            </w:r>
            <w:r>
              <w:rPr>
                <w:rFonts w:hint="eastAsia" w:cs="Times New Roman"/>
                <w:color w:val="auto"/>
                <w:sz w:val="21"/>
                <w:szCs w:val="21"/>
                <w:lang w:val="en-US" w:eastAsia="zh-CN"/>
              </w:rPr>
              <w:t>。</w:t>
            </w:r>
          </w:p>
        </w:tc>
        <w:tc>
          <w:tcPr>
            <w:tcW w:w="3629" w:type="dxa"/>
            <w:tcMar>
              <w:left w:w="28" w:type="dxa"/>
              <w:right w:w="28" w:type="dxa"/>
            </w:tcMar>
            <w:vAlign w:val="center"/>
          </w:tcPr>
          <w:p w14:paraId="38DD47BA">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污泥脱水机房完好，压滤机和污泥烘干机使用达不到要求，需要更换</w:t>
            </w:r>
            <w:r>
              <w:rPr>
                <w:rFonts w:hint="eastAsia" w:cs="Times New Roman"/>
                <w:color w:val="auto"/>
                <w:sz w:val="21"/>
                <w:szCs w:val="21"/>
                <w:lang w:val="en-US" w:eastAsia="zh-CN"/>
              </w:rPr>
              <w:t>。</w:t>
            </w:r>
          </w:p>
        </w:tc>
        <w:tc>
          <w:tcPr>
            <w:tcW w:w="4810" w:type="dxa"/>
            <w:shd w:val="clear" w:color="auto" w:fill="auto"/>
            <w:vAlign w:val="center"/>
          </w:tcPr>
          <w:p w14:paraId="29C79DD6">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数量：1座，尺寸：14.3</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×11.3</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×6</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（地上，两层）</w:t>
            </w:r>
          </w:p>
          <w:p w14:paraId="51D7E653">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采用</w:t>
            </w:r>
            <w:r>
              <w:rPr>
                <w:rFonts w:hint="eastAsia" w:ascii="Times New Roman" w:hAnsi="Times New Roman" w:eastAsia="宋体" w:cs="Times New Roman"/>
                <w:color w:val="auto"/>
                <w:sz w:val="21"/>
                <w:szCs w:val="21"/>
                <w:lang w:val="en-US" w:eastAsia="zh-CN"/>
              </w:rPr>
              <w:t>“</w:t>
            </w:r>
            <w:r>
              <w:rPr>
                <w:rFonts w:hint="default" w:ascii="Times New Roman" w:hAnsi="Times New Roman" w:cs="Times New Roman"/>
                <w:color w:val="auto"/>
                <w:sz w:val="21"/>
                <w:szCs w:val="21"/>
                <w:lang w:val="en-US" w:eastAsia="zh-CN"/>
              </w:rPr>
              <w:t>浓缩+调理+超高压压榨</w:t>
            </w:r>
            <w:r>
              <w:rPr>
                <w:rFonts w:hint="eastAsia" w:ascii="Times New Roman" w:hAnsi="Times New Roman" w:eastAsia="宋体" w:cs="Times New Roman"/>
                <w:color w:val="auto"/>
                <w:sz w:val="21"/>
                <w:szCs w:val="21"/>
                <w:lang w:val="en-US" w:eastAsia="zh-CN"/>
              </w:rPr>
              <w:t>”</w:t>
            </w:r>
            <w:r>
              <w:rPr>
                <w:rFonts w:hint="default" w:ascii="Times New Roman" w:hAnsi="Times New Roman" w:cs="Times New Roman"/>
                <w:color w:val="auto"/>
                <w:sz w:val="21"/>
                <w:szCs w:val="21"/>
                <w:lang w:val="en-US" w:eastAsia="zh-CN"/>
              </w:rPr>
              <w:t>工艺，选用1台40平TH型压榨机</w:t>
            </w:r>
            <w:r>
              <w:rPr>
                <w:rFonts w:hint="eastAsia" w:cs="Times New Roman"/>
                <w:color w:val="auto"/>
                <w:sz w:val="21"/>
                <w:szCs w:val="21"/>
                <w:lang w:val="en-US" w:eastAsia="zh-CN"/>
              </w:rPr>
              <w:t>。</w:t>
            </w:r>
          </w:p>
        </w:tc>
        <w:tc>
          <w:tcPr>
            <w:tcW w:w="1252" w:type="dxa"/>
            <w:vAlign w:val="center"/>
          </w:tcPr>
          <w:p w14:paraId="28E83B1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更换设备</w:t>
            </w:r>
          </w:p>
        </w:tc>
      </w:tr>
      <w:tr w14:paraId="367B62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44A6FEE2">
            <w:pPr>
              <w:pStyle w:val="15"/>
              <w:bidi w:val="0"/>
              <w:rPr>
                <w:rFonts w:hint="default" w:ascii="Times New Roman" w:hAnsi="Times New Roman" w:cs="Times New Roman"/>
                <w:b/>
                <w:bCs/>
                <w:color w:val="auto"/>
                <w:sz w:val="21"/>
                <w:szCs w:val="21"/>
              </w:rPr>
            </w:pPr>
          </w:p>
        </w:tc>
        <w:tc>
          <w:tcPr>
            <w:tcW w:w="1222" w:type="dxa"/>
            <w:tcMar>
              <w:left w:w="28" w:type="dxa"/>
              <w:right w:w="28" w:type="dxa"/>
            </w:tcMar>
            <w:vAlign w:val="center"/>
          </w:tcPr>
          <w:p w14:paraId="6E758C93">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加药间</w:t>
            </w:r>
          </w:p>
        </w:tc>
        <w:tc>
          <w:tcPr>
            <w:tcW w:w="2768" w:type="dxa"/>
            <w:shd w:val="clear" w:color="auto" w:fill="auto"/>
            <w:tcMar>
              <w:left w:w="28" w:type="dxa"/>
              <w:right w:w="28" w:type="dxa"/>
            </w:tcMar>
            <w:vAlign w:val="center"/>
          </w:tcPr>
          <w:p w14:paraId="11782F26">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数量：1座；尺寸：14</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×7.1</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×4.5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（全地上）</w:t>
            </w:r>
            <w:r>
              <w:rPr>
                <w:rFonts w:hint="eastAsia" w:cs="Times New Roman"/>
                <w:color w:val="auto"/>
                <w:sz w:val="21"/>
                <w:szCs w:val="21"/>
                <w:lang w:val="en-US" w:eastAsia="zh-CN"/>
              </w:rPr>
              <w:t>。</w:t>
            </w:r>
          </w:p>
        </w:tc>
        <w:tc>
          <w:tcPr>
            <w:tcW w:w="3629" w:type="dxa"/>
            <w:tcMar>
              <w:left w:w="28" w:type="dxa"/>
              <w:right w:w="28" w:type="dxa"/>
            </w:tcMar>
            <w:vAlign w:val="center"/>
          </w:tcPr>
          <w:p w14:paraId="54DB34F9">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加药间建筑需要维修，设备陈旧，投加计量不准确，需要全部更换</w:t>
            </w:r>
            <w:r>
              <w:rPr>
                <w:rFonts w:hint="eastAsia" w:cs="Times New Roman"/>
                <w:color w:val="auto"/>
                <w:sz w:val="21"/>
                <w:szCs w:val="21"/>
                <w:lang w:val="en-US" w:eastAsia="zh-CN"/>
              </w:rPr>
              <w:t>。</w:t>
            </w:r>
          </w:p>
        </w:tc>
        <w:tc>
          <w:tcPr>
            <w:tcW w:w="4810" w:type="dxa"/>
            <w:shd w:val="clear" w:color="auto" w:fill="auto"/>
            <w:vAlign w:val="center"/>
          </w:tcPr>
          <w:p w14:paraId="6961BD98">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数量：1座；尺寸：14</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×7.1</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×4.5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（全地上）</w:t>
            </w:r>
          </w:p>
        </w:tc>
        <w:tc>
          <w:tcPr>
            <w:tcW w:w="1252" w:type="dxa"/>
            <w:vAlign w:val="center"/>
          </w:tcPr>
          <w:p w14:paraId="11A400E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建筑维修，更换设备</w:t>
            </w:r>
            <w:r>
              <w:rPr>
                <w:rFonts w:hint="eastAsia" w:cs="Times New Roman"/>
                <w:color w:val="auto"/>
                <w:sz w:val="21"/>
                <w:szCs w:val="21"/>
                <w:lang w:val="en-US" w:eastAsia="zh-CN"/>
              </w:rPr>
              <w:t>。</w:t>
            </w:r>
          </w:p>
        </w:tc>
      </w:tr>
      <w:tr w14:paraId="46E13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4F17F99C">
            <w:pPr>
              <w:pStyle w:val="15"/>
              <w:bidi w:val="0"/>
              <w:rPr>
                <w:rFonts w:hint="default" w:ascii="Times New Roman" w:hAnsi="Times New Roman" w:cs="Times New Roman"/>
                <w:b/>
                <w:bCs/>
                <w:color w:val="auto"/>
                <w:sz w:val="21"/>
                <w:szCs w:val="21"/>
              </w:rPr>
            </w:pPr>
          </w:p>
        </w:tc>
        <w:tc>
          <w:tcPr>
            <w:tcW w:w="1222" w:type="dxa"/>
            <w:shd w:val="clear" w:color="auto" w:fill="auto"/>
            <w:tcMar>
              <w:left w:w="28" w:type="dxa"/>
              <w:right w:w="28" w:type="dxa"/>
            </w:tcMar>
            <w:vAlign w:val="center"/>
          </w:tcPr>
          <w:p w14:paraId="3A8943F7">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碳源投加间</w:t>
            </w:r>
          </w:p>
        </w:tc>
        <w:tc>
          <w:tcPr>
            <w:tcW w:w="2768" w:type="dxa"/>
            <w:shd w:val="clear" w:color="auto" w:fill="auto"/>
            <w:tcMar>
              <w:left w:w="28" w:type="dxa"/>
              <w:right w:w="28" w:type="dxa"/>
            </w:tcMar>
            <w:vAlign w:val="center"/>
          </w:tcPr>
          <w:p w14:paraId="499D0EFB">
            <w:pPr>
              <w:pStyle w:val="15"/>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3629" w:type="dxa"/>
            <w:shd w:val="clear" w:color="auto" w:fill="auto"/>
            <w:tcMar>
              <w:left w:w="28" w:type="dxa"/>
              <w:right w:w="28" w:type="dxa"/>
            </w:tcMar>
            <w:vAlign w:val="center"/>
          </w:tcPr>
          <w:p w14:paraId="1AD7FF76">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由一期在线检测室改造</w:t>
            </w:r>
            <w:r>
              <w:rPr>
                <w:rFonts w:hint="eastAsia" w:cs="Times New Roman"/>
                <w:color w:val="auto"/>
                <w:sz w:val="21"/>
                <w:szCs w:val="21"/>
                <w:lang w:val="en-US" w:eastAsia="zh-CN"/>
              </w:rPr>
              <w:t>而成。</w:t>
            </w:r>
          </w:p>
        </w:tc>
        <w:tc>
          <w:tcPr>
            <w:tcW w:w="4810" w:type="dxa"/>
            <w:shd w:val="clear" w:color="auto" w:fill="auto"/>
            <w:vAlign w:val="center"/>
          </w:tcPr>
          <w:p w14:paraId="777BD95D">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尺寸：5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×4</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×3.75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，作为缺氧池冬季碳源备用投加设施，加药间内设有碳源投加装置2套，同时设2个溶液池，单个溶液池有效容积为8</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，占地面积2.0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×2.0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，有效水深2.10</w:t>
            </w:r>
            <w:r>
              <w:rPr>
                <w:rFonts w:hint="eastAsia" w:cs="Times New Roman"/>
                <w:color w:val="auto"/>
                <w:sz w:val="21"/>
                <w:szCs w:val="21"/>
                <w:lang w:val="en-US" w:eastAsia="zh-CN"/>
              </w:rPr>
              <w:t>m。</w:t>
            </w:r>
          </w:p>
        </w:tc>
        <w:tc>
          <w:tcPr>
            <w:tcW w:w="1252" w:type="dxa"/>
            <w:shd w:val="clear" w:color="auto" w:fill="auto"/>
            <w:vAlign w:val="center"/>
          </w:tcPr>
          <w:p w14:paraId="71B7BFB1">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改造</w:t>
            </w:r>
          </w:p>
        </w:tc>
      </w:tr>
      <w:tr w14:paraId="43DC5F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47988A55">
            <w:pPr>
              <w:pStyle w:val="15"/>
              <w:bidi w:val="0"/>
              <w:rPr>
                <w:rFonts w:hint="default" w:ascii="Times New Roman" w:hAnsi="Times New Roman" w:cs="Times New Roman"/>
                <w:b/>
                <w:bCs/>
                <w:color w:val="auto"/>
                <w:sz w:val="21"/>
                <w:szCs w:val="21"/>
              </w:rPr>
            </w:pPr>
          </w:p>
        </w:tc>
        <w:tc>
          <w:tcPr>
            <w:tcW w:w="1222" w:type="dxa"/>
            <w:tcMar>
              <w:left w:w="28" w:type="dxa"/>
              <w:right w:w="28" w:type="dxa"/>
            </w:tcMar>
            <w:vAlign w:val="center"/>
          </w:tcPr>
          <w:p w14:paraId="7AE09C67">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鼓风机房</w:t>
            </w:r>
          </w:p>
        </w:tc>
        <w:tc>
          <w:tcPr>
            <w:tcW w:w="2768" w:type="dxa"/>
            <w:shd w:val="clear" w:color="auto" w:fill="auto"/>
            <w:tcMar>
              <w:left w:w="28" w:type="dxa"/>
              <w:right w:w="28" w:type="dxa"/>
            </w:tcMar>
            <w:vAlign w:val="center"/>
          </w:tcPr>
          <w:p w14:paraId="134FE59D">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数量：1间，尺寸：19.7</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×8.9</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×5.55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（全地上），砖混结构，数量：1座，</w:t>
            </w:r>
            <w:r>
              <w:rPr>
                <w:rFonts w:hint="eastAsia" w:cs="Times New Roman"/>
                <w:color w:val="auto"/>
                <w:sz w:val="21"/>
                <w:szCs w:val="21"/>
                <w:lang w:val="en-US" w:eastAsia="zh-CN"/>
              </w:rPr>
              <w:t>尺寸</w:t>
            </w:r>
            <w:r>
              <w:rPr>
                <w:rFonts w:hint="default" w:ascii="Times New Roman" w:hAnsi="Times New Roman" w:cs="Times New Roman"/>
                <w:color w:val="auto"/>
                <w:sz w:val="21"/>
                <w:szCs w:val="21"/>
                <w:lang w:val="en-US" w:eastAsia="zh-CN"/>
              </w:rPr>
              <w:t>10.6</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×8.9</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=174.1</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w:t>
            </w:r>
          </w:p>
        </w:tc>
        <w:tc>
          <w:tcPr>
            <w:tcW w:w="3629" w:type="dxa"/>
            <w:tcMar>
              <w:left w:w="28" w:type="dxa"/>
              <w:right w:w="28" w:type="dxa"/>
            </w:tcMar>
            <w:vAlign w:val="center"/>
          </w:tcPr>
          <w:p w14:paraId="66A5A331">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建筑需要维修，设备陈旧需要更换改造</w:t>
            </w:r>
            <w:r>
              <w:rPr>
                <w:rFonts w:hint="eastAsia" w:cs="Times New Roman"/>
                <w:color w:val="auto"/>
                <w:sz w:val="21"/>
                <w:szCs w:val="21"/>
                <w:lang w:val="en-US" w:eastAsia="zh-CN"/>
              </w:rPr>
              <w:t>。</w:t>
            </w:r>
          </w:p>
        </w:tc>
        <w:tc>
          <w:tcPr>
            <w:tcW w:w="4810" w:type="dxa"/>
            <w:shd w:val="clear" w:color="auto" w:fill="auto"/>
            <w:vAlign w:val="center"/>
          </w:tcPr>
          <w:p w14:paraId="523032CB">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数量：1间，尺寸：19.7</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×8.9</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×5.55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（全地上），砖混结构，数量：1座，</w:t>
            </w:r>
            <w:r>
              <w:rPr>
                <w:rFonts w:hint="eastAsia" w:cs="Times New Roman"/>
                <w:color w:val="auto"/>
                <w:sz w:val="21"/>
                <w:szCs w:val="21"/>
                <w:lang w:val="en-US" w:eastAsia="zh-CN"/>
              </w:rPr>
              <w:t>尺寸</w:t>
            </w:r>
            <w:r>
              <w:rPr>
                <w:rFonts w:hint="default" w:ascii="Times New Roman" w:hAnsi="Times New Roman" w:cs="Times New Roman"/>
                <w:color w:val="auto"/>
                <w:sz w:val="21"/>
                <w:szCs w:val="21"/>
                <w:lang w:val="en-US" w:eastAsia="zh-CN"/>
              </w:rPr>
              <w:t>10.6</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×8.9</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=174.1</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w:t>
            </w:r>
          </w:p>
        </w:tc>
        <w:tc>
          <w:tcPr>
            <w:tcW w:w="1252" w:type="dxa"/>
            <w:vAlign w:val="center"/>
          </w:tcPr>
          <w:p w14:paraId="475DBA8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建筑维修，更换设备</w:t>
            </w:r>
            <w:r>
              <w:rPr>
                <w:rFonts w:hint="eastAsia" w:cs="Times New Roman"/>
                <w:color w:val="auto"/>
                <w:sz w:val="21"/>
                <w:szCs w:val="21"/>
                <w:lang w:val="en-US" w:eastAsia="zh-CN"/>
              </w:rPr>
              <w:t>。</w:t>
            </w:r>
          </w:p>
        </w:tc>
      </w:tr>
      <w:tr w14:paraId="2B98AF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7B065306">
            <w:pPr>
              <w:pStyle w:val="15"/>
              <w:bidi w:val="0"/>
              <w:rPr>
                <w:rFonts w:hint="default" w:ascii="Times New Roman" w:hAnsi="Times New Roman" w:cs="Times New Roman"/>
                <w:b/>
                <w:bCs/>
                <w:color w:val="auto"/>
                <w:sz w:val="21"/>
                <w:szCs w:val="21"/>
              </w:rPr>
            </w:pPr>
          </w:p>
        </w:tc>
        <w:tc>
          <w:tcPr>
            <w:tcW w:w="1222" w:type="dxa"/>
            <w:tcMar>
              <w:left w:w="28" w:type="dxa"/>
              <w:right w:w="28" w:type="dxa"/>
            </w:tcMar>
            <w:vAlign w:val="center"/>
          </w:tcPr>
          <w:p w14:paraId="4B495A39">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除臭设施</w:t>
            </w:r>
          </w:p>
        </w:tc>
        <w:tc>
          <w:tcPr>
            <w:tcW w:w="2768" w:type="dxa"/>
            <w:shd w:val="clear" w:color="auto" w:fill="auto"/>
            <w:tcMar>
              <w:left w:w="28" w:type="dxa"/>
              <w:right w:w="28" w:type="dxa"/>
            </w:tcMar>
            <w:vAlign w:val="center"/>
          </w:tcPr>
          <w:p w14:paraId="52C22E0F">
            <w:pPr>
              <w:pStyle w:val="15"/>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3629" w:type="dxa"/>
            <w:tcMar>
              <w:left w:w="28" w:type="dxa"/>
              <w:right w:w="28" w:type="dxa"/>
            </w:tcMar>
            <w:vAlign w:val="center"/>
          </w:tcPr>
          <w:p w14:paraId="26FD87B4">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生物池的缺氧段安装微生物培养箱4台，采用全流程除臭工艺</w:t>
            </w:r>
            <w:r>
              <w:rPr>
                <w:rFonts w:hint="eastAsia" w:cs="Times New Roman"/>
                <w:color w:val="auto"/>
                <w:sz w:val="21"/>
                <w:szCs w:val="21"/>
                <w:lang w:val="en-US" w:eastAsia="zh-CN"/>
              </w:rPr>
              <w:t>。</w:t>
            </w:r>
          </w:p>
        </w:tc>
        <w:tc>
          <w:tcPr>
            <w:tcW w:w="4810" w:type="dxa"/>
            <w:shd w:val="clear" w:color="auto" w:fill="auto"/>
            <w:vAlign w:val="center"/>
          </w:tcPr>
          <w:p w14:paraId="401F27E4">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生物池的缺氧段安装微生物培养箱4台，采用全流程除臭工艺</w:t>
            </w:r>
            <w:r>
              <w:rPr>
                <w:rFonts w:hint="eastAsia" w:cs="Times New Roman"/>
                <w:color w:val="auto"/>
                <w:sz w:val="21"/>
                <w:szCs w:val="21"/>
                <w:lang w:val="en-US" w:eastAsia="zh-CN"/>
              </w:rPr>
              <w:t>。</w:t>
            </w:r>
          </w:p>
        </w:tc>
        <w:tc>
          <w:tcPr>
            <w:tcW w:w="1252" w:type="dxa"/>
            <w:vAlign w:val="center"/>
          </w:tcPr>
          <w:p w14:paraId="0263B8C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新增</w:t>
            </w:r>
          </w:p>
        </w:tc>
      </w:tr>
      <w:tr w14:paraId="19818C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7A5A8CFF">
            <w:pPr>
              <w:pStyle w:val="15"/>
              <w:bidi w:val="0"/>
              <w:rPr>
                <w:rFonts w:hint="default" w:ascii="Times New Roman" w:hAnsi="Times New Roman" w:cs="Times New Roman"/>
                <w:b/>
                <w:bCs/>
                <w:color w:val="auto"/>
                <w:sz w:val="21"/>
                <w:szCs w:val="21"/>
              </w:rPr>
            </w:pPr>
          </w:p>
        </w:tc>
        <w:tc>
          <w:tcPr>
            <w:tcW w:w="1222" w:type="dxa"/>
            <w:tcMar>
              <w:left w:w="28" w:type="dxa"/>
              <w:right w:w="28" w:type="dxa"/>
            </w:tcMar>
            <w:vAlign w:val="center"/>
          </w:tcPr>
          <w:p w14:paraId="456C9F0B">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应急池</w:t>
            </w:r>
          </w:p>
        </w:tc>
        <w:tc>
          <w:tcPr>
            <w:tcW w:w="2768" w:type="dxa"/>
            <w:shd w:val="clear" w:color="auto" w:fill="auto"/>
            <w:tcMar>
              <w:left w:w="28" w:type="dxa"/>
              <w:right w:w="28" w:type="dxa"/>
            </w:tcMar>
            <w:vAlign w:val="center"/>
          </w:tcPr>
          <w:p w14:paraId="66C81971">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位于污水处理厂南墙南侧60米处，水池为钢筋混凝土结构，无盖，结构尺寸为37</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×35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，池内设置两台潜污泵，两用1备（冷备库房），50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vertAlign w:val="baseline"/>
                <w:lang w:val="en-US" w:eastAsia="zh-CN"/>
              </w:rPr>
              <w:t>/</w:t>
            </w:r>
            <w:r>
              <w:rPr>
                <w:rFonts w:hint="default" w:ascii="Times New Roman" w:hAnsi="Times New Roman" w:cs="Times New Roman"/>
                <w:color w:val="auto"/>
                <w:sz w:val="21"/>
                <w:szCs w:val="21"/>
                <w:lang w:val="en-US" w:eastAsia="zh-CN"/>
              </w:rPr>
              <w:t>h，扬程为8</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，功率为3kW；池内隔离出20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r>
              <w:rPr>
                <w:rFonts w:hint="default" w:ascii="Times New Roman" w:hAnsi="Times New Roman" w:cs="Times New Roman"/>
                <w:color w:val="auto"/>
                <w:sz w:val="21"/>
                <w:szCs w:val="21"/>
                <w:lang w:val="en-US" w:eastAsia="zh-CN"/>
              </w:rPr>
              <w:t>的水池作为进水提升泵站，泵站内设置三台潜污泵，两用一备</w:t>
            </w:r>
            <w:r>
              <w:rPr>
                <w:rFonts w:hint="eastAsia" w:cs="Times New Roman"/>
                <w:color w:val="auto"/>
                <w:sz w:val="21"/>
                <w:szCs w:val="21"/>
                <w:lang w:val="en-US" w:eastAsia="zh-CN"/>
              </w:rPr>
              <w:t>。</w:t>
            </w:r>
          </w:p>
        </w:tc>
        <w:tc>
          <w:tcPr>
            <w:tcW w:w="3629" w:type="dxa"/>
            <w:tcMar>
              <w:left w:w="28" w:type="dxa"/>
              <w:right w:w="28" w:type="dxa"/>
            </w:tcMar>
            <w:vAlign w:val="center"/>
          </w:tcPr>
          <w:p w14:paraId="7DF42C98">
            <w:pPr>
              <w:pStyle w:val="15"/>
              <w:bidi w:val="0"/>
              <w:jc w:val="left"/>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在原有应急池东侧40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处新建相同规格应急池1座，规模为有效容积20000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eastAsia" w:cs="Times New Roman"/>
                <w:color w:val="auto"/>
                <w:sz w:val="21"/>
                <w:szCs w:val="21"/>
                <w:lang w:val="en-US" w:eastAsia="zh-CN"/>
              </w:rPr>
              <w:t>。</w:t>
            </w:r>
          </w:p>
        </w:tc>
        <w:tc>
          <w:tcPr>
            <w:tcW w:w="4810" w:type="dxa"/>
            <w:shd w:val="clear" w:color="auto" w:fill="auto"/>
            <w:vAlign w:val="center"/>
          </w:tcPr>
          <w:p w14:paraId="22F91463">
            <w:pPr>
              <w:pStyle w:val="15"/>
              <w:bidi w:val="0"/>
              <w:jc w:val="left"/>
              <w:rPr>
                <w:rFonts w:hint="eastAsia" w:cs="Times New Roman"/>
                <w:color w:val="auto"/>
                <w:sz w:val="21"/>
                <w:szCs w:val="21"/>
                <w:lang w:val="en-US" w:eastAsia="zh-CN"/>
              </w:rPr>
            </w:pPr>
            <w:r>
              <w:rPr>
                <w:rFonts w:hint="eastAsia" w:cs="Times New Roman"/>
                <w:color w:val="auto"/>
                <w:sz w:val="21"/>
                <w:szCs w:val="21"/>
                <w:lang w:val="en-US" w:eastAsia="zh-CN"/>
              </w:rPr>
              <w:t>已有</w:t>
            </w:r>
            <w:r>
              <w:rPr>
                <w:rFonts w:hint="default" w:ascii="Times New Roman" w:hAnsi="Times New Roman" w:cs="Times New Roman"/>
                <w:color w:val="auto"/>
                <w:sz w:val="21"/>
                <w:szCs w:val="21"/>
                <w:lang w:val="en-US" w:eastAsia="zh-CN"/>
              </w:rPr>
              <w:t>应急池</w:t>
            </w:r>
            <w:r>
              <w:rPr>
                <w:rFonts w:hint="eastAsia" w:cs="Times New Roman"/>
                <w:color w:val="auto"/>
                <w:sz w:val="21"/>
                <w:szCs w:val="21"/>
                <w:lang w:val="en-US" w:eastAsia="zh-CN"/>
              </w:rPr>
              <w:t>1座</w:t>
            </w:r>
            <w:r>
              <w:rPr>
                <w:rFonts w:hint="default" w:ascii="Times New Roman" w:hAnsi="Times New Roman" w:cs="Times New Roman"/>
                <w:color w:val="auto"/>
                <w:sz w:val="21"/>
                <w:szCs w:val="21"/>
                <w:lang w:val="en-US" w:eastAsia="zh-CN"/>
              </w:rPr>
              <w:t>，有效容积5750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，位于污水处理厂南墙南侧60米处，水池为钢筋混凝土结构，无盖，结构尺寸为37</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×35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×5</w:t>
            </w:r>
            <w:r>
              <w:rPr>
                <w:rFonts w:hint="eastAsia" w:cs="Times New Roman"/>
                <w:color w:val="auto"/>
                <w:sz w:val="21"/>
                <w:szCs w:val="21"/>
                <w:lang w:val="en-US" w:eastAsia="zh-CN"/>
              </w:rPr>
              <w:t>m。</w:t>
            </w:r>
          </w:p>
          <w:p w14:paraId="29F02BF7">
            <w:pPr>
              <w:pStyle w:val="15"/>
              <w:bidi w:val="0"/>
              <w:jc w:val="left"/>
              <w:rPr>
                <w:rFonts w:hint="eastAsia" w:cs="Times New Roman"/>
                <w:color w:val="auto"/>
                <w:sz w:val="21"/>
                <w:szCs w:val="21"/>
                <w:lang w:val="en-US" w:eastAsia="zh-CN"/>
              </w:rPr>
            </w:pPr>
            <w:r>
              <w:rPr>
                <w:rFonts w:hint="eastAsia" w:cs="Times New Roman"/>
                <w:color w:val="auto"/>
                <w:sz w:val="21"/>
                <w:szCs w:val="21"/>
                <w:lang w:val="en-US" w:eastAsia="zh-CN"/>
              </w:rPr>
              <w:t>新建</w:t>
            </w:r>
            <w:r>
              <w:rPr>
                <w:rFonts w:hint="default" w:ascii="Times New Roman" w:hAnsi="Times New Roman" w:cs="Times New Roman"/>
                <w:color w:val="auto"/>
                <w:sz w:val="21"/>
                <w:szCs w:val="21"/>
                <w:lang w:val="en-US" w:eastAsia="zh-CN"/>
              </w:rPr>
              <w:t>应急池</w:t>
            </w:r>
            <w:r>
              <w:rPr>
                <w:rFonts w:hint="eastAsia" w:cs="Times New Roman"/>
                <w:color w:val="auto"/>
                <w:sz w:val="21"/>
                <w:szCs w:val="21"/>
                <w:lang w:val="en-US" w:eastAsia="zh-CN"/>
              </w:rPr>
              <w:t>1座</w:t>
            </w:r>
            <w:r>
              <w:rPr>
                <w:rFonts w:hint="default" w:ascii="Times New Roman" w:hAnsi="Times New Roman" w:cs="Times New Roman"/>
                <w:color w:val="auto"/>
                <w:sz w:val="21"/>
                <w:szCs w:val="21"/>
                <w:lang w:val="en-US" w:eastAsia="zh-CN"/>
              </w:rPr>
              <w:t>，有效容积</w:t>
            </w:r>
            <w:r>
              <w:rPr>
                <w:rFonts w:hint="eastAsia" w:cs="Times New Roman"/>
                <w:color w:val="auto"/>
                <w:sz w:val="21"/>
                <w:szCs w:val="21"/>
                <w:lang w:val="en-US" w:eastAsia="zh-CN"/>
              </w:rPr>
              <w:t>20000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，位于污水处理厂南墙南侧60米处，水池为钢筋混凝土结构，无盖，结构尺寸为</w:t>
            </w:r>
            <w:r>
              <w:rPr>
                <w:rFonts w:hint="eastAsia" w:cs="Times New Roman"/>
                <w:color w:val="auto"/>
                <w:sz w:val="21"/>
                <w:szCs w:val="21"/>
                <w:lang w:val="en-US" w:eastAsia="zh-CN"/>
              </w:rPr>
              <w:t>80m</w:t>
            </w:r>
            <w:r>
              <w:rPr>
                <w:rFonts w:hint="default" w:ascii="Times New Roman" w:hAnsi="Times New Roman" w:cs="Times New Roman"/>
                <w:color w:val="auto"/>
                <w:sz w:val="21"/>
                <w:szCs w:val="21"/>
                <w:lang w:val="en-US" w:eastAsia="zh-CN"/>
              </w:rPr>
              <w:t>×</w:t>
            </w:r>
            <w:r>
              <w:rPr>
                <w:rFonts w:hint="eastAsia" w:cs="Times New Roman"/>
                <w:color w:val="auto"/>
                <w:sz w:val="21"/>
                <w:szCs w:val="21"/>
                <w:lang w:val="en-US" w:eastAsia="zh-CN"/>
              </w:rPr>
              <w:t>5</w:t>
            </w:r>
            <w:r>
              <w:rPr>
                <w:rFonts w:hint="default" w:ascii="Times New Roman" w:hAnsi="Times New Roman" w:cs="Times New Roman"/>
                <w:color w:val="auto"/>
                <w:sz w:val="21"/>
                <w:szCs w:val="21"/>
                <w:lang w:val="en-US" w:eastAsia="zh-CN"/>
              </w:rPr>
              <w:t>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×5</w:t>
            </w:r>
            <w:r>
              <w:rPr>
                <w:rFonts w:hint="eastAsia" w:cs="Times New Roman"/>
                <w:color w:val="auto"/>
                <w:sz w:val="21"/>
                <w:szCs w:val="21"/>
                <w:lang w:val="en-US" w:eastAsia="zh-CN"/>
              </w:rPr>
              <w:t>.1m。</w:t>
            </w:r>
          </w:p>
          <w:p w14:paraId="2C43E379">
            <w:pPr>
              <w:rPr>
                <w:rFonts w:hint="default"/>
                <w:color w:val="auto"/>
                <w:lang w:val="en-US" w:eastAsia="zh-CN"/>
              </w:rPr>
            </w:pPr>
            <w:r>
              <w:rPr>
                <w:rFonts w:hint="default" w:ascii="Times New Roman" w:hAnsi="Times New Roman" w:cs="Times New Roman"/>
                <w:color w:val="auto"/>
                <w:sz w:val="21"/>
                <w:szCs w:val="21"/>
                <w:lang w:val="en-US" w:eastAsia="zh-CN"/>
              </w:rPr>
              <w:t>应急池</w:t>
            </w:r>
            <w:r>
              <w:rPr>
                <w:rFonts w:hint="eastAsia" w:cs="Times New Roman"/>
                <w:color w:val="auto"/>
                <w:sz w:val="21"/>
                <w:szCs w:val="21"/>
                <w:lang w:val="en-US" w:eastAsia="zh-CN"/>
              </w:rPr>
              <w:t>合计有效</w:t>
            </w:r>
            <w:r>
              <w:rPr>
                <w:rFonts w:hint="default" w:ascii="Times New Roman" w:hAnsi="Times New Roman" w:cs="Times New Roman"/>
                <w:color w:val="auto"/>
                <w:sz w:val="21"/>
                <w:szCs w:val="21"/>
                <w:lang w:val="en-US" w:eastAsia="zh-CN"/>
              </w:rPr>
              <w:t>容积</w:t>
            </w:r>
            <w:r>
              <w:rPr>
                <w:rFonts w:hint="eastAsia" w:cs="Times New Roman"/>
                <w:color w:val="auto"/>
                <w:sz w:val="21"/>
                <w:szCs w:val="21"/>
                <w:lang w:val="en-US" w:eastAsia="zh-CN"/>
              </w:rPr>
              <w:t>25750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w:t>
            </w:r>
            <w:r>
              <w:rPr>
                <w:rFonts w:hint="eastAsia" w:cs="Times New Roman"/>
                <w:color w:val="auto"/>
                <w:sz w:val="21"/>
                <w:szCs w:val="21"/>
                <w:lang w:val="en-US" w:eastAsia="zh-CN"/>
              </w:rPr>
              <w:t>可满足事故状态下2.2d的水量存储。</w:t>
            </w:r>
          </w:p>
        </w:tc>
        <w:tc>
          <w:tcPr>
            <w:tcW w:w="1252" w:type="dxa"/>
            <w:vAlign w:val="center"/>
          </w:tcPr>
          <w:p w14:paraId="3B956CF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新建</w:t>
            </w:r>
          </w:p>
        </w:tc>
      </w:tr>
      <w:tr w14:paraId="563A0D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restart"/>
            <w:tcMar>
              <w:left w:w="28" w:type="dxa"/>
              <w:right w:w="28" w:type="dxa"/>
            </w:tcMar>
            <w:vAlign w:val="center"/>
          </w:tcPr>
          <w:p w14:paraId="16C6D791">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储运工程</w:t>
            </w:r>
          </w:p>
        </w:tc>
        <w:tc>
          <w:tcPr>
            <w:tcW w:w="1222" w:type="dxa"/>
            <w:tcMar>
              <w:left w:w="28" w:type="dxa"/>
              <w:right w:w="28" w:type="dxa"/>
            </w:tcMar>
            <w:vAlign w:val="center"/>
          </w:tcPr>
          <w:p w14:paraId="6BE06DBE">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车库</w:t>
            </w:r>
          </w:p>
        </w:tc>
        <w:tc>
          <w:tcPr>
            <w:tcW w:w="2768" w:type="dxa"/>
            <w:shd w:val="clear" w:color="auto" w:fill="auto"/>
            <w:tcMar>
              <w:left w:w="28" w:type="dxa"/>
              <w:right w:w="28" w:type="dxa"/>
            </w:tcMar>
            <w:vAlign w:val="center"/>
          </w:tcPr>
          <w:p w14:paraId="0AD3A999">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砖混结构，数量：1座，</w:t>
            </w:r>
            <w:r>
              <w:rPr>
                <w:rFonts w:hint="eastAsia" w:cs="Times New Roman"/>
                <w:color w:val="auto"/>
                <w:sz w:val="21"/>
                <w:szCs w:val="21"/>
                <w:lang w:val="en-US" w:eastAsia="zh-CN"/>
              </w:rPr>
              <w:t>尺寸</w:t>
            </w:r>
            <w:r>
              <w:rPr>
                <w:rFonts w:hint="default" w:ascii="Times New Roman" w:hAnsi="Times New Roman" w:cs="Times New Roman"/>
                <w:color w:val="auto"/>
                <w:sz w:val="21"/>
                <w:szCs w:val="21"/>
                <w:lang w:val="en-US" w:eastAsia="zh-CN"/>
              </w:rPr>
              <w:t>12.2</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×5.7</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=82.6</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w:t>
            </w:r>
          </w:p>
        </w:tc>
        <w:tc>
          <w:tcPr>
            <w:tcW w:w="3629" w:type="dxa"/>
            <w:tcMar>
              <w:left w:w="28" w:type="dxa"/>
              <w:right w:w="28" w:type="dxa"/>
            </w:tcMar>
            <w:vAlign w:val="center"/>
          </w:tcPr>
          <w:p w14:paraId="5A9F2A3D">
            <w:pPr>
              <w:pStyle w:val="15"/>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4810" w:type="dxa"/>
            <w:shd w:val="clear" w:color="auto" w:fill="auto"/>
            <w:vAlign w:val="center"/>
          </w:tcPr>
          <w:p w14:paraId="64A0F208">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砖混结构，数量：1座，</w:t>
            </w:r>
            <w:r>
              <w:rPr>
                <w:rFonts w:hint="eastAsia" w:cs="Times New Roman"/>
                <w:color w:val="auto"/>
                <w:sz w:val="21"/>
                <w:szCs w:val="21"/>
                <w:lang w:val="en-US" w:eastAsia="zh-CN"/>
              </w:rPr>
              <w:t>尺寸</w:t>
            </w:r>
            <w:r>
              <w:rPr>
                <w:rFonts w:hint="default" w:ascii="Times New Roman" w:hAnsi="Times New Roman" w:cs="Times New Roman"/>
                <w:color w:val="auto"/>
                <w:sz w:val="21"/>
                <w:szCs w:val="21"/>
                <w:lang w:val="en-US" w:eastAsia="zh-CN"/>
              </w:rPr>
              <w:t>12.2</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×5.7</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=82.6</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p>
        </w:tc>
        <w:tc>
          <w:tcPr>
            <w:tcW w:w="1252" w:type="dxa"/>
            <w:vAlign w:val="center"/>
          </w:tcPr>
          <w:p w14:paraId="1CF767BF">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利旧</w:t>
            </w:r>
          </w:p>
        </w:tc>
      </w:tr>
      <w:tr w14:paraId="17466C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7546A1EA">
            <w:pPr>
              <w:pStyle w:val="15"/>
              <w:bidi w:val="0"/>
              <w:rPr>
                <w:rFonts w:hint="default" w:ascii="Times New Roman" w:hAnsi="Times New Roman" w:cs="Times New Roman"/>
                <w:b/>
                <w:bCs/>
                <w:color w:val="auto"/>
                <w:sz w:val="21"/>
                <w:szCs w:val="21"/>
              </w:rPr>
            </w:pPr>
          </w:p>
        </w:tc>
        <w:tc>
          <w:tcPr>
            <w:tcW w:w="1222" w:type="dxa"/>
            <w:tcMar>
              <w:left w:w="28" w:type="dxa"/>
              <w:right w:w="28" w:type="dxa"/>
            </w:tcMar>
            <w:vAlign w:val="center"/>
          </w:tcPr>
          <w:p w14:paraId="5056BBEB">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库房</w:t>
            </w:r>
          </w:p>
        </w:tc>
        <w:tc>
          <w:tcPr>
            <w:tcW w:w="2768" w:type="dxa"/>
            <w:shd w:val="clear" w:color="auto" w:fill="auto"/>
            <w:tcMar>
              <w:left w:w="28" w:type="dxa"/>
              <w:right w:w="28" w:type="dxa"/>
            </w:tcMar>
            <w:vAlign w:val="center"/>
          </w:tcPr>
          <w:p w14:paraId="1464DDE2">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砖混结构，数量：1座，</w:t>
            </w:r>
            <w:r>
              <w:rPr>
                <w:rFonts w:hint="eastAsia" w:cs="Times New Roman"/>
                <w:color w:val="auto"/>
                <w:sz w:val="21"/>
                <w:szCs w:val="21"/>
                <w:lang w:val="en-US" w:eastAsia="zh-CN"/>
              </w:rPr>
              <w:t>尺寸</w:t>
            </w:r>
            <w:r>
              <w:rPr>
                <w:rFonts w:hint="default" w:ascii="Times New Roman" w:hAnsi="Times New Roman" w:cs="Times New Roman"/>
                <w:color w:val="auto"/>
                <w:sz w:val="21"/>
                <w:szCs w:val="21"/>
                <w:lang w:val="en-US" w:eastAsia="zh-CN"/>
              </w:rPr>
              <w:t>14.9</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×7.0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=104.7</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w:t>
            </w:r>
          </w:p>
        </w:tc>
        <w:tc>
          <w:tcPr>
            <w:tcW w:w="3629" w:type="dxa"/>
            <w:tcMar>
              <w:left w:w="28" w:type="dxa"/>
              <w:right w:w="28" w:type="dxa"/>
            </w:tcMar>
            <w:vAlign w:val="center"/>
          </w:tcPr>
          <w:p w14:paraId="34F4F673">
            <w:pPr>
              <w:pStyle w:val="15"/>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4810" w:type="dxa"/>
            <w:shd w:val="clear" w:color="auto" w:fill="auto"/>
            <w:vAlign w:val="center"/>
          </w:tcPr>
          <w:p w14:paraId="0683BB4A">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砖混结构，数量：1座，</w:t>
            </w:r>
            <w:r>
              <w:rPr>
                <w:rFonts w:hint="eastAsia" w:cs="Times New Roman"/>
                <w:color w:val="auto"/>
                <w:sz w:val="21"/>
                <w:szCs w:val="21"/>
                <w:lang w:val="en-US" w:eastAsia="zh-CN"/>
              </w:rPr>
              <w:t>尺寸</w:t>
            </w:r>
            <w:r>
              <w:rPr>
                <w:rFonts w:hint="default" w:ascii="Times New Roman" w:hAnsi="Times New Roman" w:cs="Times New Roman"/>
                <w:color w:val="auto"/>
                <w:sz w:val="21"/>
                <w:szCs w:val="21"/>
                <w:lang w:val="en-US" w:eastAsia="zh-CN"/>
              </w:rPr>
              <w:t>14.9</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×7.0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=104.7</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w:t>
            </w:r>
          </w:p>
        </w:tc>
        <w:tc>
          <w:tcPr>
            <w:tcW w:w="1252" w:type="dxa"/>
            <w:vAlign w:val="center"/>
          </w:tcPr>
          <w:p w14:paraId="527CF45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利旧</w:t>
            </w:r>
          </w:p>
        </w:tc>
      </w:tr>
      <w:tr w14:paraId="7F3488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restart"/>
            <w:tcMar>
              <w:left w:w="28" w:type="dxa"/>
              <w:right w:w="28" w:type="dxa"/>
            </w:tcMar>
            <w:vAlign w:val="center"/>
          </w:tcPr>
          <w:p w14:paraId="4C50F4A7">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辅助工程</w:t>
            </w:r>
          </w:p>
        </w:tc>
        <w:tc>
          <w:tcPr>
            <w:tcW w:w="1222" w:type="dxa"/>
            <w:tcBorders>
              <w:top w:val="single" w:color="auto" w:sz="4" w:space="0"/>
            </w:tcBorders>
            <w:shd w:val="clear" w:color="auto" w:fill="auto"/>
            <w:tcMar>
              <w:left w:w="28" w:type="dxa"/>
              <w:right w:w="28" w:type="dxa"/>
            </w:tcMar>
            <w:vAlign w:val="center"/>
          </w:tcPr>
          <w:p w14:paraId="3C2A6F31">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eastAsia="zh-CN"/>
              </w:rPr>
              <w:t>总控室</w:t>
            </w:r>
          </w:p>
        </w:tc>
        <w:tc>
          <w:tcPr>
            <w:tcW w:w="2768" w:type="dxa"/>
            <w:tcBorders>
              <w:top w:val="single" w:color="auto" w:sz="4" w:space="0"/>
            </w:tcBorders>
            <w:shd w:val="clear" w:color="auto" w:fill="auto"/>
            <w:tcMar>
              <w:left w:w="28" w:type="dxa"/>
              <w:right w:w="28" w:type="dxa"/>
            </w:tcMar>
            <w:vAlign w:val="center"/>
          </w:tcPr>
          <w:p w14:paraId="50FCAA1F">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数量：1间，尺寸：5.65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×7.1</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×4.5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（全地上）</w:t>
            </w:r>
            <w:r>
              <w:rPr>
                <w:rFonts w:hint="eastAsia" w:cs="Times New Roman"/>
                <w:color w:val="auto"/>
                <w:sz w:val="21"/>
                <w:szCs w:val="21"/>
                <w:lang w:val="en-US" w:eastAsia="zh-CN"/>
              </w:rPr>
              <w:t>。</w:t>
            </w:r>
          </w:p>
        </w:tc>
        <w:tc>
          <w:tcPr>
            <w:tcW w:w="3629" w:type="dxa"/>
            <w:tcBorders>
              <w:top w:val="single" w:color="auto" w:sz="4" w:space="0"/>
            </w:tcBorders>
            <w:shd w:val="clear" w:color="auto" w:fill="auto"/>
            <w:tcMar>
              <w:left w:w="28" w:type="dxa"/>
              <w:right w:w="28" w:type="dxa"/>
            </w:tcMar>
            <w:vAlign w:val="center"/>
          </w:tcPr>
          <w:p w14:paraId="2C9F84A7">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建筑基本完好，需要装修</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设备老旧，需要更换改造</w:t>
            </w:r>
            <w:r>
              <w:rPr>
                <w:rFonts w:hint="eastAsia" w:cs="Times New Roman"/>
                <w:color w:val="auto"/>
                <w:sz w:val="21"/>
                <w:szCs w:val="21"/>
                <w:lang w:val="en-US" w:eastAsia="zh-CN"/>
              </w:rPr>
              <w:t>。</w:t>
            </w:r>
          </w:p>
        </w:tc>
        <w:tc>
          <w:tcPr>
            <w:tcW w:w="4810" w:type="dxa"/>
            <w:shd w:val="clear" w:color="auto" w:fill="auto"/>
            <w:vAlign w:val="center"/>
          </w:tcPr>
          <w:p w14:paraId="56F7BF23">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数量：1间，尺寸：5.65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×7.1</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×4.5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（全地上）</w:t>
            </w:r>
            <w:r>
              <w:rPr>
                <w:rFonts w:hint="eastAsia" w:cs="Times New Roman"/>
                <w:color w:val="auto"/>
                <w:sz w:val="21"/>
                <w:szCs w:val="21"/>
                <w:lang w:val="en-US" w:eastAsia="zh-CN"/>
              </w:rPr>
              <w:t>。</w:t>
            </w:r>
          </w:p>
        </w:tc>
        <w:tc>
          <w:tcPr>
            <w:tcW w:w="1252" w:type="dxa"/>
            <w:shd w:val="clear" w:color="auto" w:fill="auto"/>
            <w:vAlign w:val="center"/>
          </w:tcPr>
          <w:p w14:paraId="60CB560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更换设备</w:t>
            </w:r>
          </w:p>
        </w:tc>
      </w:tr>
      <w:tr w14:paraId="2FAB3E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28177D2C">
            <w:pPr>
              <w:pStyle w:val="15"/>
              <w:bidi w:val="0"/>
              <w:rPr>
                <w:rFonts w:hint="default" w:ascii="Times New Roman" w:hAnsi="Times New Roman" w:cs="Times New Roman"/>
                <w:b/>
                <w:bCs/>
                <w:color w:val="auto"/>
                <w:sz w:val="21"/>
                <w:szCs w:val="21"/>
              </w:rPr>
            </w:pPr>
          </w:p>
        </w:tc>
        <w:tc>
          <w:tcPr>
            <w:tcW w:w="1222" w:type="dxa"/>
            <w:tcBorders>
              <w:top w:val="single" w:color="auto" w:sz="4" w:space="0"/>
            </w:tcBorders>
            <w:shd w:val="clear" w:color="auto" w:fill="auto"/>
            <w:tcMar>
              <w:left w:w="28" w:type="dxa"/>
              <w:right w:w="28" w:type="dxa"/>
            </w:tcMar>
            <w:vAlign w:val="center"/>
          </w:tcPr>
          <w:p w14:paraId="12BFA565">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在线监测室</w:t>
            </w:r>
          </w:p>
        </w:tc>
        <w:tc>
          <w:tcPr>
            <w:tcW w:w="2768" w:type="dxa"/>
            <w:tcBorders>
              <w:top w:val="single" w:color="auto" w:sz="4" w:space="0"/>
            </w:tcBorders>
            <w:shd w:val="clear" w:color="auto" w:fill="auto"/>
            <w:tcMar>
              <w:left w:w="28" w:type="dxa"/>
              <w:right w:w="28" w:type="dxa"/>
            </w:tcMar>
            <w:vAlign w:val="center"/>
          </w:tcPr>
          <w:p w14:paraId="5DA37672">
            <w:pPr>
              <w:pStyle w:val="15"/>
              <w:bidi w:val="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砖混结构，数量：1座，</w:t>
            </w:r>
            <w:r>
              <w:rPr>
                <w:rFonts w:hint="eastAsia" w:cs="Times New Roman"/>
                <w:color w:val="auto"/>
                <w:sz w:val="21"/>
                <w:szCs w:val="21"/>
                <w:lang w:val="en-US" w:eastAsia="zh-CN"/>
              </w:rPr>
              <w:t>尺寸</w:t>
            </w:r>
            <w:r>
              <w:rPr>
                <w:rFonts w:hint="default" w:ascii="Times New Roman" w:hAnsi="Times New Roman" w:cs="Times New Roman"/>
                <w:color w:val="auto"/>
                <w:sz w:val="21"/>
                <w:szCs w:val="21"/>
                <w:lang w:val="en-US" w:eastAsia="zh-CN"/>
              </w:rPr>
              <w:t>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×4</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×3.75</w:t>
            </w:r>
            <w:r>
              <w:rPr>
                <w:rFonts w:hint="eastAsia" w:cs="Times New Roman"/>
                <w:color w:val="auto"/>
                <w:sz w:val="21"/>
                <w:szCs w:val="21"/>
                <w:lang w:val="en-US" w:eastAsia="zh-CN"/>
              </w:rPr>
              <w:t>m。</w:t>
            </w:r>
          </w:p>
        </w:tc>
        <w:tc>
          <w:tcPr>
            <w:tcW w:w="3629" w:type="dxa"/>
            <w:tcBorders>
              <w:top w:val="single" w:color="auto" w:sz="4" w:space="0"/>
            </w:tcBorders>
            <w:shd w:val="clear" w:color="auto" w:fill="auto"/>
            <w:tcMar>
              <w:left w:w="28" w:type="dxa"/>
              <w:right w:w="28" w:type="dxa"/>
            </w:tcMar>
            <w:vAlign w:val="center"/>
          </w:tcPr>
          <w:p w14:paraId="584B453A">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改造为碳源投加间</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在线监测依托二期工程在线监测室</w:t>
            </w:r>
            <w:r>
              <w:rPr>
                <w:rFonts w:hint="eastAsia" w:cs="Times New Roman"/>
                <w:color w:val="auto"/>
                <w:sz w:val="21"/>
                <w:szCs w:val="21"/>
                <w:lang w:val="en-US" w:eastAsia="zh-CN"/>
              </w:rPr>
              <w:t>。</w:t>
            </w:r>
          </w:p>
        </w:tc>
        <w:tc>
          <w:tcPr>
            <w:tcW w:w="4810" w:type="dxa"/>
            <w:shd w:val="clear" w:color="auto" w:fill="auto"/>
            <w:vAlign w:val="center"/>
          </w:tcPr>
          <w:p w14:paraId="372C8863">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依托二期工程在线监测室，在线监测仪包括：COD</w:t>
            </w:r>
            <w:r>
              <w:rPr>
                <w:rFonts w:hint="default" w:ascii="Times New Roman" w:hAnsi="Times New Roman" w:cs="Times New Roman"/>
                <w:color w:val="auto"/>
                <w:sz w:val="21"/>
                <w:szCs w:val="21"/>
                <w:vertAlign w:val="subscript"/>
                <w:lang w:val="en-US" w:eastAsia="zh-CN"/>
              </w:rPr>
              <w:t>Cr</w:t>
            </w:r>
            <w:r>
              <w:rPr>
                <w:rFonts w:hint="default" w:ascii="Times New Roman" w:hAnsi="Times New Roman" w:cs="Times New Roman"/>
                <w:color w:val="auto"/>
                <w:sz w:val="21"/>
                <w:szCs w:val="21"/>
                <w:lang w:val="en-US" w:eastAsia="zh-CN"/>
              </w:rPr>
              <w:t>、TOC水质自动分析仪、NH</w:t>
            </w:r>
            <w:r>
              <w:rPr>
                <w:rFonts w:hint="default" w:ascii="Times New Roman" w:hAnsi="Times New Roman" w:cs="Times New Roman"/>
                <w:color w:val="auto"/>
                <w:sz w:val="21"/>
                <w:szCs w:val="21"/>
                <w:vertAlign w:val="subscript"/>
                <w:lang w:val="en-US" w:eastAsia="zh-CN"/>
              </w:rPr>
              <w:t>3</w:t>
            </w:r>
            <w:r>
              <w:rPr>
                <w:rFonts w:hint="default" w:ascii="Times New Roman" w:hAnsi="Times New Roman" w:cs="Times New Roman"/>
                <w:color w:val="auto"/>
                <w:sz w:val="21"/>
                <w:szCs w:val="21"/>
                <w:lang w:val="en-US" w:eastAsia="zh-CN"/>
              </w:rPr>
              <w:t>-N水质自动分析仪、TP水质自动分析仪、TN水质自动分析仪、pH水质自动分析仪、超声波明渠流量计等</w:t>
            </w:r>
            <w:r>
              <w:rPr>
                <w:rFonts w:hint="eastAsia" w:cs="Times New Roman"/>
                <w:color w:val="auto"/>
                <w:sz w:val="21"/>
                <w:szCs w:val="21"/>
                <w:lang w:val="en-US" w:eastAsia="zh-CN"/>
              </w:rPr>
              <w:t>。</w:t>
            </w:r>
          </w:p>
        </w:tc>
        <w:tc>
          <w:tcPr>
            <w:tcW w:w="1252" w:type="dxa"/>
            <w:shd w:val="clear" w:color="auto" w:fill="auto"/>
            <w:vAlign w:val="center"/>
          </w:tcPr>
          <w:p w14:paraId="0C56C38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依托二期</w:t>
            </w:r>
          </w:p>
        </w:tc>
      </w:tr>
      <w:tr w14:paraId="62B52F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16AC89EC">
            <w:pPr>
              <w:pStyle w:val="15"/>
              <w:bidi w:val="0"/>
              <w:rPr>
                <w:rFonts w:hint="default" w:ascii="Times New Roman" w:hAnsi="Times New Roman" w:cs="Times New Roman"/>
                <w:b/>
                <w:bCs/>
                <w:color w:val="auto"/>
                <w:sz w:val="21"/>
                <w:szCs w:val="21"/>
              </w:rPr>
            </w:pPr>
          </w:p>
        </w:tc>
        <w:tc>
          <w:tcPr>
            <w:tcW w:w="1222" w:type="dxa"/>
            <w:tcBorders>
              <w:top w:val="single" w:color="auto" w:sz="4" w:space="0"/>
            </w:tcBorders>
            <w:shd w:val="clear" w:color="auto" w:fill="auto"/>
            <w:tcMar>
              <w:left w:w="28" w:type="dxa"/>
              <w:right w:w="28" w:type="dxa"/>
            </w:tcMar>
            <w:vAlign w:val="center"/>
          </w:tcPr>
          <w:p w14:paraId="610878C5">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办公用房</w:t>
            </w:r>
          </w:p>
        </w:tc>
        <w:tc>
          <w:tcPr>
            <w:tcW w:w="2768" w:type="dxa"/>
            <w:tcBorders>
              <w:top w:val="single" w:color="auto" w:sz="4" w:space="0"/>
            </w:tcBorders>
            <w:shd w:val="clear" w:color="auto" w:fill="auto"/>
            <w:tcMar>
              <w:left w:w="28" w:type="dxa"/>
              <w:right w:w="28" w:type="dxa"/>
            </w:tcMar>
            <w:vAlign w:val="center"/>
          </w:tcPr>
          <w:p w14:paraId="5D2B06E9">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砖混结构，数量：1座，</w:t>
            </w:r>
            <w:r>
              <w:rPr>
                <w:rFonts w:hint="eastAsia" w:cs="Times New Roman"/>
                <w:color w:val="auto"/>
                <w:sz w:val="21"/>
                <w:szCs w:val="21"/>
                <w:lang w:val="en-US" w:eastAsia="zh-CN"/>
              </w:rPr>
              <w:t>尺寸</w:t>
            </w:r>
            <w:r>
              <w:rPr>
                <w:rFonts w:hint="default" w:ascii="Times New Roman" w:hAnsi="Times New Roman" w:cs="Times New Roman"/>
                <w:color w:val="auto"/>
                <w:sz w:val="21"/>
                <w:szCs w:val="21"/>
                <w:lang w:val="en-US" w:eastAsia="zh-CN"/>
              </w:rPr>
              <w:t>48.4</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×13.8</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=667.8</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w:t>
            </w:r>
          </w:p>
        </w:tc>
        <w:tc>
          <w:tcPr>
            <w:tcW w:w="3629" w:type="dxa"/>
            <w:tcBorders>
              <w:top w:val="single" w:color="auto" w:sz="4" w:space="0"/>
            </w:tcBorders>
            <w:shd w:val="clear" w:color="auto" w:fill="auto"/>
            <w:tcMar>
              <w:left w:w="28" w:type="dxa"/>
              <w:right w:w="28" w:type="dxa"/>
            </w:tcMar>
            <w:vAlign w:val="center"/>
          </w:tcPr>
          <w:p w14:paraId="753F0608">
            <w:pPr>
              <w:pStyle w:val="15"/>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4810" w:type="dxa"/>
            <w:shd w:val="clear" w:color="auto" w:fill="auto"/>
            <w:vAlign w:val="center"/>
          </w:tcPr>
          <w:p w14:paraId="61C11791">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砖混结构，数量：1座，</w:t>
            </w:r>
            <w:r>
              <w:rPr>
                <w:rFonts w:hint="eastAsia" w:cs="Times New Roman"/>
                <w:color w:val="auto"/>
                <w:sz w:val="21"/>
                <w:szCs w:val="21"/>
                <w:lang w:val="en-US" w:eastAsia="zh-CN"/>
              </w:rPr>
              <w:t>尺寸</w:t>
            </w:r>
            <w:r>
              <w:rPr>
                <w:rFonts w:hint="default" w:ascii="Times New Roman" w:hAnsi="Times New Roman" w:cs="Times New Roman"/>
                <w:color w:val="auto"/>
                <w:sz w:val="21"/>
                <w:szCs w:val="21"/>
                <w:lang w:val="en-US" w:eastAsia="zh-CN"/>
              </w:rPr>
              <w:t>48.4</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×13.8</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=667.8</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w:t>
            </w:r>
          </w:p>
        </w:tc>
        <w:tc>
          <w:tcPr>
            <w:tcW w:w="1252" w:type="dxa"/>
            <w:shd w:val="clear" w:color="auto" w:fill="auto"/>
            <w:vAlign w:val="center"/>
          </w:tcPr>
          <w:p w14:paraId="2933C46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利旧</w:t>
            </w:r>
          </w:p>
        </w:tc>
      </w:tr>
      <w:tr w14:paraId="7C6646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29E40B3E">
            <w:pPr>
              <w:pStyle w:val="15"/>
              <w:bidi w:val="0"/>
              <w:rPr>
                <w:rFonts w:hint="default" w:ascii="Times New Roman" w:hAnsi="Times New Roman" w:cs="Times New Roman"/>
                <w:b/>
                <w:bCs/>
                <w:color w:val="auto"/>
                <w:sz w:val="21"/>
                <w:szCs w:val="21"/>
              </w:rPr>
            </w:pPr>
          </w:p>
        </w:tc>
        <w:tc>
          <w:tcPr>
            <w:tcW w:w="1222" w:type="dxa"/>
            <w:tcBorders>
              <w:top w:val="single" w:color="auto" w:sz="4" w:space="0"/>
            </w:tcBorders>
            <w:shd w:val="clear" w:color="auto" w:fill="auto"/>
            <w:tcMar>
              <w:left w:w="28" w:type="dxa"/>
              <w:right w:w="28" w:type="dxa"/>
            </w:tcMar>
            <w:vAlign w:val="center"/>
          </w:tcPr>
          <w:p w14:paraId="5CDC4AF8">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机修间</w:t>
            </w:r>
          </w:p>
        </w:tc>
        <w:tc>
          <w:tcPr>
            <w:tcW w:w="2768" w:type="dxa"/>
            <w:tcBorders>
              <w:top w:val="single" w:color="auto" w:sz="4" w:space="0"/>
            </w:tcBorders>
            <w:shd w:val="clear" w:color="auto" w:fill="auto"/>
            <w:tcMar>
              <w:left w:w="28" w:type="dxa"/>
              <w:right w:w="28" w:type="dxa"/>
            </w:tcMar>
            <w:vAlign w:val="center"/>
          </w:tcPr>
          <w:p w14:paraId="16E4B3B5">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砖混结构，数量：1座，</w:t>
            </w:r>
            <w:r>
              <w:rPr>
                <w:rFonts w:hint="eastAsia" w:cs="Times New Roman"/>
                <w:color w:val="auto"/>
                <w:sz w:val="21"/>
                <w:szCs w:val="21"/>
                <w:lang w:val="en-US" w:eastAsia="zh-CN"/>
              </w:rPr>
              <w:t>尺寸</w:t>
            </w:r>
            <w:r>
              <w:rPr>
                <w:rFonts w:hint="default" w:ascii="Times New Roman" w:hAnsi="Times New Roman" w:cs="Times New Roman"/>
                <w:color w:val="auto"/>
                <w:sz w:val="21"/>
                <w:szCs w:val="21"/>
                <w:lang w:val="en-US" w:eastAsia="zh-CN"/>
              </w:rPr>
              <w:t>16.1</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×6.0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=116</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w:t>
            </w:r>
          </w:p>
          <w:p w14:paraId="7D712AB1">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砖混结构，数量：1座，</w:t>
            </w:r>
            <w:r>
              <w:rPr>
                <w:rFonts w:hint="eastAsia" w:cs="Times New Roman"/>
                <w:color w:val="auto"/>
                <w:sz w:val="21"/>
                <w:szCs w:val="21"/>
                <w:lang w:val="en-US" w:eastAsia="zh-CN"/>
              </w:rPr>
              <w:t>尺寸</w:t>
            </w:r>
            <w:r>
              <w:rPr>
                <w:rFonts w:hint="default" w:ascii="Times New Roman" w:hAnsi="Times New Roman" w:cs="Times New Roman"/>
                <w:color w:val="auto"/>
                <w:sz w:val="21"/>
                <w:szCs w:val="21"/>
                <w:lang w:val="en-US" w:eastAsia="zh-CN"/>
              </w:rPr>
              <w:t>24</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×8.7</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=208</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w:t>
            </w:r>
          </w:p>
        </w:tc>
        <w:tc>
          <w:tcPr>
            <w:tcW w:w="3629" w:type="dxa"/>
            <w:tcBorders>
              <w:top w:val="single" w:color="auto" w:sz="4" w:space="0"/>
            </w:tcBorders>
            <w:shd w:val="clear" w:color="auto" w:fill="auto"/>
            <w:tcMar>
              <w:left w:w="28" w:type="dxa"/>
              <w:right w:w="28" w:type="dxa"/>
            </w:tcMar>
            <w:vAlign w:val="center"/>
          </w:tcPr>
          <w:p w14:paraId="6D824C22">
            <w:pPr>
              <w:pStyle w:val="15"/>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4810" w:type="dxa"/>
            <w:shd w:val="clear" w:color="auto" w:fill="auto"/>
            <w:vAlign w:val="center"/>
          </w:tcPr>
          <w:p w14:paraId="0664C73C">
            <w:pPr>
              <w:pStyle w:val="15"/>
              <w:bidi w:val="0"/>
              <w:jc w:val="left"/>
              <w:rPr>
                <w:rFonts w:hint="default" w:ascii="Times New Roman" w:hAnsi="Times New Roman" w:cs="Times New Roman"/>
                <w:color w:val="auto"/>
                <w:sz w:val="21"/>
                <w:szCs w:val="21"/>
                <w:vertAlign w:val="superscript"/>
                <w:lang w:val="en-US" w:eastAsia="zh-CN"/>
              </w:rPr>
            </w:pPr>
            <w:r>
              <w:rPr>
                <w:rFonts w:hint="default" w:ascii="Times New Roman" w:hAnsi="Times New Roman" w:cs="Times New Roman"/>
                <w:color w:val="auto"/>
                <w:sz w:val="21"/>
                <w:szCs w:val="21"/>
                <w:lang w:val="en-US" w:eastAsia="zh-CN"/>
              </w:rPr>
              <w:t>砖混结构，数量：1座，</w:t>
            </w:r>
            <w:r>
              <w:rPr>
                <w:rFonts w:hint="eastAsia" w:cs="Times New Roman"/>
                <w:color w:val="auto"/>
                <w:sz w:val="21"/>
                <w:szCs w:val="21"/>
                <w:lang w:val="en-US" w:eastAsia="zh-CN"/>
              </w:rPr>
              <w:t>尺寸</w:t>
            </w:r>
            <w:r>
              <w:rPr>
                <w:rFonts w:hint="default" w:ascii="Times New Roman" w:hAnsi="Times New Roman" w:cs="Times New Roman"/>
                <w:color w:val="auto"/>
                <w:sz w:val="21"/>
                <w:szCs w:val="21"/>
                <w:lang w:val="en-US" w:eastAsia="zh-CN"/>
              </w:rPr>
              <w:t>16.1</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×6.0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=116</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w:t>
            </w:r>
          </w:p>
          <w:p w14:paraId="4628AA4C">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砖混结构，数量：1座，</w:t>
            </w:r>
            <w:r>
              <w:rPr>
                <w:rFonts w:hint="eastAsia" w:cs="Times New Roman"/>
                <w:color w:val="auto"/>
                <w:sz w:val="21"/>
                <w:szCs w:val="21"/>
                <w:lang w:val="en-US" w:eastAsia="zh-CN"/>
              </w:rPr>
              <w:t>尺寸</w:t>
            </w:r>
            <w:r>
              <w:rPr>
                <w:rFonts w:hint="default" w:ascii="Times New Roman" w:hAnsi="Times New Roman" w:cs="Times New Roman"/>
                <w:color w:val="auto"/>
                <w:sz w:val="21"/>
                <w:szCs w:val="21"/>
                <w:lang w:val="en-US" w:eastAsia="zh-CN"/>
              </w:rPr>
              <w:t>24</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×8.7</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=208</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w:t>
            </w:r>
          </w:p>
        </w:tc>
        <w:tc>
          <w:tcPr>
            <w:tcW w:w="1252" w:type="dxa"/>
            <w:shd w:val="clear" w:color="auto" w:fill="auto"/>
            <w:vAlign w:val="center"/>
          </w:tcPr>
          <w:p w14:paraId="0B41BD4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利旧</w:t>
            </w:r>
          </w:p>
        </w:tc>
      </w:tr>
      <w:tr w14:paraId="63C19E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5CA62BB8">
            <w:pPr>
              <w:pStyle w:val="15"/>
              <w:bidi w:val="0"/>
              <w:rPr>
                <w:rFonts w:hint="default" w:ascii="Times New Roman" w:hAnsi="Times New Roman" w:cs="Times New Roman"/>
                <w:b/>
                <w:bCs/>
                <w:color w:val="auto"/>
                <w:sz w:val="21"/>
                <w:szCs w:val="21"/>
              </w:rPr>
            </w:pPr>
          </w:p>
        </w:tc>
        <w:tc>
          <w:tcPr>
            <w:tcW w:w="1222" w:type="dxa"/>
            <w:tcBorders>
              <w:top w:val="single" w:color="auto" w:sz="4" w:space="0"/>
            </w:tcBorders>
            <w:shd w:val="clear" w:color="auto" w:fill="auto"/>
            <w:tcMar>
              <w:left w:w="28" w:type="dxa"/>
              <w:right w:w="28" w:type="dxa"/>
            </w:tcMar>
            <w:vAlign w:val="center"/>
          </w:tcPr>
          <w:p w14:paraId="5636964B">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配电室</w:t>
            </w:r>
          </w:p>
        </w:tc>
        <w:tc>
          <w:tcPr>
            <w:tcW w:w="2768" w:type="dxa"/>
            <w:tcBorders>
              <w:top w:val="single" w:color="auto" w:sz="4" w:space="0"/>
            </w:tcBorders>
            <w:shd w:val="clear" w:color="auto" w:fill="auto"/>
            <w:tcMar>
              <w:left w:w="28" w:type="dxa"/>
              <w:right w:w="28" w:type="dxa"/>
            </w:tcMar>
            <w:vAlign w:val="center"/>
          </w:tcPr>
          <w:p w14:paraId="09417D10">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砖混结构，数量：1座，</w:t>
            </w:r>
            <w:r>
              <w:rPr>
                <w:rFonts w:hint="eastAsia" w:cs="Times New Roman"/>
                <w:color w:val="auto"/>
                <w:sz w:val="21"/>
                <w:szCs w:val="21"/>
                <w:lang w:val="en-US" w:eastAsia="zh-CN"/>
              </w:rPr>
              <w:t>尺寸</w:t>
            </w:r>
            <w:r>
              <w:rPr>
                <w:rFonts w:hint="default" w:ascii="Times New Roman" w:hAnsi="Times New Roman" w:cs="Times New Roman"/>
                <w:color w:val="auto"/>
                <w:sz w:val="21"/>
                <w:szCs w:val="21"/>
                <w:lang w:val="en-US" w:eastAsia="zh-CN"/>
              </w:rPr>
              <w:t>8.7</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×4.3</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=37.9</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w:t>
            </w:r>
          </w:p>
        </w:tc>
        <w:tc>
          <w:tcPr>
            <w:tcW w:w="3629" w:type="dxa"/>
            <w:tcBorders>
              <w:top w:val="single" w:color="auto" w:sz="4" w:space="0"/>
            </w:tcBorders>
            <w:shd w:val="clear" w:color="auto" w:fill="auto"/>
            <w:tcMar>
              <w:left w:w="28" w:type="dxa"/>
              <w:right w:w="28" w:type="dxa"/>
            </w:tcMar>
            <w:vAlign w:val="center"/>
          </w:tcPr>
          <w:p w14:paraId="090A1FDA">
            <w:pPr>
              <w:pStyle w:val="15"/>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设备老旧需要更换</w:t>
            </w:r>
            <w:r>
              <w:rPr>
                <w:rFonts w:hint="eastAsia" w:cs="Times New Roman"/>
                <w:color w:val="auto"/>
                <w:sz w:val="21"/>
                <w:szCs w:val="21"/>
                <w:lang w:val="en-US" w:eastAsia="zh-CN"/>
              </w:rPr>
              <w:t>。</w:t>
            </w:r>
          </w:p>
        </w:tc>
        <w:tc>
          <w:tcPr>
            <w:tcW w:w="4810" w:type="dxa"/>
            <w:shd w:val="clear" w:color="auto" w:fill="auto"/>
            <w:vAlign w:val="center"/>
          </w:tcPr>
          <w:p w14:paraId="643908A9">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砖混结构，数量：1座，</w:t>
            </w:r>
            <w:r>
              <w:rPr>
                <w:rFonts w:hint="eastAsia" w:cs="Times New Roman"/>
                <w:color w:val="auto"/>
                <w:sz w:val="21"/>
                <w:szCs w:val="21"/>
                <w:lang w:val="en-US" w:eastAsia="zh-CN"/>
              </w:rPr>
              <w:t>尺寸</w:t>
            </w:r>
            <w:r>
              <w:rPr>
                <w:rFonts w:hint="default" w:ascii="Times New Roman" w:hAnsi="Times New Roman" w:cs="Times New Roman"/>
                <w:color w:val="auto"/>
                <w:sz w:val="21"/>
                <w:szCs w:val="21"/>
                <w:lang w:val="en-US" w:eastAsia="zh-CN"/>
              </w:rPr>
              <w:t>8.7</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×4.3</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=37.9</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w:t>
            </w:r>
          </w:p>
        </w:tc>
        <w:tc>
          <w:tcPr>
            <w:tcW w:w="1252" w:type="dxa"/>
            <w:shd w:val="clear" w:color="auto" w:fill="auto"/>
            <w:vAlign w:val="center"/>
          </w:tcPr>
          <w:p w14:paraId="2592AC0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更换设备</w:t>
            </w:r>
          </w:p>
        </w:tc>
      </w:tr>
      <w:tr w14:paraId="5C4985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3B7E9546">
            <w:pPr>
              <w:pStyle w:val="15"/>
              <w:bidi w:val="0"/>
              <w:rPr>
                <w:rFonts w:hint="default" w:ascii="Times New Roman" w:hAnsi="Times New Roman" w:cs="Times New Roman"/>
                <w:b/>
                <w:bCs/>
                <w:color w:val="auto"/>
                <w:sz w:val="21"/>
                <w:szCs w:val="21"/>
              </w:rPr>
            </w:pPr>
          </w:p>
        </w:tc>
        <w:tc>
          <w:tcPr>
            <w:tcW w:w="1222" w:type="dxa"/>
            <w:tcBorders>
              <w:top w:val="single" w:color="auto" w:sz="4" w:space="0"/>
            </w:tcBorders>
            <w:shd w:val="clear" w:color="auto" w:fill="auto"/>
            <w:tcMar>
              <w:left w:w="28" w:type="dxa"/>
              <w:right w:w="28" w:type="dxa"/>
            </w:tcMar>
            <w:vAlign w:val="center"/>
          </w:tcPr>
          <w:p w14:paraId="23D5CBA6">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门房</w:t>
            </w:r>
          </w:p>
        </w:tc>
        <w:tc>
          <w:tcPr>
            <w:tcW w:w="2768" w:type="dxa"/>
            <w:tcBorders>
              <w:top w:val="single" w:color="auto" w:sz="4" w:space="0"/>
            </w:tcBorders>
            <w:shd w:val="clear" w:color="auto" w:fill="auto"/>
            <w:tcMar>
              <w:left w:w="28" w:type="dxa"/>
              <w:right w:w="28" w:type="dxa"/>
            </w:tcMar>
            <w:vAlign w:val="center"/>
          </w:tcPr>
          <w:p w14:paraId="65876BB1">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砖混结构，数量：1座，</w:t>
            </w:r>
            <w:r>
              <w:rPr>
                <w:rFonts w:hint="eastAsia" w:cs="Times New Roman"/>
                <w:color w:val="auto"/>
                <w:sz w:val="21"/>
                <w:szCs w:val="21"/>
                <w:lang w:val="en-US" w:eastAsia="zh-CN"/>
              </w:rPr>
              <w:t>尺寸</w:t>
            </w:r>
            <w:r>
              <w:rPr>
                <w:rFonts w:hint="default" w:ascii="Times New Roman" w:hAnsi="Times New Roman" w:cs="Times New Roman"/>
                <w:color w:val="auto"/>
                <w:sz w:val="21"/>
                <w:szCs w:val="21"/>
                <w:lang w:val="en-US" w:eastAsia="zh-CN"/>
              </w:rPr>
              <w:t>7.7</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×6.0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=46.3</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w:t>
            </w:r>
          </w:p>
        </w:tc>
        <w:tc>
          <w:tcPr>
            <w:tcW w:w="3629" w:type="dxa"/>
            <w:tcBorders>
              <w:top w:val="single" w:color="auto" w:sz="4" w:space="0"/>
            </w:tcBorders>
            <w:shd w:val="clear" w:color="auto" w:fill="auto"/>
            <w:tcMar>
              <w:left w:w="28" w:type="dxa"/>
              <w:right w:w="28" w:type="dxa"/>
            </w:tcMar>
            <w:vAlign w:val="center"/>
          </w:tcPr>
          <w:p w14:paraId="49786861">
            <w:pPr>
              <w:pStyle w:val="15"/>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4810" w:type="dxa"/>
            <w:shd w:val="clear" w:color="auto" w:fill="auto"/>
            <w:vAlign w:val="center"/>
          </w:tcPr>
          <w:p w14:paraId="53AF3E90">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砖混结构，数量：1座，</w:t>
            </w:r>
            <w:r>
              <w:rPr>
                <w:rFonts w:hint="eastAsia" w:cs="Times New Roman"/>
                <w:color w:val="auto"/>
                <w:sz w:val="21"/>
                <w:szCs w:val="21"/>
                <w:lang w:val="en-US" w:eastAsia="zh-CN"/>
              </w:rPr>
              <w:t>尺寸</w:t>
            </w:r>
            <w:r>
              <w:rPr>
                <w:rFonts w:hint="default" w:ascii="Times New Roman" w:hAnsi="Times New Roman" w:cs="Times New Roman"/>
                <w:color w:val="auto"/>
                <w:sz w:val="21"/>
                <w:szCs w:val="21"/>
                <w:lang w:val="en-US" w:eastAsia="zh-CN"/>
              </w:rPr>
              <w:t>7.7</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×6.0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=46.3</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w:t>
            </w:r>
          </w:p>
        </w:tc>
        <w:tc>
          <w:tcPr>
            <w:tcW w:w="1252" w:type="dxa"/>
            <w:shd w:val="clear" w:color="auto" w:fill="auto"/>
            <w:vAlign w:val="center"/>
          </w:tcPr>
          <w:p w14:paraId="1267F37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利旧</w:t>
            </w:r>
          </w:p>
        </w:tc>
      </w:tr>
      <w:tr w14:paraId="788242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restart"/>
            <w:tcMar>
              <w:left w:w="28" w:type="dxa"/>
              <w:right w:w="28" w:type="dxa"/>
            </w:tcMar>
            <w:vAlign w:val="center"/>
          </w:tcPr>
          <w:p w14:paraId="40EF52F3">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公用</w:t>
            </w:r>
          </w:p>
          <w:p w14:paraId="54A269CC">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工程</w:t>
            </w:r>
          </w:p>
        </w:tc>
        <w:tc>
          <w:tcPr>
            <w:tcW w:w="1222" w:type="dxa"/>
            <w:tcMar>
              <w:left w:w="28" w:type="dxa"/>
              <w:right w:w="28" w:type="dxa"/>
            </w:tcMar>
            <w:vAlign w:val="center"/>
          </w:tcPr>
          <w:p w14:paraId="02F26477">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给水工程</w:t>
            </w:r>
          </w:p>
        </w:tc>
        <w:tc>
          <w:tcPr>
            <w:tcW w:w="2768" w:type="dxa"/>
            <w:shd w:val="clear" w:color="auto" w:fill="auto"/>
            <w:tcMar>
              <w:left w:w="28" w:type="dxa"/>
              <w:right w:w="28" w:type="dxa"/>
            </w:tcMar>
            <w:vAlign w:val="center"/>
          </w:tcPr>
          <w:p w14:paraId="3B791523">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生活用水由市政自来水管网提供</w:t>
            </w:r>
            <w:r>
              <w:rPr>
                <w:rFonts w:hint="eastAsia" w:cs="Times New Roman"/>
                <w:color w:val="auto"/>
                <w:sz w:val="21"/>
                <w:szCs w:val="21"/>
                <w:lang w:val="en-US" w:eastAsia="zh-CN"/>
              </w:rPr>
              <w:t>；</w:t>
            </w:r>
            <w:r>
              <w:rPr>
                <w:rFonts w:hint="default" w:ascii="Times New Roman" w:hAnsi="Times New Roman" w:cs="Times New Roman"/>
                <w:color w:val="auto"/>
                <w:sz w:val="21"/>
                <w:szCs w:val="21"/>
              </w:rPr>
              <w:t>生产用水为</w:t>
            </w:r>
            <w:r>
              <w:rPr>
                <w:rFonts w:hint="default" w:ascii="Times New Roman" w:hAnsi="Times New Roman" w:cs="Times New Roman"/>
                <w:color w:val="auto"/>
                <w:sz w:val="21"/>
                <w:szCs w:val="21"/>
                <w:lang w:val="en-US" w:eastAsia="zh-CN"/>
              </w:rPr>
              <w:t>污水厂处理后的中水</w:t>
            </w:r>
            <w:r>
              <w:rPr>
                <w:rFonts w:hint="eastAsia" w:cs="Times New Roman"/>
                <w:color w:val="auto"/>
                <w:sz w:val="21"/>
                <w:szCs w:val="21"/>
                <w:lang w:val="en-US" w:eastAsia="zh-CN"/>
              </w:rPr>
              <w:t>。</w:t>
            </w:r>
          </w:p>
        </w:tc>
        <w:tc>
          <w:tcPr>
            <w:tcW w:w="3629" w:type="dxa"/>
            <w:tcMar>
              <w:left w:w="28" w:type="dxa"/>
              <w:right w:w="28" w:type="dxa"/>
            </w:tcMar>
            <w:vAlign w:val="center"/>
          </w:tcPr>
          <w:p w14:paraId="4AF5FB35">
            <w:pPr>
              <w:pStyle w:val="15"/>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利用现有</w:t>
            </w:r>
            <w:r>
              <w:rPr>
                <w:rFonts w:hint="eastAsia" w:cs="Times New Roman"/>
                <w:color w:val="auto"/>
                <w:sz w:val="21"/>
                <w:szCs w:val="21"/>
                <w:lang w:val="en-US" w:eastAsia="zh-CN"/>
              </w:rPr>
              <w:t>工程。</w:t>
            </w:r>
          </w:p>
        </w:tc>
        <w:tc>
          <w:tcPr>
            <w:tcW w:w="4810" w:type="dxa"/>
            <w:shd w:val="clear" w:color="auto" w:fill="auto"/>
            <w:vAlign w:val="center"/>
          </w:tcPr>
          <w:p w14:paraId="554E1CFB">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本项目不新增劳动定员，无需新增生活用水</w:t>
            </w:r>
            <w:r>
              <w:rPr>
                <w:rFonts w:hint="eastAsia" w:cs="Times New Roman"/>
                <w:color w:val="auto"/>
                <w:sz w:val="21"/>
                <w:szCs w:val="21"/>
                <w:lang w:val="en-US" w:eastAsia="zh-CN"/>
              </w:rPr>
              <w:t>；</w:t>
            </w:r>
            <w:r>
              <w:rPr>
                <w:rFonts w:hint="default" w:ascii="Times New Roman" w:hAnsi="Times New Roman" w:cs="Times New Roman"/>
                <w:color w:val="auto"/>
                <w:sz w:val="21"/>
                <w:szCs w:val="21"/>
              </w:rPr>
              <w:t>生产用水为</w:t>
            </w:r>
            <w:r>
              <w:rPr>
                <w:rFonts w:hint="default" w:ascii="Times New Roman" w:hAnsi="Times New Roman" w:cs="Times New Roman"/>
                <w:color w:val="auto"/>
                <w:sz w:val="21"/>
                <w:szCs w:val="21"/>
                <w:lang w:val="en-US" w:eastAsia="zh-CN"/>
              </w:rPr>
              <w:t>污水厂处理后的中水</w:t>
            </w:r>
            <w:r>
              <w:rPr>
                <w:rFonts w:hint="eastAsia" w:cs="Times New Roman"/>
                <w:color w:val="auto"/>
                <w:sz w:val="21"/>
                <w:szCs w:val="21"/>
                <w:lang w:val="en-US" w:eastAsia="zh-CN"/>
              </w:rPr>
              <w:t>。</w:t>
            </w:r>
          </w:p>
        </w:tc>
        <w:tc>
          <w:tcPr>
            <w:tcW w:w="1252" w:type="dxa"/>
            <w:vAlign w:val="center"/>
          </w:tcPr>
          <w:p w14:paraId="5355E2ED">
            <w:pPr>
              <w:pStyle w:val="15"/>
              <w:bidi w:val="0"/>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w:t>
            </w:r>
          </w:p>
        </w:tc>
      </w:tr>
      <w:tr w14:paraId="44EF97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70E3CCCA">
            <w:pPr>
              <w:pStyle w:val="15"/>
              <w:bidi w:val="0"/>
              <w:rPr>
                <w:rFonts w:hint="default" w:ascii="Times New Roman" w:hAnsi="Times New Roman" w:cs="Times New Roman"/>
                <w:b/>
                <w:bCs/>
                <w:color w:val="auto"/>
                <w:sz w:val="21"/>
                <w:szCs w:val="21"/>
              </w:rPr>
            </w:pPr>
          </w:p>
        </w:tc>
        <w:tc>
          <w:tcPr>
            <w:tcW w:w="1222" w:type="dxa"/>
            <w:tcMar>
              <w:left w:w="28" w:type="dxa"/>
              <w:right w:w="28" w:type="dxa"/>
            </w:tcMar>
            <w:vAlign w:val="center"/>
          </w:tcPr>
          <w:p w14:paraId="26F63EA5">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排水工程</w:t>
            </w:r>
          </w:p>
        </w:tc>
        <w:tc>
          <w:tcPr>
            <w:tcW w:w="2768" w:type="dxa"/>
            <w:shd w:val="clear" w:color="auto" w:fill="auto"/>
            <w:tcMar>
              <w:left w:w="28" w:type="dxa"/>
              <w:right w:w="28" w:type="dxa"/>
            </w:tcMar>
            <w:vAlign w:val="center"/>
          </w:tcPr>
          <w:p w14:paraId="2885CC32">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生活污水</w:t>
            </w:r>
            <w:r>
              <w:rPr>
                <w:rFonts w:hint="default" w:ascii="Times New Roman" w:hAnsi="Times New Roman" w:cs="Times New Roman"/>
                <w:color w:val="auto"/>
                <w:sz w:val="21"/>
                <w:szCs w:val="21"/>
                <w:lang w:val="en-US" w:eastAsia="zh-CN"/>
              </w:rPr>
              <w:t>进入本项目污水处理系统</w:t>
            </w:r>
            <w:r>
              <w:rPr>
                <w:rFonts w:hint="default" w:ascii="Times New Roman" w:hAnsi="Times New Roman" w:cs="Times New Roman"/>
                <w:color w:val="auto"/>
                <w:sz w:val="21"/>
                <w:szCs w:val="21"/>
              </w:rPr>
              <w:t>；</w:t>
            </w:r>
            <w:r>
              <w:rPr>
                <w:rFonts w:hint="default" w:ascii="Times New Roman" w:hAnsi="Times New Roman" w:cs="Times New Roman"/>
                <w:color w:val="auto"/>
                <w:sz w:val="21"/>
                <w:szCs w:val="21"/>
                <w:lang w:val="en-US" w:eastAsia="zh-CN"/>
              </w:rPr>
              <w:t>无生产废水</w:t>
            </w:r>
            <w:r>
              <w:rPr>
                <w:rFonts w:hint="eastAsia" w:cs="Times New Roman"/>
                <w:color w:val="auto"/>
                <w:sz w:val="21"/>
                <w:szCs w:val="21"/>
                <w:lang w:val="en-US" w:eastAsia="zh-CN"/>
              </w:rPr>
              <w:t>。</w:t>
            </w:r>
          </w:p>
        </w:tc>
        <w:tc>
          <w:tcPr>
            <w:tcW w:w="3629" w:type="dxa"/>
            <w:tcMar>
              <w:left w:w="28" w:type="dxa"/>
              <w:right w:w="28" w:type="dxa"/>
            </w:tcMar>
            <w:vAlign w:val="center"/>
          </w:tcPr>
          <w:p w14:paraId="798034D8">
            <w:pPr>
              <w:pStyle w:val="15"/>
              <w:bidi w:val="0"/>
              <w:jc w:val="left"/>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本项目</w:t>
            </w:r>
            <w:r>
              <w:rPr>
                <w:rFonts w:hint="default" w:ascii="Times New Roman" w:hAnsi="Times New Roman" w:cs="Times New Roman"/>
                <w:color w:val="auto"/>
                <w:sz w:val="21"/>
                <w:szCs w:val="21"/>
                <w:lang w:val="en-US" w:eastAsia="zh-CN"/>
              </w:rPr>
              <w:t>无新增</w:t>
            </w:r>
            <w:r>
              <w:rPr>
                <w:rFonts w:hint="default" w:ascii="Times New Roman" w:hAnsi="Times New Roman" w:cs="Times New Roman"/>
                <w:color w:val="auto"/>
                <w:sz w:val="21"/>
                <w:szCs w:val="21"/>
              </w:rPr>
              <w:t>生活污水；</w:t>
            </w:r>
            <w:r>
              <w:rPr>
                <w:rFonts w:hint="default" w:ascii="Times New Roman" w:hAnsi="Times New Roman" w:cs="Times New Roman"/>
                <w:color w:val="auto"/>
                <w:sz w:val="21"/>
                <w:szCs w:val="21"/>
                <w:lang w:val="en-US" w:eastAsia="zh-CN"/>
              </w:rPr>
              <w:t>深度脱氮反硝化滤池反冲洗废水进入污水厂污水井，不外排</w:t>
            </w:r>
            <w:r>
              <w:rPr>
                <w:rFonts w:hint="eastAsia" w:cs="Times New Roman"/>
                <w:color w:val="auto"/>
                <w:sz w:val="21"/>
                <w:szCs w:val="21"/>
                <w:lang w:val="en-US" w:eastAsia="zh-CN"/>
              </w:rPr>
              <w:t>。</w:t>
            </w:r>
          </w:p>
        </w:tc>
        <w:tc>
          <w:tcPr>
            <w:tcW w:w="4810" w:type="dxa"/>
            <w:shd w:val="clear" w:color="auto" w:fill="auto"/>
            <w:vAlign w:val="center"/>
          </w:tcPr>
          <w:p w14:paraId="40418BA2">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rPr>
              <w:t>本项目</w:t>
            </w:r>
            <w:r>
              <w:rPr>
                <w:rFonts w:hint="default" w:ascii="Times New Roman" w:hAnsi="Times New Roman" w:cs="Times New Roman"/>
                <w:color w:val="auto"/>
                <w:sz w:val="21"/>
                <w:szCs w:val="21"/>
                <w:lang w:val="en-US" w:eastAsia="zh-CN"/>
              </w:rPr>
              <w:t>无新增</w:t>
            </w:r>
            <w:r>
              <w:rPr>
                <w:rFonts w:hint="default" w:ascii="Times New Roman" w:hAnsi="Times New Roman" w:cs="Times New Roman"/>
                <w:color w:val="auto"/>
                <w:sz w:val="21"/>
                <w:szCs w:val="21"/>
              </w:rPr>
              <w:t>生活污水；</w:t>
            </w:r>
            <w:r>
              <w:rPr>
                <w:rFonts w:hint="default" w:ascii="Times New Roman" w:hAnsi="Times New Roman" w:cs="Times New Roman"/>
                <w:color w:val="auto"/>
                <w:sz w:val="21"/>
                <w:szCs w:val="21"/>
                <w:lang w:val="en-US" w:eastAsia="zh-CN"/>
              </w:rPr>
              <w:t>深度脱氮反硝化滤池反冲洗废水进入污水厂污水井，不外排</w:t>
            </w:r>
            <w:r>
              <w:rPr>
                <w:rFonts w:hint="eastAsia" w:cs="Times New Roman"/>
                <w:color w:val="auto"/>
                <w:sz w:val="21"/>
                <w:szCs w:val="21"/>
                <w:lang w:val="en-US" w:eastAsia="zh-CN"/>
              </w:rPr>
              <w:t>。</w:t>
            </w:r>
          </w:p>
        </w:tc>
        <w:tc>
          <w:tcPr>
            <w:tcW w:w="1252" w:type="dxa"/>
            <w:vAlign w:val="center"/>
          </w:tcPr>
          <w:p w14:paraId="0265B2BF">
            <w:pPr>
              <w:pStyle w:val="15"/>
              <w:bidi w:val="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r>
      <w:tr w14:paraId="2B5C74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1A64C487">
            <w:pPr>
              <w:pStyle w:val="15"/>
              <w:bidi w:val="0"/>
              <w:rPr>
                <w:rFonts w:hint="default" w:ascii="Times New Roman" w:hAnsi="Times New Roman" w:cs="Times New Roman"/>
                <w:b/>
                <w:bCs/>
                <w:color w:val="auto"/>
                <w:sz w:val="21"/>
                <w:szCs w:val="21"/>
              </w:rPr>
            </w:pPr>
          </w:p>
        </w:tc>
        <w:tc>
          <w:tcPr>
            <w:tcW w:w="1222" w:type="dxa"/>
            <w:tcMar>
              <w:left w:w="28" w:type="dxa"/>
              <w:right w:w="28" w:type="dxa"/>
            </w:tcMar>
            <w:vAlign w:val="center"/>
          </w:tcPr>
          <w:p w14:paraId="2A1B94E4">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供电工程</w:t>
            </w:r>
          </w:p>
        </w:tc>
        <w:tc>
          <w:tcPr>
            <w:tcW w:w="2768" w:type="dxa"/>
            <w:shd w:val="clear" w:color="auto" w:fill="auto"/>
            <w:tcMar>
              <w:left w:w="28" w:type="dxa"/>
              <w:right w:w="28" w:type="dxa"/>
            </w:tcMar>
            <w:vAlign w:val="center"/>
          </w:tcPr>
          <w:p w14:paraId="2D144325">
            <w:pPr>
              <w:pStyle w:val="15"/>
              <w:bidi w:val="0"/>
              <w:jc w:val="left"/>
              <w:rPr>
                <w:rFonts w:hint="eastAsia"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由</w:t>
            </w:r>
            <w:r>
              <w:rPr>
                <w:rFonts w:hint="default" w:ascii="Times New Roman" w:hAnsi="Times New Roman" w:cs="Times New Roman"/>
                <w:color w:val="auto"/>
                <w:sz w:val="21"/>
                <w:szCs w:val="21"/>
                <w:lang w:val="en-US" w:eastAsia="zh-CN"/>
              </w:rPr>
              <w:t>污水厂原有</w:t>
            </w:r>
            <w:r>
              <w:rPr>
                <w:rFonts w:hint="default" w:ascii="Times New Roman" w:hAnsi="Times New Roman" w:cs="Times New Roman"/>
                <w:color w:val="auto"/>
                <w:sz w:val="21"/>
                <w:szCs w:val="21"/>
              </w:rPr>
              <w:t>电网供给</w:t>
            </w:r>
            <w:r>
              <w:rPr>
                <w:rFonts w:hint="eastAsia" w:cs="Times New Roman"/>
                <w:color w:val="auto"/>
                <w:sz w:val="21"/>
                <w:szCs w:val="21"/>
                <w:lang w:eastAsia="zh-CN"/>
              </w:rPr>
              <w:t>。</w:t>
            </w:r>
          </w:p>
        </w:tc>
        <w:tc>
          <w:tcPr>
            <w:tcW w:w="3629" w:type="dxa"/>
            <w:tcMar>
              <w:left w:w="28" w:type="dxa"/>
              <w:right w:w="28" w:type="dxa"/>
            </w:tcMar>
            <w:vAlign w:val="center"/>
          </w:tcPr>
          <w:p w14:paraId="103424E9">
            <w:pPr>
              <w:pStyle w:val="15"/>
              <w:bidi w:val="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利用现有</w:t>
            </w:r>
            <w:r>
              <w:rPr>
                <w:rFonts w:hint="eastAsia" w:cs="Times New Roman"/>
                <w:color w:val="auto"/>
                <w:sz w:val="21"/>
                <w:szCs w:val="21"/>
                <w:lang w:eastAsia="zh-CN"/>
              </w:rPr>
              <w:t>工程。</w:t>
            </w:r>
          </w:p>
        </w:tc>
        <w:tc>
          <w:tcPr>
            <w:tcW w:w="4810" w:type="dxa"/>
            <w:shd w:val="clear" w:color="auto" w:fill="auto"/>
            <w:vAlign w:val="center"/>
          </w:tcPr>
          <w:p w14:paraId="1B6E661A">
            <w:pPr>
              <w:pStyle w:val="15"/>
              <w:bidi w:val="0"/>
              <w:jc w:val="center"/>
              <w:rPr>
                <w:rFonts w:hint="eastAsia"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rPr>
              <w:t>由</w:t>
            </w:r>
            <w:r>
              <w:rPr>
                <w:rFonts w:hint="default" w:ascii="Times New Roman" w:hAnsi="Times New Roman" w:cs="Times New Roman"/>
                <w:color w:val="auto"/>
                <w:sz w:val="21"/>
                <w:szCs w:val="21"/>
                <w:lang w:val="en-US" w:eastAsia="zh-CN"/>
              </w:rPr>
              <w:t>污水厂原有</w:t>
            </w:r>
            <w:r>
              <w:rPr>
                <w:rFonts w:hint="default" w:ascii="Times New Roman" w:hAnsi="Times New Roman" w:cs="Times New Roman"/>
                <w:color w:val="auto"/>
                <w:sz w:val="21"/>
                <w:szCs w:val="21"/>
              </w:rPr>
              <w:t>电网供给</w:t>
            </w:r>
            <w:r>
              <w:rPr>
                <w:rFonts w:hint="eastAsia" w:cs="Times New Roman"/>
                <w:color w:val="auto"/>
                <w:sz w:val="21"/>
                <w:szCs w:val="21"/>
                <w:lang w:eastAsia="zh-CN"/>
              </w:rPr>
              <w:t>。</w:t>
            </w:r>
          </w:p>
        </w:tc>
        <w:tc>
          <w:tcPr>
            <w:tcW w:w="1252" w:type="dxa"/>
            <w:vAlign w:val="center"/>
          </w:tcPr>
          <w:p w14:paraId="2FB86F10">
            <w:pPr>
              <w:pStyle w:val="15"/>
              <w:bidi w:val="0"/>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w:t>
            </w:r>
          </w:p>
        </w:tc>
      </w:tr>
      <w:tr w14:paraId="6251F5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7144055F">
            <w:pPr>
              <w:pStyle w:val="15"/>
              <w:bidi w:val="0"/>
              <w:rPr>
                <w:rFonts w:hint="default" w:ascii="Times New Roman" w:hAnsi="Times New Roman" w:cs="Times New Roman"/>
                <w:b/>
                <w:bCs/>
                <w:color w:val="auto"/>
                <w:sz w:val="21"/>
                <w:szCs w:val="21"/>
              </w:rPr>
            </w:pPr>
          </w:p>
        </w:tc>
        <w:tc>
          <w:tcPr>
            <w:tcW w:w="1222" w:type="dxa"/>
            <w:tcMar>
              <w:left w:w="28" w:type="dxa"/>
              <w:right w:w="28" w:type="dxa"/>
            </w:tcMar>
            <w:vAlign w:val="center"/>
          </w:tcPr>
          <w:p w14:paraId="20FD6409">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供暖工程</w:t>
            </w:r>
          </w:p>
        </w:tc>
        <w:tc>
          <w:tcPr>
            <w:tcW w:w="2768" w:type="dxa"/>
            <w:shd w:val="clear" w:color="auto" w:fill="auto"/>
            <w:tcMar>
              <w:left w:w="28" w:type="dxa"/>
              <w:right w:w="28" w:type="dxa"/>
            </w:tcMar>
            <w:vAlign w:val="center"/>
          </w:tcPr>
          <w:p w14:paraId="062A9B48">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本项目为市政集中</w:t>
            </w:r>
            <w:r>
              <w:rPr>
                <w:rFonts w:hint="default" w:ascii="Times New Roman" w:hAnsi="Times New Roman" w:cs="Times New Roman"/>
                <w:color w:val="auto"/>
                <w:sz w:val="21"/>
                <w:szCs w:val="21"/>
                <w:lang w:eastAsia="zh-CN"/>
              </w:rPr>
              <w:t>供暖</w:t>
            </w:r>
            <w:r>
              <w:rPr>
                <w:rFonts w:hint="eastAsia" w:cs="Times New Roman"/>
                <w:color w:val="auto"/>
                <w:sz w:val="21"/>
                <w:szCs w:val="21"/>
                <w:lang w:eastAsia="zh-CN"/>
              </w:rPr>
              <w:t>。</w:t>
            </w:r>
          </w:p>
        </w:tc>
        <w:tc>
          <w:tcPr>
            <w:tcW w:w="3629" w:type="dxa"/>
            <w:tcMar>
              <w:left w:w="28" w:type="dxa"/>
              <w:right w:w="28" w:type="dxa"/>
            </w:tcMar>
            <w:vAlign w:val="center"/>
          </w:tcPr>
          <w:p w14:paraId="451C8F6A">
            <w:pPr>
              <w:pStyle w:val="15"/>
              <w:bidi w:val="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val="en-US" w:eastAsia="zh-CN"/>
              </w:rPr>
              <w:t>利用现有</w:t>
            </w:r>
            <w:r>
              <w:rPr>
                <w:rFonts w:hint="eastAsia" w:cs="Times New Roman"/>
                <w:color w:val="auto"/>
                <w:sz w:val="21"/>
                <w:szCs w:val="21"/>
                <w:lang w:val="en-US" w:eastAsia="zh-CN"/>
              </w:rPr>
              <w:t>工程。</w:t>
            </w:r>
          </w:p>
        </w:tc>
        <w:tc>
          <w:tcPr>
            <w:tcW w:w="4810" w:type="dxa"/>
            <w:shd w:val="clear" w:color="auto" w:fill="auto"/>
            <w:vAlign w:val="center"/>
          </w:tcPr>
          <w:p w14:paraId="07B19130">
            <w:pPr>
              <w:pStyle w:val="15"/>
              <w:bidi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本项目为市政集中</w:t>
            </w:r>
            <w:r>
              <w:rPr>
                <w:rFonts w:hint="default" w:ascii="Times New Roman" w:hAnsi="Times New Roman" w:cs="Times New Roman"/>
                <w:color w:val="auto"/>
                <w:sz w:val="21"/>
                <w:szCs w:val="21"/>
                <w:lang w:eastAsia="zh-CN"/>
              </w:rPr>
              <w:t>供暖</w:t>
            </w:r>
            <w:r>
              <w:rPr>
                <w:rFonts w:hint="eastAsia" w:cs="Times New Roman"/>
                <w:color w:val="auto"/>
                <w:sz w:val="21"/>
                <w:szCs w:val="21"/>
                <w:lang w:eastAsia="zh-CN"/>
              </w:rPr>
              <w:t>。</w:t>
            </w:r>
          </w:p>
        </w:tc>
        <w:tc>
          <w:tcPr>
            <w:tcW w:w="1252" w:type="dxa"/>
            <w:vAlign w:val="center"/>
          </w:tcPr>
          <w:p w14:paraId="1FD78AB3">
            <w:pPr>
              <w:pStyle w:val="15"/>
              <w:bidi w:val="0"/>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w:t>
            </w:r>
          </w:p>
        </w:tc>
      </w:tr>
      <w:tr w14:paraId="3326C8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restart"/>
            <w:tcMar>
              <w:left w:w="28" w:type="dxa"/>
              <w:right w:w="28" w:type="dxa"/>
            </w:tcMar>
            <w:vAlign w:val="center"/>
          </w:tcPr>
          <w:p w14:paraId="3E1614F7">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环保</w:t>
            </w:r>
          </w:p>
          <w:p w14:paraId="671B06A1">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工程</w:t>
            </w:r>
          </w:p>
        </w:tc>
        <w:tc>
          <w:tcPr>
            <w:tcW w:w="1222" w:type="dxa"/>
            <w:tcMar>
              <w:left w:w="28" w:type="dxa"/>
              <w:right w:w="28" w:type="dxa"/>
            </w:tcMar>
            <w:vAlign w:val="center"/>
          </w:tcPr>
          <w:p w14:paraId="2DBDB6E1">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废气</w:t>
            </w:r>
          </w:p>
        </w:tc>
        <w:tc>
          <w:tcPr>
            <w:tcW w:w="2768" w:type="dxa"/>
            <w:shd w:val="clear" w:color="auto" w:fill="auto"/>
            <w:tcMar>
              <w:left w:w="28" w:type="dxa"/>
              <w:right w:w="28" w:type="dxa"/>
            </w:tcMar>
            <w:vAlign w:val="center"/>
          </w:tcPr>
          <w:p w14:paraId="489C172A">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项目对产生恶臭气体的格栅、生化池、污泥脱水工序布置于全封闭厂房内</w:t>
            </w:r>
            <w:r>
              <w:rPr>
                <w:rFonts w:hint="eastAsia" w:cs="Times New Roman"/>
                <w:color w:val="auto"/>
                <w:sz w:val="21"/>
                <w:szCs w:val="21"/>
                <w:lang w:val="en-US" w:eastAsia="zh-CN"/>
              </w:rPr>
              <w:t>。</w:t>
            </w:r>
          </w:p>
        </w:tc>
        <w:tc>
          <w:tcPr>
            <w:tcW w:w="3629" w:type="dxa"/>
            <w:tcMar>
              <w:left w:w="28" w:type="dxa"/>
              <w:right w:w="28" w:type="dxa"/>
            </w:tcMar>
            <w:vAlign w:val="center"/>
          </w:tcPr>
          <w:p w14:paraId="5C702BD2">
            <w:pPr>
              <w:pStyle w:val="15"/>
              <w:bidi w:val="0"/>
              <w:jc w:val="left"/>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val="en-US" w:eastAsia="zh-CN"/>
              </w:rPr>
              <w:t>在生物池的缺氧段安装微生物培养箱4台，采用全流程除臭工艺</w:t>
            </w:r>
            <w:r>
              <w:rPr>
                <w:rFonts w:hint="eastAsia" w:cs="Times New Roman"/>
                <w:color w:val="auto"/>
                <w:sz w:val="21"/>
                <w:szCs w:val="21"/>
                <w:lang w:val="en-US" w:eastAsia="zh-CN"/>
              </w:rPr>
              <w:t>。</w:t>
            </w:r>
          </w:p>
        </w:tc>
        <w:tc>
          <w:tcPr>
            <w:tcW w:w="4810" w:type="dxa"/>
            <w:shd w:val="clear" w:color="auto" w:fill="auto"/>
            <w:vAlign w:val="center"/>
          </w:tcPr>
          <w:p w14:paraId="653E9EA2">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项目对产生恶臭气体的格栅、生化池、污泥脱水</w:t>
            </w:r>
            <w:r>
              <w:rPr>
                <w:rFonts w:hint="eastAsia" w:cs="Times New Roman"/>
                <w:color w:val="auto"/>
                <w:sz w:val="21"/>
                <w:szCs w:val="21"/>
                <w:lang w:val="en-US" w:eastAsia="zh-CN"/>
              </w:rPr>
              <w:t>等</w:t>
            </w:r>
            <w:r>
              <w:rPr>
                <w:rFonts w:hint="default" w:ascii="Times New Roman" w:hAnsi="Times New Roman" w:cs="Times New Roman"/>
                <w:color w:val="auto"/>
                <w:sz w:val="21"/>
                <w:szCs w:val="21"/>
                <w:lang w:val="en-US" w:eastAsia="zh-CN"/>
              </w:rPr>
              <w:t>工序布置于全封闭厂房内，并在生物池的缺氧段安装微生物培养箱4台，采用全流程除臭工艺</w:t>
            </w:r>
            <w:r>
              <w:rPr>
                <w:rFonts w:hint="eastAsia" w:cs="Times New Roman"/>
                <w:color w:val="auto"/>
                <w:sz w:val="21"/>
                <w:szCs w:val="21"/>
                <w:lang w:val="en-US" w:eastAsia="zh-CN"/>
              </w:rPr>
              <w:t>。</w:t>
            </w:r>
          </w:p>
        </w:tc>
        <w:tc>
          <w:tcPr>
            <w:tcW w:w="1252" w:type="dxa"/>
            <w:vAlign w:val="center"/>
          </w:tcPr>
          <w:p w14:paraId="288799D9">
            <w:pPr>
              <w:pStyle w:val="15"/>
              <w:bidi w:val="0"/>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新增除臭设施</w:t>
            </w:r>
          </w:p>
        </w:tc>
      </w:tr>
      <w:tr w14:paraId="35231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7D8E901D">
            <w:pPr>
              <w:pStyle w:val="15"/>
              <w:bidi w:val="0"/>
              <w:rPr>
                <w:rFonts w:hint="default" w:ascii="Times New Roman" w:hAnsi="Times New Roman" w:cs="Times New Roman"/>
                <w:b/>
                <w:bCs/>
                <w:color w:val="auto"/>
                <w:sz w:val="21"/>
                <w:szCs w:val="21"/>
              </w:rPr>
            </w:pPr>
          </w:p>
        </w:tc>
        <w:tc>
          <w:tcPr>
            <w:tcW w:w="1222" w:type="dxa"/>
            <w:tcMar>
              <w:left w:w="28" w:type="dxa"/>
              <w:right w:w="28" w:type="dxa"/>
            </w:tcMar>
            <w:vAlign w:val="center"/>
          </w:tcPr>
          <w:p w14:paraId="2772619E">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废水</w:t>
            </w:r>
          </w:p>
        </w:tc>
        <w:tc>
          <w:tcPr>
            <w:tcW w:w="2768" w:type="dxa"/>
            <w:shd w:val="clear" w:color="auto" w:fill="auto"/>
            <w:tcMar>
              <w:left w:w="28" w:type="dxa"/>
              <w:right w:w="28" w:type="dxa"/>
            </w:tcMar>
            <w:vAlign w:val="center"/>
          </w:tcPr>
          <w:p w14:paraId="486AB77C">
            <w:pPr>
              <w:pStyle w:val="15"/>
              <w:bidi w:val="0"/>
              <w:jc w:val="left"/>
              <w:rPr>
                <w:rFonts w:hint="default"/>
                <w:color w:val="auto"/>
                <w:lang w:val="en-US" w:eastAsia="zh-CN"/>
              </w:rPr>
            </w:pPr>
            <w:r>
              <w:rPr>
                <w:rFonts w:hint="default" w:ascii="Times New Roman" w:hAnsi="Times New Roman" w:cs="Times New Roman"/>
                <w:color w:val="auto"/>
                <w:sz w:val="21"/>
                <w:szCs w:val="21"/>
                <w:lang w:val="en-US" w:eastAsia="zh-CN"/>
              </w:rPr>
              <w:t>生活污水进入本项目污水处理系统；项目运行</w:t>
            </w:r>
            <w:r>
              <w:rPr>
                <w:rFonts w:hint="eastAsia" w:cs="Times New Roman"/>
                <w:color w:val="auto"/>
                <w:sz w:val="21"/>
                <w:szCs w:val="21"/>
                <w:lang w:val="en-US" w:eastAsia="zh-CN"/>
              </w:rPr>
              <w:t>期内</w:t>
            </w:r>
            <w:r>
              <w:rPr>
                <w:rFonts w:hint="default" w:ascii="Times New Roman" w:hAnsi="Times New Roman" w:cs="Times New Roman"/>
                <w:color w:val="auto"/>
                <w:sz w:val="21"/>
                <w:szCs w:val="21"/>
                <w:lang w:val="en-US" w:eastAsia="zh-CN"/>
              </w:rPr>
              <w:t>无生产废水；</w:t>
            </w:r>
            <w:r>
              <w:rPr>
                <w:rFonts w:hint="default"/>
                <w:color w:val="auto"/>
                <w:sz w:val="21"/>
                <w:szCs w:val="21"/>
                <w:lang w:val="en-US" w:eastAsia="zh-CN"/>
              </w:rPr>
              <w:t>项目处理后的中水夏季用于园林绿化及鄂尔多斯市新能源产业示范区生产用水，</w:t>
            </w:r>
            <w:r>
              <w:rPr>
                <w:rFonts w:hint="eastAsia"/>
                <w:color w:val="auto"/>
                <w:sz w:val="21"/>
                <w:szCs w:val="21"/>
                <w:lang w:val="en-US" w:eastAsia="zh-CN"/>
              </w:rPr>
              <w:t>冬季用于</w:t>
            </w:r>
            <w:r>
              <w:rPr>
                <w:rFonts w:hint="default"/>
                <w:color w:val="auto"/>
                <w:sz w:val="21"/>
                <w:szCs w:val="21"/>
                <w:lang w:val="en-US" w:eastAsia="zh-CN"/>
              </w:rPr>
              <w:t>鄂尔多斯市新能源产业示范区生产用水，剩余部分排入陶赖沟水库暂存，冬储夏灌</w:t>
            </w:r>
            <w:r>
              <w:rPr>
                <w:rFonts w:hint="eastAsia"/>
                <w:color w:val="auto"/>
                <w:sz w:val="21"/>
                <w:szCs w:val="21"/>
                <w:lang w:val="en-US" w:eastAsia="zh-CN"/>
              </w:rPr>
              <w:t>。</w:t>
            </w:r>
          </w:p>
        </w:tc>
        <w:tc>
          <w:tcPr>
            <w:tcW w:w="3629" w:type="dxa"/>
            <w:tcMar>
              <w:left w:w="28" w:type="dxa"/>
              <w:right w:w="28" w:type="dxa"/>
            </w:tcMar>
            <w:vAlign w:val="center"/>
          </w:tcPr>
          <w:p w14:paraId="2F803045">
            <w:pPr>
              <w:pStyle w:val="15"/>
              <w:bidi w:val="0"/>
              <w:jc w:val="left"/>
              <w:rPr>
                <w:rFonts w:hint="default"/>
                <w:color w:val="auto"/>
                <w:lang w:val="en-US"/>
              </w:rPr>
            </w:pPr>
            <w:r>
              <w:rPr>
                <w:rFonts w:hint="default" w:ascii="Times New Roman" w:hAnsi="Times New Roman" w:cs="Times New Roman"/>
                <w:color w:val="auto"/>
                <w:sz w:val="21"/>
                <w:szCs w:val="21"/>
                <w:lang w:val="en-US" w:eastAsia="zh-CN"/>
              </w:rPr>
              <w:t>项目无新增劳动定员，无新增</w:t>
            </w:r>
            <w:r>
              <w:rPr>
                <w:rFonts w:hint="eastAsia" w:cs="Times New Roman"/>
                <w:color w:val="auto"/>
                <w:sz w:val="21"/>
                <w:szCs w:val="21"/>
                <w:lang w:val="en-US" w:eastAsia="zh-CN"/>
              </w:rPr>
              <w:t>生活污水</w:t>
            </w:r>
            <w:r>
              <w:rPr>
                <w:rFonts w:hint="default" w:ascii="Times New Roman" w:hAnsi="Times New Roman" w:cs="Times New Roman"/>
                <w:color w:val="auto"/>
                <w:sz w:val="21"/>
                <w:szCs w:val="21"/>
                <w:lang w:val="en-US" w:eastAsia="zh-CN"/>
              </w:rPr>
              <w:t>；深度脱氮反硝化滤池反冲洗废水进入污水厂污水井，不外排</w:t>
            </w:r>
            <w:r>
              <w:rPr>
                <w:rFonts w:hint="eastAsia" w:cs="Times New Roman"/>
                <w:color w:val="auto"/>
                <w:sz w:val="21"/>
                <w:szCs w:val="21"/>
                <w:lang w:val="en-US" w:eastAsia="zh-CN"/>
              </w:rPr>
              <w:t>。未利用的中水由“杭锦旗锡尼镇污水处理厂尾水水质净化工程”进行处理。</w:t>
            </w:r>
          </w:p>
        </w:tc>
        <w:tc>
          <w:tcPr>
            <w:tcW w:w="4810" w:type="dxa"/>
            <w:shd w:val="clear" w:color="auto" w:fill="auto"/>
            <w:vAlign w:val="center"/>
          </w:tcPr>
          <w:p w14:paraId="1BD8EDD8">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项目无新增劳动定员，无新增</w:t>
            </w:r>
            <w:r>
              <w:rPr>
                <w:rFonts w:hint="eastAsia" w:cs="Times New Roman"/>
                <w:color w:val="auto"/>
                <w:sz w:val="21"/>
                <w:szCs w:val="21"/>
                <w:lang w:val="en-US" w:eastAsia="zh-CN"/>
              </w:rPr>
              <w:t>生活污水</w:t>
            </w:r>
            <w:r>
              <w:rPr>
                <w:rFonts w:hint="default" w:ascii="Times New Roman" w:hAnsi="Times New Roman" w:cs="Times New Roman"/>
                <w:color w:val="auto"/>
                <w:sz w:val="21"/>
                <w:szCs w:val="21"/>
                <w:lang w:val="en-US" w:eastAsia="zh-CN"/>
              </w:rPr>
              <w:t>；深度脱氮反硝化滤池反冲洗废水进入污水厂污水井，不外排；</w:t>
            </w:r>
          </w:p>
          <w:p w14:paraId="3A98B777">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本项目污水处理厂处理后的中水</w:t>
            </w:r>
            <w:r>
              <w:rPr>
                <w:rFonts w:hint="eastAsia" w:cs="Times New Roman"/>
                <w:color w:val="auto"/>
                <w:sz w:val="21"/>
                <w:szCs w:val="21"/>
                <w:lang w:val="en-US" w:eastAsia="zh-CN"/>
              </w:rPr>
              <w:t>已</w:t>
            </w:r>
            <w:r>
              <w:rPr>
                <w:rFonts w:hint="default" w:ascii="Times New Roman" w:hAnsi="Times New Roman" w:cs="Times New Roman"/>
                <w:color w:val="auto"/>
                <w:sz w:val="21"/>
                <w:szCs w:val="21"/>
                <w:lang w:val="en-US" w:eastAsia="zh-CN"/>
              </w:rPr>
              <w:t>全部实现再生利用（即污水回用）。根据规划方案，</w:t>
            </w:r>
            <w:r>
              <w:rPr>
                <w:rFonts w:hint="eastAsia" w:cs="Times New Roman"/>
                <w:color w:val="auto"/>
                <w:sz w:val="21"/>
                <w:szCs w:val="21"/>
                <w:lang w:val="en-US" w:eastAsia="zh-CN"/>
              </w:rPr>
              <w:t>一期</w:t>
            </w:r>
            <w:r>
              <w:rPr>
                <w:rFonts w:hint="default" w:ascii="Times New Roman" w:hAnsi="Times New Roman" w:cs="Times New Roman"/>
                <w:color w:val="auto"/>
                <w:sz w:val="21"/>
                <w:szCs w:val="21"/>
                <w:lang w:val="en-US" w:eastAsia="zh-CN"/>
              </w:rPr>
              <w:t>更新改造后</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污水处理厂</w:t>
            </w:r>
            <w:r>
              <w:rPr>
                <w:rFonts w:hint="eastAsia" w:cs="Times New Roman"/>
                <w:color w:val="auto"/>
                <w:sz w:val="21"/>
                <w:szCs w:val="21"/>
                <w:lang w:val="en-US" w:eastAsia="zh-CN"/>
              </w:rPr>
              <w:t>全厂</w:t>
            </w:r>
            <w:r>
              <w:rPr>
                <w:rFonts w:hint="default" w:ascii="Times New Roman" w:hAnsi="Times New Roman" w:cs="Times New Roman"/>
                <w:color w:val="auto"/>
                <w:sz w:val="21"/>
                <w:szCs w:val="21"/>
                <w:lang w:val="en-US" w:eastAsia="zh-CN"/>
              </w:rPr>
              <w:t>日处理中水能力为11500t/d，其中8500t/d排入杭锦旗锡尼镇污水处理厂尾水水质净化工程进行深度处理，处理达标后用于周边企业回用及陶赖沟生态补水。其余部分统筹用于园林绿化、鄂尔多斯市新能源产业示范区企业及内蒙古能源发电杭锦发电有限公司工业用水</w:t>
            </w:r>
            <w:r>
              <w:rPr>
                <w:rFonts w:hint="eastAsia" w:cs="Times New Roman"/>
                <w:color w:val="auto"/>
                <w:sz w:val="21"/>
                <w:szCs w:val="21"/>
                <w:lang w:val="en-US" w:eastAsia="zh-CN"/>
              </w:rPr>
              <w:t>。</w:t>
            </w:r>
          </w:p>
        </w:tc>
        <w:tc>
          <w:tcPr>
            <w:tcW w:w="1252" w:type="dxa"/>
            <w:vAlign w:val="center"/>
          </w:tcPr>
          <w:p w14:paraId="133F4242">
            <w:pPr>
              <w:pStyle w:val="15"/>
              <w:bidi w:val="0"/>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w:t>
            </w:r>
          </w:p>
        </w:tc>
      </w:tr>
      <w:tr w14:paraId="71A257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2B1E84DB">
            <w:pPr>
              <w:pStyle w:val="15"/>
              <w:bidi w:val="0"/>
              <w:rPr>
                <w:rFonts w:hint="default" w:ascii="Times New Roman" w:hAnsi="Times New Roman" w:cs="Times New Roman"/>
                <w:b/>
                <w:bCs/>
                <w:color w:val="auto"/>
                <w:sz w:val="21"/>
                <w:szCs w:val="21"/>
              </w:rPr>
            </w:pPr>
          </w:p>
        </w:tc>
        <w:tc>
          <w:tcPr>
            <w:tcW w:w="1222" w:type="dxa"/>
            <w:tcMar>
              <w:left w:w="28" w:type="dxa"/>
              <w:right w:w="28" w:type="dxa"/>
            </w:tcMar>
            <w:vAlign w:val="center"/>
          </w:tcPr>
          <w:p w14:paraId="70A6FF00">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固废</w:t>
            </w:r>
          </w:p>
        </w:tc>
        <w:tc>
          <w:tcPr>
            <w:tcW w:w="2768" w:type="dxa"/>
            <w:shd w:val="clear" w:color="auto" w:fill="auto"/>
            <w:tcMar>
              <w:left w:w="28" w:type="dxa"/>
              <w:right w:w="28" w:type="dxa"/>
            </w:tcMar>
            <w:vAlign w:val="center"/>
          </w:tcPr>
          <w:p w14:paraId="6B6FD307">
            <w:pPr>
              <w:pStyle w:val="15"/>
              <w:bidi w:val="0"/>
              <w:jc w:val="left"/>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项目运行过程中产生的</w:t>
            </w:r>
            <w:r>
              <w:rPr>
                <w:rFonts w:hint="default" w:ascii="Times New Roman" w:hAnsi="Times New Roman" w:cs="Times New Roman"/>
                <w:color w:val="auto"/>
                <w:sz w:val="21"/>
                <w:szCs w:val="21"/>
                <w:lang w:eastAsia="zh-CN"/>
              </w:rPr>
              <w:t>栅渣、沉砂、</w:t>
            </w:r>
            <w:r>
              <w:rPr>
                <w:rFonts w:hint="default" w:ascii="Times New Roman" w:hAnsi="Times New Roman" w:cs="Times New Roman"/>
                <w:color w:val="auto"/>
                <w:sz w:val="21"/>
                <w:szCs w:val="21"/>
                <w:lang w:val="en-US" w:eastAsia="zh-CN"/>
              </w:rPr>
              <w:t>脱水污泥</w:t>
            </w:r>
            <w:r>
              <w:rPr>
                <w:rFonts w:hint="default" w:ascii="Times New Roman" w:hAnsi="Times New Roman" w:cs="Times New Roman"/>
                <w:color w:val="auto"/>
                <w:sz w:val="21"/>
                <w:szCs w:val="21"/>
                <w:lang w:eastAsia="zh-CN"/>
              </w:rPr>
              <w:t>集中收集</w:t>
            </w:r>
            <w:r>
              <w:rPr>
                <w:rFonts w:hint="default" w:ascii="Times New Roman" w:hAnsi="Times New Roman" w:cs="Times New Roman"/>
                <w:color w:val="auto"/>
                <w:sz w:val="21"/>
                <w:szCs w:val="21"/>
                <w:lang w:val="en-US" w:eastAsia="zh-CN"/>
              </w:rPr>
              <w:t>后</w:t>
            </w:r>
            <w:r>
              <w:rPr>
                <w:rFonts w:hint="default" w:ascii="Times New Roman" w:hAnsi="Times New Roman" w:cs="Times New Roman"/>
                <w:color w:val="auto"/>
                <w:sz w:val="21"/>
                <w:szCs w:val="21"/>
                <w:lang w:eastAsia="zh-CN"/>
              </w:rPr>
              <w:t>委托市政环卫部门送锡尼镇垃圾填埋场处理</w:t>
            </w:r>
            <w:r>
              <w:rPr>
                <w:rFonts w:hint="eastAsia" w:cs="Times New Roman"/>
                <w:color w:val="auto"/>
                <w:sz w:val="21"/>
                <w:szCs w:val="21"/>
                <w:lang w:eastAsia="zh-CN"/>
              </w:rPr>
              <w:t>。</w:t>
            </w:r>
          </w:p>
        </w:tc>
        <w:tc>
          <w:tcPr>
            <w:tcW w:w="3629" w:type="dxa"/>
            <w:tcMar>
              <w:left w:w="28" w:type="dxa"/>
              <w:right w:w="28" w:type="dxa"/>
            </w:tcMar>
            <w:vAlign w:val="center"/>
          </w:tcPr>
          <w:p w14:paraId="6627E64E">
            <w:pPr>
              <w:pStyle w:val="15"/>
              <w:bidi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处置方式一致</w:t>
            </w:r>
            <w:r>
              <w:rPr>
                <w:rFonts w:hint="eastAsia" w:cs="Times New Roman"/>
                <w:color w:val="auto"/>
                <w:sz w:val="21"/>
                <w:szCs w:val="21"/>
                <w:lang w:val="en-US" w:eastAsia="zh-CN"/>
              </w:rPr>
              <w:t>。</w:t>
            </w:r>
          </w:p>
        </w:tc>
        <w:tc>
          <w:tcPr>
            <w:tcW w:w="4810" w:type="dxa"/>
            <w:shd w:val="clear" w:color="auto" w:fill="auto"/>
            <w:vAlign w:val="center"/>
          </w:tcPr>
          <w:p w14:paraId="5A975D6A">
            <w:pPr>
              <w:pStyle w:val="15"/>
              <w:bidi w:val="0"/>
              <w:jc w:val="left"/>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项目运行过程中产生的</w:t>
            </w:r>
            <w:r>
              <w:rPr>
                <w:rFonts w:hint="default" w:ascii="Times New Roman" w:hAnsi="Times New Roman" w:cs="Times New Roman"/>
                <w:color w:val="auto"/>
                <w:sz w:val="21"/>
                <w:szCs w:val="21"/>
                <w:lang w:eastAsia="zh-CN"/>
              </w:rPr>
              <w:t>栅渣、沉砂、</w:t>
            </w:r>
            <w:r>
              <w:rPr>
                <w:rFonts w:hint="default" w:ascii="Times New Roman" w:hAnsi="Times New Roman" w:cs="Times New Roman"/>
                <w:color w:val="auto"/>
                <w:sz w:val="21"/>
                <w:szCs w:val="21"/>
                <w:lang w:val="en-US" w:eastAsia="zh-CN"/>
              </w:rPr>
              <w:t>脱水污泥</w:t>
            </w:r>
            <w:r>
              <w:rPr>
                <w:rFonts w:hint="default" w:ascii="Times New Roman" w:hAnsi="Times New Roman" w:cs="Times New Roman"/>
                <w:color w:val="auto"/>
                <w:sz w:val="21"/>
                <w:szCs w:val="21"/>
                <w:lang w:eastAsia="zh-CN"/>
              </w:rPr>
              <w:t>集中收集</w:t>
            </w:r>
            <w:r>
              <w:rPr>
                <w:rFonts w:hint="default" w:ascii="Times New Roman" w:hAnsi="Times New Roman" w:cs="Times New Roman"/>
                <w:color w:val="auto"/>
                <w:sz w:val="21"/>
                <w:szCs w:val="21"/>
                <w:lang w:val="en-US" w:eastAsia="zh-CN"/>
              </w:rPr>
              <w:t>后</w:t>
            </w:r>
            <w:r>
              <w:rPr>
                <w:rFonts w:hint="default" w:ascii="Times New Roman" w:hAnsi="Times New Roman" w:cs="Times New Roman"/>
                <w:color w:val="auto"/>
                <w:sz w:val="21"/>
                <w:szCs w:val="21"/>
                <w:lang w:eastAsia="zh-CN"/>
              </w:rPr>
              <w:t>委托市政环卫部门送</w:t>
            </w:r>
            <w:r>
              <w:rPr>
                <w:rFonts w:hint="eastAsia" w:cs="Times New Roman"/>
                <w:color w:val="auto"/>
                <w:sz w:val="21"/>
                <w:szCs w:val="21"/>
                <w:lang w:eastAsia="zh-CN"/>
              </w:rPr>
              <w:t>至</w:t>
            </w:r>
            <w:r>
              <w:rPr>
                <w:rFonts w:hint="default" w:ascii="Times New Roman" w:hAnsi="Times New Roman" w:cs="Times New Roman"/>
                <w:color w:val="auto"/>
                <w:sz w:val="21"/>
                <w:szCs w:val="21"/>
                <w:lang w:eastAsia="zh-CN"/>
              </w:rPr>
              <w:t>锡尼镇垃圾填埋场处理</w:t>
            </w:r>
            <w:r>
              <w:rPr>
                <w:rFonts w:hint="eastAsia" w:cs="Times New Roman"/>
                <w:color w:val="auto"/>
                <w:sz w:val="21"/>
                <w:szCs w:val="21"/>
                <w:lang w:eastAsia="zh-CN"/>
              </w:rPr>
              <w:t>。</w:t>
            </w:r>
          </w:p>
        </w:tc>
        <w:tc>
          <w:tcPr>
            <w:tcW w:w="1252" w:type="dxa"/>
            <w:vAlign w:val="center"/>
          </w:tcPr>
          <w:p w14:paraId="797A4B63">
            <w:pPr>
              <w:pStyle w:val="15"/>
              <w:bidi w:val="0"/>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w:t>
            </w:r>
          </w:p>
        </w:tc>
      </w:tr>
      <w:tr w14:paraId="5D390B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73" w:type="dxa"/>
            <w:vMerge w:val="continue"/>
            <w:tcMar>
              <w:left w:w="28" w:type="dxa"/>
              <w:right w:w="28" w:type="dxa"/>
            </w:tcMar>
            <w:vAlign w:val="center"/>
          </w:tcPr>
          <w:p w14:paraId="34700238">
            <w:pPr>
              <w:pStyle w:val="15"/>
              <w:bidi w:val="0"/>
              <w:rPr>
                <w:rFonts w:hint="default" w:ascii="Times New Roman" w:hAnsi="Times New Roman" w:cs="Times New Roman"/>
                <w:b/>
                <w:bCs/>
                <w:color w:val="auto"/>
                <w:sz w:val="21"/>
                <w:szCs w:val="21"/>
              </w:rPr>
            </w:pPr>
          </w:p>
        </w:tc>
        <w:tc>
          <w:tcPr>
            <w:tcW w:w="1222" w:type="dxa"/>
            <w:shd w:val="clear" w:color="auto" w:fill="auto"/>
            <w:tcMar>
              <w:left w:w="28" w:type="dxa"/>
              <w:right w:w="28" w:type="dxa"/>
            </w:tcMar>
            <w:vAlign w:val="center"/>
          </w:tcPr>
          <w:p w14:paraId="296DB1D9">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rPr>
              <w:t>噪声</w:t>
            </w:r>
          </w:p>
        </w:tc>
        <w:tc>
          <w:tcPr>
            <w:tcW w:w="2768" w:type="dxa"/>
            <w:shd w:val="clear" w:color="auto" w:fill="auto"/>
            <w:tcMar>
              <w:left w:w="28" w:type="dxa"/>
              <w:right w:w="28" w:type="dxa"/>
            </w:tcMar>
            <w:vAlign w:val="center"/>
          </w:tcPr>
          <w:p w14:paraId="43DB37BB">
            <w:pPr>
              <w:pStyle w:val="15"/>
              <w:bidi w:val="0"/>
              <w:jc w:val="left"/>
              <w:rPr>
                <w:rFonts w:hint="eastAsia"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选用低噪设备、基础减</w:t>
            </w:r>
            <w:r>
              <w:rPr>
                <w:rFonts w:hint="default" w:ascii="Times New Roman" w:hAnsi="Times New Roman" w:cs="Times New Roman"/>
                <w:color w:val="auto"/>
                <w:sz w:val="21"/>
                <w:szCs w:val="21"/>
                <w:lang w:val="en-US" w:eastAsia="zh-CN"/>
              </w:rPr>
              <w:t>振</w:t>
            </w:r>
            <w:r>
              <w:rPr>
                <w:rFonts w:hint="default" w:ascii="Times New Roman" w:hAnsi="Times New Roman" w:cs="Times New Roman"/>
                <w:color w:val="auto"/>
                <w:sz w:val="21"/>
                <w:szCs w:val="21"/>
              </w:rPr>
              <w:t>、封闭隔声等措施</w:t>
            </w:r>
            <w:r>
              <w:rPr>
                <w:rFonts w:hint="eastAsia" w:cs="Times New Roman"/>
                <w:color w:val="auto"/>
                <w:sz w:val="21"/>
                <w:szCs w:val="21"/>
                <w:lang w:eastAsia="zh-CN"/>
              </w:rPr>
              <w:t>。</w:t>
            </w:r>
          </w:p>
        </w:tc>
        <w:tc>
          <w:tcPr>
            <w:tcW w:w="3629" w:type="dxa"/>
            <w:shd w:val="clear" w:color="auto" w:fill="auto"/>
            <w:tcMar>
              <w:left w:w="28" w:type="dxa"/>
              <w:right w:w="28" w:type="dxa"/>
            </w:tcMar>
            <w:vAlign w:val="center"/>
          </w:tcPr>
          <w:p w14:paraId="7A793B58">
            <w:pPr>
              <w:pStyle w:val="15"/>
              <w:bidi w:val="0"/>
              <w:jc w:val="left"/>
              <w:rPr>
                <w:rFonts w:hint="eastAsia"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选用低噪设备、基础减</w:t>
            </w:r>
            <w:r>
              <w:rPr>
                <w:rFonts w:hint="default" w:ascii="Times New Roman" w:hAnsi="Times New Roman" w:cs="Times New Roman"/>
                <w:color w:val="auto"/>
                <w:sz w:val="21"/>
                <w:szCs w:val="21"/>
                <w:lang w:val="en-US" w:eastAsia="zh-CN"/>
              </w:rPr>
              <w:t>振</w:t>
            </w:r>
            <w:r>
              <w:rPr>
                <w:rFonts w:hint="default" w:ascii="Times New Roman" w:hAnsi="Times New Roman" w:cs="Times New Roman"/>
                <w:color w:val="auto"/>
                <w:sz w:val="21"/>
                <w:szCs w:val="21"/>
              </w:rPr>
              <w:t>、封闭隔声等措施</w:t>
            </w:r>
            <w:r>
              <w:rPr>
                <w:rFonts w:hint="eastAsia" w:cs="Times New Roman"/>
                <w:color w:val="auto"/>
                <w:sz w:val="21"/>
                <w:szCs w:val="21"/>
                <w:lang w:eastAsia="zh-CN"/>
              </w:rPr>
              <w:t>。</w:t>
            </w:r>
          </w:p>
        </w:tc>
        <w:tc>
          <w:tcPr>
            <w:tcW w:w="4810" w:type="dxa"/>
            <w:shd w:val="clear" w:color="auto" w:fill="auto"/>
            <w:vAlign w:val="center"/>
          </w:tcPr>
          <w:p w14:paraId="30D1E220">
            <w:pPr>
              <w:pStyle w:val="15"/>
              <w:bidi w:val="0"/>
              <w:jc w:val="left"/>
              <w:rPr>
                <w:rFonts w:hint="eastAsia"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rPr>
              <w:t>选用低噪设备、基础减</w:t>
            </w:r>
            <w:r>
              <w:rPr>
                <w:rFonts w:hint="default" w:ascii="Times New Roman" w:hAnsi="Times New Roman" w:cs="Times New Roman"/>
                <w:color w:val="auto"/>
                <w:sz w:val="21"/>
                <w:szCs w:val="21"/>
                <w:lang w:val="en-US" w:eastAsia="zh-CN"/>
              </w:rPr>
              <w:t>振</w:t>
            </w:r>
            <w:r>
              <w:rPr>
                <w:rFonts w:hint="default" w:ascii="Times New Roman" w:hAnsi="Times New Roman" w:cs="Times New Roman"/>
                <w:color w:val="auto"/>
                <w:sz w:val="21"/>
                <w:szCs w:val="21"/>
              </w:rPr>
              <w:t>、封闭隔声等措施</w:t>
            </w:r>
            <w:r>
              <w:rPr>
                <w:rFonts w:hint="eastAsia" w:cs="Times New Roman"/>
                <w:color w:val="auto"/>
                <w:sz w:val="21"/>
                <w:szCs w:val="21"/>
                <w:lang w:eastAsia="zh-CN"/>
              </w:rPr>
              <w:t>。</w:t>
            </w:r>
          </w:p>
        </w:tc>
        <w:tc>
          <w:tcPr>
            <w:tcW w:w="1252" w:type="dxa"/>
            <w:shd w:val="clear" w:color="auto" w:fill="auto"/>
            <w:vAlign w:val="center"/>
          </w:tcPr>
          <w:p w14:paraId="381B8E5C">
            <w:pPr>
              <w:pStyle w:val="15"/>
              <w:bidi w:val="0"/>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r>
    </w:tbl>
    <w:p w14:paraId="4D28390F">
      <w:pPr>
        <w:ind w:left="0" w:leftChars="0" w:firstLine="0" w:firstLineChars="0"/>
        <w:rPr>
          <w:rFonts w:hint="default" w:ascii="Times New Roman" w:hAnsi="Times New Roman" w:cs="Times New Roman"/>
          <w:color w:val="auto"/>
        </w:rPr>
      </w:pPr>
    </w:p>
    <w:p w14:paraId="12F368A9">
      <w:pPr>
        <w:rPr>
          <w:rFonts w:hint="default" w:ascii="Times New Roman" w:hAnsi="Times New Roman" w:cs="Times New Roman"/>
          <w:color w:val="auto"/>
        </w:rPr>
        <w:sectPr>
          <w:pgSz w:w="16838" w:h="11906" w:orient="landscape"/>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pPr>
    </w:p>
    <w:p w14:paraId="25D593AC">
      <w:pPr>
        <w:rPr>
          <w:rFonts w:hint="default" w:ascii="Times New Roman" w:hAnsi="Times New Roman" w:cs="Times New Roman"/>
          <w:color w:val="auto"/>
          <w:sz w:val="2"/>
          <w:szCs w:val="2"/>
        </w:rPr>
      </w:pPr>
    </w:p>
    <w:tbl>
      <w:tblPr>
        <w:tblStyle w:val="10"/>
        <w:tblW w:w="490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26"/>
        <w:gridCol w:w="8355"/>
      </w:tblGrid>
      <w:tr w14:paraId="6A568C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98" w:hRule="atLeast"/>
          <w:jc w:val="center"/>
        </w:trPr>
        <w:tc>
          <w:tcPr>
            <w:tcW w:w="296" w:type="pct"/>
            <w:vAlign w:val="center"/>
          </w:tcPr>
          <w:p w14:paraId="47FEA3C0">
            <w:pPr>
              <w:pStyle w:val="8"/>
              <w:adjustRightInd w:val="0"/>
              <w:snapToGrid w:val="0"/>
              <w:spacing w:before="0" w:beforeAutospacing="0" w:after="0" w:afterAutospacing="0"/>
              <w:jc w:val="center"/>
              <w:rPr>
                <w:rFonts w:hint="default" w:ascii="Times New Roman" w:hAnsi="Times New Roman" w:eastAsia="宋体" w:cs="Times New Roman"/>
                <w:b/>
                <w:bCs/>
                <w:color w:val="auto"/>
                <w:sz w:val="21"/>
                <w:szCs w:val="21"/>
                <w:highlight w:val="none"/>
              </w:rPr>
            </w:pPr>
          </w:p>
        </w:tc>
        <w:tc>
          <w:tcPr>
            <w:tcW w:w="4703" w:type="pct"/>
          </w:tcPr>
          <w:p w14:paraId="42D035CC">
            <w:pPr>
              <w:spacing w:before="240" w:line="360" w:lineRule="auto"/>
              <w:ind w:firstLine="482" w:firstLineChars="200"/>
              <w:jc w:val="lef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4</w:t>
            </w:r>
            <w:r>
              <w:rPr>
                <w:rFonts w:hint="default" w:ascii="Times New Roman" w:hAnsi="Times New Roman" w:eastAsia="宋体" w:cs="Times New Roman"/>
                <w:b/>
                <w:bCs/>
                <w:color w:val="auto"/>
                <w:sz w:val="24"/>
                <w:highlight w:val="none"/>
              </w:rPr>
              <w:t>.主要生产设备</w:t>
            </w:r>
          </w:p>
          <w:p w14:paraId="6AFC9A3E">
            <w:pPr>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本项目</w:t>
            </w:r>
            <w:r>
              <w:rPr>
                <w:rFonts w:hint="default" w:ascii="Times New Roman" w:hAnsi="Times New Roman" w:eastAsia="宋体" w:cs="Times New Roman"/>
                <w:bCs/>
                <w:color w:val="auto"/>
                <w:sz w:val="24"/>
                <w:highlight w:val="none"/>
                <w:lang w:val="en-US" w:eastAsia="zh-CN"/>
              </w:rPr>
              <w:t>对一期工程老旧设备进行更换，</w:t>
            </w:r>
            <w:r>
              <w:rPr>
                <w:rFonts w:hint="default" w:ascii="Times New Roman" w:hAnsi="Times New Roman" w:eastAsia="宋体" w:cs="Times New Roman"/>
                <w:bCs/>
                <w:color w:val="auto"/>
                <w:sz w:val="24"/>
                <w:highlight w:val="none"/>
              </w:rPr>
              <w:t>主要设备选择如下：</w:t>
            </w:r>
          </w:p>
          <w:p w14:paraId="43260850">
            <w:pPr>
              <w:pStyle w:val="16"/>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表2-</w:t>
            </w:r>
            <w:r>
              <w:rPr>
                <w:rFonts w:hint="default" w:ascii="Times New Roman" w:hAnsi="Times New Roman" w:eastAsia="宋体" w:cs="Times New Roman"/>
                <w:color w:val="auto"/>
                <w:highlight w:val="none"/>
                <w:lang w:val="en-US" w:eastAsia="zh-CN"/>
              </w:rPr>
              <w:t>2</w:t>
            </w:r>
            <w:r>
              <w:rPr>
                <w:rFonts w:hint="eastAsia" w:cs="Times New Roman"/>
                <w:color w:val="auto"/>
                <w:highlight w:val="none"/>
                <w:lang w:val="en-US" w:eastAsia="zh-CN"/>
              </w:rPr>
              <w:t>：</w:t>
            </w:r>
            <w:r>
              <w:rPr>
                <w:rFonts w:hint="default" w:ascii="Times New Roman" w:hAnsi="Times New Roman" w:eastAsia="宋体" w:cs="Times New Roman"/>
                <w:color w:val="auto"/>
                <w:highlight w:val="none"/>
                <w:lang w:val="en-US" w:eastAsia="zh-CN"/>
              </w:rPr>
              <w:t>一期工程老旧设备更换</w:t>
            </w:r>
            <w:r>
              <w:rPr>
                <w:rFonts w:hint="default" w:ascii="Times New Roman" w:hAnsi="Times New Roman" w:eastAsia="宋体" w:cs="Times New Roman"/>
                <w:color w:val="auto"/>
                <w:highlight w:val="none"/>
              </w:rPr>
              <w:t>一览表</w:t>
            </w:r>
          </w:p>
          <w:tbl>
            <w:tblPr>
              <w:tblStyle w:val="10"/>
              <w:tblW w:w="824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6"/>
              <w:gridCol w:w="1983"/>
              <w:gridCol w:w="3362"/>
              <w:gridCol w:w="615"/>
              <w:gridCol w:w="555"/>
              <w:gridCol w:w="1030"/>
            </w:tblGrid>
            <w:tr w14:paraId="2041CD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696" w:type="dxa"/>
                  <w:tcBorders>
                    <w:tl2br w:val="nil"/>
                    <w:tr2bl w:val="nil"/>
                  </w:tcBorders>
                  <w:shd w:val="clear" w:color="auto" w:fill="auto"/>
                  <w:vAlign w:val="center"/>
                </w:tcPr>
                <w:p w14:paraId="75918E85">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序号</w:t>
                  </w:r>
                </w:p>
              </w:tc>
              <w:tc>
                <w:tcPr>
                  <w:tcW w:w="1983" w:type="dxa"/>
                  <w:tcBorders>
                    <w:tl2br w:val="nil"/>
                    <w:tr2bl w:val="nil"/>
                  </w:tcBorders>
                  <w:shd w:val="clear" w:color="auto" w:fill="auto"/>
                  <w:vAlign w:val="center"/>
                </w:tcPr>
                <w:p w14:paraId="07DE81E6">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名称</w:t>
                  </w:r>
                </w:p>
              </w:tc>
              <w:tc>
                <w:tcPr>
                  <w:tcW w:w="3362" w:type="dxa"/>
                  <w:tcBorders>
                    <w:tl2br w:val="nil"/>
                    <w:tr2bl w:val="nil"/>
                  </w:tcBorders>
                  <w:shd w:val="clear" w:color="auto" w:fill="auto"/>
                  <w:vAlign w:val="center"/>
                </w:tcPr>
                <w:p w14:paraId="0ECA936C">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规格</w:t>
                  </w:r>
                </w:p>
              </w:tc>
              <w:tc>
                <w:tcPr>
                  <w:tcW w:w="615" w:type="dxa"/>
                  <w:tcBorders>
                    <w:tl2br w:val="nil"/>
                    <w:tr2bl w:val="nil"/>
                  </w:tcBorders>
                  <w:shd w:val="clear" w:color="auto" w:fill="auto"/>
                  <w:vAlign w:val="center"/>
                </w:tcPr>
                <w:p w14:paraId="6C5118F5">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数量</w:t>
                  </w:r>
                </w:p>
              </w:tc>
              <w:tc>
                <w:tcPr>
                  <w:tcW w:w="555" w:type="dxa"/>
                  <w:tcBorders>
                    <w:tl2br w:val="nil"/>
                    <w:tr2bl w:val="nil"/>
                  </w:tcBorders>
                  <w:shd w:val="clear" w:color="auto" w:fill="auto"/>
                  <w:vAlign w:val="center"/>
                </w:tcPr>
                <w:p w14:paraId="66EDDE7C">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单位</w:t>
                  </w:r>
                </w:p>
              </w:tc>
              <w:tc>
                <w:tcPr>
                  <w:tcW w:w="1030" w:type="dxa"/>
                  <w:tcBorders>
                    <w:tl2br w:val="nil"/>
                    <w:tr2bl w:val="nil"/>
                  </w:tcBorders>
                  <w:shd w:val="clear" w:color="auto" w:fill="auto"/>
                  <w:vAlign w:val="center"/>
                </w:tcPr>
                <w:p w14:paraId="092D88EF">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备注</w:t>
                  </w:r>
                </w:p>
              </w:tc>
            </w:tr>
            <w:tr w14:paraId="451C52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156843A5">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1</w:t>
                  </w:r>
                </w:p>
              </w:tc>
              <w:tc>
                <w:tcPr>
                  <w:tcW w:w="7545" w:type="dxa"/>
                  <w:gridSpan w:val="5"/>
                  <w:tcBorders>
                    <w:tl2br w:val="nil"/>
                    <w:tr2bl w:val="nil"/>
                  </w:tcBorders>
                  <w:shd w:val="clear" w:color="auto" w:fill="auto"/>
                  <w:vAlign w:val="center"/>
                </w:tcPr>
                <w:p w14:paraId="4B1B3490">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进水井</w:t>
                  </w:r>
                </w:p>
              </w:tc>
            </w:tr>
            <w:tr w14:paraId="3F4EC2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536FCCD8">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1.1</w:t>
                  </w:r>
                </w:p>
              </w:tc>
              <w:tc>
                <w:tcPr>
                  <w:tcW w:w="1983" w:type="dxa"/>
                  <w:tcBorders>
                    <w:tl2br w:val="nil"/>
                    <w:tr2bl w:val="nil"/>
                  </w:tcBorders>
                  <w:shd w:val="clear" w:color="auto" w:fill="auto"/>
                  <w:vAlign w:val="center"/>
                </w:tcPr>
                <w:p w14:paraId="6ED8366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闸门</w:t>
                  </w:r>
                </w:p>
              </w:tc>
              <w:tc>
                <w:tcPr>
                  <w:tcW w:w="3362" w:type="dxa"/>
                  <w:tcBorders>
                    <w:tl2br w:val="nil"/>
                    <w:tr2bl w:val="nil"/>
                  </w:tcBorders>
                  <w:shd w:val="clear" w:color="auto" w:fill="auto"/>
                  <w:vAlign w:val="center"/>
                </w:tcPr>
                <w:p w14:paraId="3F98A914">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DN600，PN1.0MPa</w:t>
                  </w:r>
                </w:p>
              </w:tc>
              <w:tc>
                <w:tcPr>
                  <w:tcW w:w="615" w:type="dxa"/>
                  <w:tcBorders>
                    <w:tl2br w:val="nil"/>
                    <w:tr2bl w:val="nil"/>
                  </w:tcBorders>
                  <w:shd w:val="clear" w:color="auto" w:fill="auto"/>
                  <w:vAlign w:val="center"/>
                </w:tcPr>
                <w:p w14:paraId="19F37813">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506DB6A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个</w:t>
                  </w:r>
                </w:p>
              </w:tc>
              <w:tc>
                <w:tcPr>
                  <w:tcW w:w="1030" w:type="dxa"/>
                  <w:tcBorders>
                    <w:tl2br w:val="nil"/>
                    <w:tr2bl w:val="nil"/>
                  </w:tcBorders>
                  <w:shd w:val="clear" w:color="auto" w:fill="auto"/>
                  <w:vAlign w:val="center"/>
                </w:tcPr>
                <w:p w14:paraId="29675CEF">
                  <w:pPr>
                    <w:pStyle w:val="15"/>
                    <w:bidi w:val="0"/>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7AA221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92CADA5">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2</w:t>
                  </w:r>
                </w:p>
              </w:tc>
              <w:tc>
                <w:tcPr>
                  <w:tcW w:w="7545" w:type="dxa"/>
                  <w:gridSpan w:val="5"/>
                  <w:tcBorders>
                    <w:tl2br w:val="nil"/>
                    <w:tr2bl w:val="nil"/>
                  </w:tcBorders>
                  <w:shd w:val="clear" w:color="auto" w:fill="auto"/>
                  <w:vAlign w:val="center"/>
                </w:tcPr>
                <w:p w14:paraId="64F19E83">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格栅间</w:t>
                  </w:r>
                </w:p>
              </w:tc>
            </w:tr>
            <w:tr w14:paraId="3AF091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6787CA17">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2.1</w:t>
                  </w:r>
                </w:p>
              </w:tc>
              <w:tc>
                <w:tcPr>
                  <w:tcW w:w="1983" w:type="dxa"/>
                  <w:tcBorders>
                    <w:tl2br w:val="nil"/>
                    <w:tr2bl w:val="nil"/>
                  </w:tcBorders>
                  <w:shd w:val="clear" w:color="auto" w:fill="auto"/>
                  <w:vAlign w:val="center"/>
                </w:tcPr>
                <w:p w14:paraId="4F208D6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固液分离机</w:t>
                  </w:r>
                </w:p>
              </w:tc>
              <w:tc>
                <w:tcPr>
                  <w:tcW w:w="3362" w:type="dxa"/>
                  <w:tcBorders>
                    <w:tl2br w:val="nil"/>
                    <w:tr2bl w:val="nil"/>
                  </w:tcBorders>
                  <w:shd w:val="clear" w:color="auto" w:fill="auto"/>
                  <w:vAlign w:val="center"/>
                </w:tcPr>
                <w:p w14:paraId="20E4933E">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B=800</w:t>
                  </w:r>
                  <w:r>
                    <w:rPr>
                      <w:rFonts w:hint="eastAsia" w:cs="Times New Roman"/>
                      <w:color w:val="auto"/>
                      <w:sz w:val="21"/>
                      <w:szCs w:val="21"/>
                      <w:lang w:val="en-US" w:eastAsia="zh-CN"/>
                    </w:rPr>
                    <w:t>mm</w:t>
                  </w:r>
                  <w:r>
                    <w:rPr>
                      <w:rFonts w:hint="default" w:ascii="Times New Roman" w:hAnsi="Times New Roman" w:cs="Times New Roman"/>
                      <w:color w:val="auto"/>
                      <w:sz w:val="21"/>
                      <w:szCs w:val="21"/>
                      <w:lang w:val="en-US" w:eastAsia="zh-CN"/>
                    </w:rPr>
                    <w:t>，b=20</w:t>
                  </w:r>
                  <w:r>
                    <w:rPr>
                      <w:rFonts w:hint="eastAsia" w:cs="Times New Roman"/>
                      <w:color w:val="auto"/>
                      <w:sz w:val="21"/>
                      <w:szCs w:val="21"/>
                      <w:lang w:val="en-US" w:eastAsia="zh-CN"/>
                    </w:rPr>
                    <w:t>mm</w:t>
                  </w:r>
                  <w:r>
                    <w:rPr>
                      <w:rFonts w:hint="default" w:ascii="Times New Roman" w:hAnsi="Times New Roman" w:cs="Times New Roman"/>
                      <w:color w:val="auto"/>
                      <w:sz w:val="21"/>
                      <w:szCs w:val="21"/>
                      <w:lang w:val="en-US" w:eastAsia="zh-CN"/>
                    </w:rPr>
                    <w:t>，a=75°，N=1.5kW</w:t>
                  </w:r>
                </w:p>
              </w:tc>
              <w:tc>
                <w:tcPr>
                  <w:tcW w:w="615" w:type="dxa"/>
                  <w:tcBorders>
                    <w:tl2br w:val="nil"/>
                    <w:tr2bl w:val="nil"/>
                  </w:tcBorders>
                  <w:shd w:val="clear" w:color="auto" w:fill="auto"/>
                  <w:vAlign w:val="center"/>
                </w:tcPr>
                <w:p w14:paraId="061F6BC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7D96659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7C4D294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64ECCB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31C8F8F1">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2.2</w:t>
                  </w:r>
                </w:p>
              </w:tc>
              <w:tc>
                <w:tcPr>
                  <w:tcW w:w="1983" w:type="dxa"/>
                  <w:tcBorders>
                    <w:tl2br w:val="nil"/>
                    <w:tr2bl w:val="nil"/>
                  </w:tcBorders>
                  <w:shd w:val="clear" w:color="auto" w:fill="auto"/>
                  <w:vAlign w:val="center"/>
                </w:tcPr>
                <w:p w14:paraId="4D5F6788">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铸铁方闸门（配套手动两用启闭机）</w:t>
                  </w:r>
                </w:p>
              </w:tc>
              <w:tc>
                <w:tcPr>
                  <w:tcW w:w="3362" w:type="dxa"/>
                  <w:tcBorders>
                    <w:tl2br w:val="nil"/>
                    <w:tr2bl w:val="nil"/>
                  </w:tcBorders>
                  <w:shd w:val="clear" w:color="auto" w:fill="auto"/>
                  <w:vAlign w:val="center"/>
                </w:tcPr>
                <w:p w14:paraId="7D9B8A7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500mm×500</w:t>
                  </w:r>
                  <w:r>
                    <w:rPr>
                      <w:rFonts w:hint="eastAsia" w:cs="Times New Roman"/>
                      <w:color w:val="auto"/>
                      <w:sz w:val="21"/>
                      <w:szCs w:val="21"/>
                      <w:lang w:val="en-US" w:eastAsia="zh-CN"/>
                    </w:rPr>
                    <w:t>mm</w:t>
                  </w:r>
                  <w:r>
                    <w:rPr>
                      <w:rFonts w:hint="default" w:ascii="Times New Roman" w:hAnsi="Times New Roman" w:cs="Times New Roman"/>
                      <w:color w:val="auto"/>
                      <w:sz w:val="21"/>
                      <w:szCs w:val="21"/>
                      <w:lang w:val="en-US" w:eastAsia="zh-CN"/>
                    </w:rPr>
                    <w:t>，N=1.0kW</w:t>
                  </w:r>
                </w:p>
              </w:tc>
              <w:tc>
                <w:tcPr>
                  <w:tcW w:w="615" w:type="dxa"/>
                  <w:tcBorders>
                    <w:tl2br w:val="nil"/>
                    <w:tr2bl w:val="nil"/>
                  </w:tcBorders>
                  <w:shd w:val="clear" w:color="auto" w:fill="auto"/>
                  <w:vAlign w:val="center"/>
                </w:tcPr>
                <w:p w14:paraId="6B775D0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22CC7AC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7E976A4C">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7D7377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629924FE">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2.3</w:t>
                  </w:r>
                </w:p>
              </w:tc>
              <w:tc>
                <w:tcPr>
                  <w:tcW w:w="1983" w:type="dxa"/>
                  <w:tcBorders>
                    <w:tl2br w:val="nil"/>
                    <w:tr2bl w:val="nil"/>
                  </w:tcBorders>
                  <w:shd w:val="clear" w:color="auto" w:fill="auto"/>
                  <w:vAlign w:val="center"/>
                </w:tcPr>
                <w:p w14:paraId="5752777C">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铸铁方闸门（配套手动两用启闭机）</w:t>
                  </w:r>
                </w:p>
              </w:tc>
              <w:tc>
                <w:tcPr>
                  <w:tcW w:w="3362" w:type="dxa"/>
                  <w:tcBorders>
                    <w:tl2br w:val="nil"/>
                    <w:tr2bl w:val="nil"/>
                  </w:tcBorders>
                  <w:shd w:val="clear" w:color="auto" w:fill="auto"/>
                  <w:vAlign w:val="center"/>
                </w:tcPr>
                <w:p w14:paraId="2267D16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800mm×800</w:t>
                  </w:r>
                  <w:r>
                    <w:rPr>
                      <w:rFonts w:hint="eastAsia" w:cs="Times New Roman"/>
                      <w:color w:val="auto"/>
                      <w:sz w:val="21"/>
                      <w:szCs w:val="21"/>
                      <w:lang w:val="en-US" w:eastAsia="zh-CN"/>
                    </w:rPr>
                    <w:t>mm</w:t>
                  </w:r>
                  <w:r>
                    <w:rPr>
                      <w:rFonts w:hint="default" w:ascii="Times New Roman" w:hAnsi="Times New Roman" w:cs="Times New Roman"/>
                      <w:color w:val="auto"/>
                      <w:sz w:val="21"/>
                      <w:szCs w:val="21"/>
                      <w:lang w:val="en-US" w:eastAsia="zh-CN"/>
                    </w:rPr>
                    <w:t>，N=1.0kW</w:t>
                  </w:r>
                </w:p>
              </w:tc>
              <w:tc>
                <w:tcPr>
                  <w:tcW w:w="615" w:type="dxa"/>
                  <w:tcBorders>
                    <w:tl2br w:val="nil"/>
                    <w:tr2bl w:val="nil"/>
                  </w:tcBorders>
                  <w:shd w:val="clear" w:color="auto" w:fill="auto"/>
                  <w:vAlign w:val="center"/>
                </w:tcPr>
                <w:p w14:paraId="56CAA46E">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4448967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029DC9F0">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6D1DEB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2AB57912">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2.4</w:t>
                  </w:r>
                </w:p>
              </w:tc>
              <w:tc>
                <w:tcPr>
                  <w:tcW w:w="1983" w:type="dxa"/>
                  <w:tcBorders>
                    <w:tl2br w:val="nil"/>
                    <w:tr2bl w:val="nil"/>
                  </w:tcBorders>
                  <w:shd w:val="clear" w:color="auto" w:fill="auto"/>
                  <w:vAlign w:val="center"/>
                </w:tcPr>
                <w:p w14:paraId="22AB8F13">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栅渣小车</w:t>
                  </w:r>
                </w:p>
              </w:tc>
              <w:tc>
                <w:tcPr>
                  <w:tcW w:w="3362" w:type="dxa"/>
                  <w:tcBorders>
                    <w:tl2br w:val="nil"/>
                    <w:tr2bl w:val="nil"/>
                  </w:tcBorders>
                  <w:shd w:val="clear" w:color="auto" w:fill="auto"/>
                  <w:vAlign w:val="center"/>
                </w:tcPr>
                <w:p w14:paraId="65842942">
                  <w:pPr>
                    <w:pStyle w:val="15"/>
                    <w:bidi w:val="0"/>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615" w:type="dxa"/>
                  <w:tcBorders>
                    <w:tl2br w:val="nil"/>
                    <w:tr2bl w:val="nil"/>
                  </w:tcBorders>
                  <w:shd w:val="clear" w:color="auto" w:fill="auto"/>
                  <w:vAlign w:val="center"/>
                </w:tcPr>
                <w:p w14:paraId="5BBD2E30">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30936CDE">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7BBC5EB2">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6F85FF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24A1E221">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2.5</w:t>
                  </w:r>
                </w:p>
              </w:tc>
              <w:tc>
                <w:tcPr>
                  <w:tcW w:w="1983" w:type="dxa"/>
                  <w:tcBorders>
                    <w:tl2br w:val="nil"/>
                    <w:tr2bl w:val="nil"/>
                  </w:tcBorders>
                  <w:shd w:val="clear" w:color="auto" w:fill="auto"/>
                  <w:vAlign w:val="center"/>
                </w:tcPr>
                <w:p w14:paraId="59A12E3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潜污泵</w:t>
                  </w:r>
                </w:p>
              </w:tc>
              <w:tc>
                <w:tcPr>
                  <w:tcW w:w="3362" w:type="dxa"/>
                  <w:tcBorders>
                    <w:tl2br w:val="nil"/>
                    <w:tr2bl w:val="nil"/>
                  </w:tcBorders>
                  <w:shd w:val="clear" w:color="auto" w:fill="auto"/>
                  <w:vAlign w:val="center"/>
                </w:tcPr>
                <w:p w14:paraId="1B462067">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Q=250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/h，H=11</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，N=15kW</w:t>
                  </w:r>
                </w:p>
              </w:tc>
              <w:tc>
                <w:tcPr>
                  <w:tcW w:w="615" w:type="dxa"/>
                  <w:tcBorders>
                    <w:tl2br w:val="nil"/>
                    <w:tr2bl w:val="nil"/>
                  </w:tcBorders>
                  <w:shd w:val="clear" w:color="auto" w:fill="auto"/>
                  <w:vAlign w:val="center"/>
                </w:tcPr>
                <w:p w14:paraId="740BB3A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555" w:type="dxa"/>
                  <w:tcBorders>
                    <w:tl2br w:val="nil"/>
                    <w:tr2bl w:val="nil"/>
                  </w:tcBorders>
                  <w:shd w:val="clear" w:color="auto" w:fill="auto"/>
                  <w:vAlign w:val="center"/>
                </w:tcPr>
                <w:p w14:paraId="0316C297">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7547716A">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4D5B35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0DD24017">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2.6</w:t>
                  </w:r>
                </w:p>
              </w:tc>
              <w:tc>
                <w:tcPr>
                  <w:tcW w:w="1983" w:type="dxa"/>
                  <w:tcBorders>
                    <w:tl2br w:val="nil"/>
                    <w:tr2bl w:val="nil"/>
                  </w:tcBorders>
                  <w:shd w:val="clear" w:color="auto" w:fill="auto"/>
                  <w:vAlign w:val="center"/>
                </w:tcPr>
                <w:p w14:paraId="5FF87C46">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手动单轨吊车</w:t>
                  </w:r>
                </w:p>
              </w:tc>
              <w:tc>
                <w:tcPr>
                  <w:tcW w:w="3362" w:type="dxa"/>
                  <w:tcBorders>
                    <w:tl2br w:val="nil"/>
                    <w:tr2bl w:val="nil"/>
                  </w:tcBorders>
                  <w:shd w:val="clear" w:color="auto" w:fill="auto"/>
                  <w:vAlign w:val="center"/>
                </w:tcPr>
                <w:p w14:paraId="5592626A">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1t</w:t>
                  </w:r>
                </w:p>
              </w:tc>
              <w:tc>
                <w:tcPr>
                  <w:tcW w:w="615" w:type="dxa"/>
                  <w:tcBorders>
                    <w:tl2br w:val="nil"/>
                    <w:tr2bl w:val="nil"/>
                  </w:tcBorders>
                  <w:shd w:val="clear" w:color="auto" w:fill="auto"/>
                  <w:vAlign w:val="center"/>
                </w:tcPr>
                <w:p w14:paraId="18D20C86">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47C40A40">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5C7901FF">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06912B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182B982C">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3</w:t>
                  </w:r>
                </w:p>
              </w:tc>
              <w:tc>
                <w:tcPr>
                  <w:tcW w:w="7545" w:type="dxa"/>
                  <w:gridSpan w:val="5"/>
                  <w:tcBorders>
                    <w:tl2br w:val="nil"/>
                    <w:tr2bl w:val="nil"/>
                  </w:tcBorders>
                  <w:shd w:val="clear" w:color="auto" w:fill="auto"/>
                  <w:vAlign w:val="center"/>
                </w:tcPr>
                <w:p w14:paraId="2858A279">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细格栅间</w:t>
                  </w:r>
                </w:p>
              </w:tc>
            </w:tr>
            <w:tr w14:paraId="33D9B7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6802812A">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3.1</w:t>
                  </w:r>
                </w:p>
              </w:tc>
              <w:tc>
                <w:tcPr>
                  <w:tcW w:w="1983" w:type="dxa"/>
                  <w:tcBorders>
                    <w:tl2br w:val="nil"/>
                    <w:tr2bl w:val="nil"/>
                  </w:tcBorders>
                  <w:shd w:val="clear" w:color="auto" w:fill="auto"/>
                  <w:vAlign w:val="center"/>
                </w:tcPr>
                <w:p w14:paraId="54227C43">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保温罩</w:t>
                  </w:r>
                </w:p>
              </w:tc>
              <w:tc>
                <w:tcPr>
                  <w:tcW w:w="3362" w:type="dxa"/>
                  <w:tcBorders>
                    <w:tl2br w:val="nil"/>
                    <w:tr2bl w:val="nil"/>
                  </w:tcBorders>
                  <w:shd w:val="clear" w:color="auto" w:fill="auto"/>
                  <w:vAlign w:val="center"/>
                </w:tcPr>
                <w:p w14:paraId="4FCE6EA8">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19.7m×18.9m×4.5</w:t>
                  </w:r>
                  <w:r>
                    <w:rPr>
                      <w:rFonts w:hint="eastAsia" w:cs="Times New Roman"/>
                      <w:color w:val="auto"/>
                      <w:sz w:val="21"/>
                      <w:szCs w:val="21"/>
                      <w:lang w:val="en-US" w:eastAsia="zh-CN"/>
                    </w:rPr>
                    <w:t>m</w:t>
                  </w:r>
                </w:p>
              </w:tc>
              <w:tc>
                <w:tcPr>
                  <w:tcW w:w="615" w:type="dxa"/>
                  <w:tcBorders>
                    <w:tl2br w:val="nil"/>
                    <w:tr2bl w:val="nil"/>
                  </w:tcBorders>
                  <w:shd w:val="clear" w:color="auto" w:fill="auto"/>
                  <w:vAlign w:val="center"/>
                </w:tcPr>
                <w:p w14:paraId="1080296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00A0E704">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5CADE56C">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4D3F61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5F795583">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3.2</w:t>
                  </w:r>
                </w:p>
              </w:tc>
              <w:tc>
                <w:tcPr>
                  <w:tcW w:w="1983" w:type="dxa"/>
                  <w:tcBorders>
                    <w:tl2br w:val="nil"/>
                    <w:tr2bl w:val="nil"/>
                  </w:tcBorders>
                  <w:shd w:val="clear" w:color="auto" w:fill="auto"/>
                  <w:vAlign w:val="center"/>
                </w:tcPr>
                <w:p w14:paraId="7DD093D6">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转鼓式细格栅</w:t>
                  </w:r>
                </w:p>
              </w:tc>
              <w:tc>
                <w:tcPr>
                  <w:tcW w:w="3362" w:type="dxa"/>
                  <w:tcBorders>
                    <w:tl2br w:val="nil"/>
                    <w:tr2bl w:val="nil"/>
                  </w:tcBorders>
                  <w:shd w:val="clear" w:color="auto" w:fill="auto"/>
                  <w:vAlign w:val="center"/>
                </w:tcPr>
                <w:p w14:paraId="4CD5F9E8">
                  <w:pPr>
                    <w:pStyle w:val="15"/>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B=1100</w:t>
                  </w:r>
                  <w:r>
                    <w:rPr>
                      <w:rFonts w:hint="eastAsia" w:cs="Times New Roman"/>
                      <w:color w:val="auto"/>
                      <w:sz w:val="21"/>
                      <w:szCs w:val="21"/>
                      <w:lang w:val="en-US" w:eastAsia="zh-CN"/>
                    </w:rPr>
                    <w:t>mm</w:t>
                  </w:r>
                  <w:r>
                    <w:rPr>
                      <w:rFonts w:hint="default" w:ascii="Times New Roman" w:hAnsi="Times New Roman" w:cs="Times New Roman"/>
                      <w:color w:val="auto"/>
                      <w:sz w:val="21"/>
                      <w:szCs w:val="21"/>
                      <w:lang w:val="en-US" w:eastAsia="zh-CN"/>
                    </w:rPr>
                    <w:t>，e=3</w:t>
                  </w:r>
                  <w:r>
                    <w:rPr>
                      <w:rFonts w:hint="eastAsia" w:cs="Times New Roman"/>
                      <w:color w:val="auto"/>
                      <w:sz w:val="21"/>
                      <w:szCs w:val="21"/>
                      <w:lang w:val="en-US" w:eastAsia="zh-CN"/>
                    </w:rPr>
                    <w:t>mm，</w:t>
                  </w:r>
                  <w:r>
                    <w:rPr>
                      <w:rFonts w:hint="default" w:ascii="Times New Roman" w:hAnsi="Times New Roman" w:cs="Times New Roman"/>
                      <w:color w:val="auto"/>
                      <w:sz w:val="21"/>
                      <w:szCs w:val="21"/>
                      <w:lang w:val="en-US" w:eastAsia="zh-CN"/>
                    </w:rPr>
                    <w:t>α=35</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°N=1.1KW，过流量﹥400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w:t>
                  </w:r>
                </w:p>
              </w:tc>
              <w:tc>
                <w:tcPr>
                  <w:tcW w:w="615" w:type="dxa"/>
                  <w:tcBorders>
                    <w:tl2br w:val="nil"/>
                    <w:tr2bl w:val="nil"/>
                  </w:tcBorders>
                  <w:shd w:val="clear" w:color="auto" w:fill="auto"/>
                  <w:vAlign w:val="center"/>
                </w:tcPr>
                <w:p w14:paraId="0C28A280">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7C0BE60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3BF24F89">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62C865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756831B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3.3</w:t>
                  </w:r>
                </w:p>
              </w:tc>
              <w:tc>
                <w:tcPr>
                  <w:tcW w:w="1983" w:type="dxa"/>
                  <w:tcBorders>
                    <w:tl2br w:val="nil"/>
                    <w:tr2bl w:val="nil"/>
                  </w:tcBorders>
                  <w:shd w:val="clear" w:color="auto" w:fill="auto"/>
                  <w:vAlign w:val="center"/>
                </w:tcPr>
                <w:p w14:paraId="5053B954">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无轴螺旋输送机</w:t>
                  </w:r>
                </w:p>
              </w:tc>
              <w:tc>
                <w:tcPr>
                  <w:tcW w:w="3362" w:type="dxa"/>
                  <w:tcBorders>
                    <w:tl2br w:val="nil"/>
                    <w:tr2bl w:val="nil"/>
                  </w:tcBorders>
                  <w:shd w:val="clear" w:color="auto" w:fill="auto"/>
                  <w:vAlign w:val="center"/>
                </w:tcPr>
                <w:p w14:paraId="257370E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φ260，L=2.0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，N=1.1kW</w:t>
                  </w:r>
                </w:p>
              </w:tc>
              <w:tc>
                <w:tcPr>
                  <w:tcW w:w="615" w:type="dxa"/>
                  <w:tcBorders>
                    <w:tl2br w:val="nil"/>
                    <w:tr2bl w:val="nil"/>
                  </w:tcBorders>
                  <w:shd w:val="clear" w:color="auto" w:fill="auto"/>
                  <w:vAlign w:val="center"/>
                </w:tcPr>
                <w:p w14:paraId="72D6424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6FB37CB7">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1A493185">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7111FA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566C850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3.4</w:t>
                  </w:r>
                </w:p>
              </w:tc>
              <w:tc>
                <w:tcPr>
                  <w:tcW w:w="1983" w:type="dxa"/>
                  <w:tcBorders>
                    <w:tl2br w:val="nil"/>
                    <w:tr2bl w:val="nil"/>
                  </w:tcBorders>
                  <w:shd w:val="clear" w:color="auto" w:fill="auto"/>
                  <w:vAlign w:val="center"/>
                </w:tcPr>
                <w:p w14:paraId="22B1800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旋流沉砂器</w:t>
                  </w:r>
                </w:p>
              </w:tc>
              <w:tc>
                <w:tcPr>
                  <w:tcW w:w="3362" w:type="dxa"/>
                  <w:tcBorders>
                    <w:tl2br w:val="nil"/>
                    <w:tr2bl w:val="nil"/>
                  </w:tcBorders>
                  <w:shd w:val="clear" w:color="auto" w:fill="auto"/>
                  <w:vAlign w:val="center"/>
                </w:tcPr>
                <w:p w14:paraId="6E4649D0">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处理量=210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/h，N=1.1kW</w:t>
                  </w:r>
                </w:p>
              </w:tc>
              <w:tc>
                <w:tcPr>
                  <w:tcW w:w="615" w:type="dxa"/>
                  <w:tcBorders>
                    <w:tl2br w:val="nil"/>
                    <w:tr2bl w:val="nil"/>
                  </w:tcBorders>
                  <w:shd w:val="clear" w:color="auto" w:fill="auto"/>
                  <w:vAlign w:val="center"/>
                </w:tcPr>
                <w:p w14:paraId="6B792FC6">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7DACCDF3">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64309228">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5C39C9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5C3B550E">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3.5</w:t>
                  </w:r>
                </w:p>
              </w:tc>
              <w:tc>
                <w:tcPr>
                  <w:tcW w:w="1983" w:type="dxa"/>
                  <w:tcBorders>
                    <w:tl2br w:val="nil"/>
                    <w:tr2bl w:val="nil"/>
                  </w:tcBorders>
                  <w:shd w:val="clear" w:color="auto" w:fill="auto"/>
                  <w:vAlign w:val="center"/>
                </w:tcPr>
                <w:p w14:paraId="23FD41DE">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砂泵</w:t>
                  </w:r>
                </w:p>
              </w:tc>
              <w:tc>
                <w:tcPr>
                  <w:tcW w:w="3362" w:type="dxa"/>
                  <w:tcBorders>
                    <w:tl2br w:val="nil"/>
                    <w:tr2bl w:val="nil"/>
                  </w:tcBorders>
                  <w:shd w:val="clear" w:color="auto" w:fill="auto"/>
                  <w:vAlign w:val="center"/>
                </w:tcPr>
                <w:p w14:paraId="295DAC3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Q=34</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/h，H=10</w:t>
                  </w:r>
                  <w:r>
                    <w:rPr>
                      <w:rFonts w:hint="eastAsia" w:cs="Times New Roman"/>
                      <w:color w:val="auto"/>
                      <w:sz w:val="21"/>
                      <w:szCs w:val="21"/>
                      <w:lang w:val="en-US" w:eastAsia="zh-CN"/>
                    </w:rPr>
                    <w:t>m</w:t>
                  </w:r>
                </w:p>
              </w:tc>
              <w:tc>
                <w:tcPr>
                  <w:tcW w:w="615" w:type="dxa"/>
                  <w:tcBorders>
                    <w:tl2br w:val="nil"/>
                    <w:tr2bl w:val="nil"/>
                  </w:tcBorders>
                  <w:shd w:val="clear" w:color="auto" w:fill="auto"/>
                  <w:vAlign w:val="center"/>
                </w:tcPr>
                <w:p w14:paraId="3B5E55BC">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0B8E7EE6">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411BFEEF">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042E50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791CF7C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3.6</w:t>
                  </w:r>
                </w:p>
              </w:tc>
              <w:tc>
                <w:tcPr>
                  <w:tcW w:w="1983" w:type="dxa"/>
                  <w:tcBorders>
                    <w:tl2br w:val="nil"/>
                    <w:tr2bl w:val="nil"/>
                  </w:tcBorders>
                  <w:shd w:val="clear" w:color="auto" w:fill="auto"/>
                  <w:vAlign w:val="center"/>
                </w:tcPr>
                <w:p w14:paraId="44409CD7">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箱体</w:t>
                  </w:r>
                </w:p>
              </w:tc>
              <w:tc>
                <w:tcPr>
                  <w:tcW w:w="3362" w:type="dxa"/>
                  <w:tcBorders>
                    <w:tl2br w:val="nil"/>
                    <w:tr2bl w:val="nil"/>
                  </w:tcBorders>
                  <w:shd w:val="clear" w:color="auto" w:fill="auto"/>
                  <w:vAlign w:val="center"/>
                </w:tcPr>
                <w:p w14:paraId="00A66D4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2960×1720×1800×8</w:t>
                  </w:r>
                </w:p>
              </w:tc>
              <w:tc>
                <w:tcPr>
                  <w:tcW w:w="615" w:type="dxa"/>
                  <w:tcBorders>
                    <w:tl2br w:val="nil"/>
                    <w:tr2bl w:val="nil"/>
                  </w:tcBorders>
                  <w:shd w:val="clear" w:color="auto" w:fill="auto"/>
                  <w:vAlign w:val="center"/>
                </w:tcPr>
                <w:p w14:paraId="1C119588">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1EECCAD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300A8AEA">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22C0B1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2D21B540">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3.7</w:t>
                  </w:r>
                </w:p>
              </w:tc>
              <w:tc>
                <w:tcPr>
                  <w:tcW w:w="1983" w:type="dxa"/>
                  <w:tcBorders>
                    <w:tl2br w:val="nil"/>
                    <w:tr2bl w:val="nil"/>
                  </w:tcBorders>
                  <w:shd w:val="clear" w:color="auto" w:fill="auto"/>
                  <w:vAlign w:val="center"/>
                </w:tcPr>
                <w:p w14:paraId="472E004A">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螺旋壳体</w:t>
                  </w:r>
                </w:p>
              </w:tc>
              <w:tc>
                <w:tcPr>
                  <w:tcW w:w="3362" w:type="dxa"/>
                  <w:tcBorders>
                    <w:tl2br w:val="nil"/>
                    <w:tr2bl w:val="nil"/>
                  </w:tcBorders>
                  <w:shd w:val="clear" w:color="auto" w:fill="auto"/>
                  <w:vAlign w:val="center"/>
                </w:tcPr>
                <w:p w14:paraId="6F647A86">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UΦ400×400×Φ385×δ8</w:t>
                  </w:r>
                </w:p>
              </w:tc>
              <w:tc>
                <w:tcPr>
                  <w:tcW w:w="615" w:type="dxa"/>
                  <w:tcBorders>
                    <w:tl2br w:val="nil"/>
                    <w:tr2bl w:val="nil"/>
                  </w:tcBorders>
                  <w:shd w:val="clear" w:color="auto" w:fill="auto"/>
                  <w:vAlign w:val="center"/>
                </w:tcPr>
                <w:p w14:paraId="50DD1C4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6DA38CD0">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44698714">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68AE88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028E0571">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3.8</w:t>
                  </w:r>
                </w:p>
              </w:tc>
              <w:tc>
                <w:tcPr>
                  <w:tcW w:w="1983" w:type="dxa"/>
                  <w:tcBorders>
                    <w:tl2br w:val="nil"/>
                    <w:tr2bl w:val="nil"/>
                  </w:tcBorders>
                  <w:shd w:val="clear" w:color="auto" w:fill="auto"/>
                  <w:vAlign w:val="center"/>
                </w:tcPr>
                <w:p w14:paraId="2CA0AEB7">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螺旋轴、叶</w:t>
                  </w:r>
                </w:p>
              </w:tc>
              <w:tc>
                <w:tcPr>
                  <w:tcW w:w="3362" w:type="dxa"/>
                  <w:tcBorders>
                    <w:tl2br w:val="nil"/>
                    <w:tr2bl w:val="nil"/>
                  </w:tcBorders>
                  <w:shd w:val="clear" w:color="auto" w:fill="auto"/>
                  <w:vAlign w:val="center"/>
                </w:tcPr>
                <w:p w14:paraId="1F09AD56">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Φ385×4700×120螺距</w:t>
                  </w:r>
                </w:p>
              </w:tc>
              <w:tc>
                <w:tcPr>
                  <w:tcW w:w="615" w:type="dxa"/>
                  <w:tcBorders>
                    <w:tl2br w:val="nil"/>
                    <w:tr2bl w:val="nil"/>
                  </w:tcBorders>
                  <w:shd w:val="clear" w:color="auto" w:fill="auto"/>
                  <w:vAlign w:val="center"/>
                </w:tcPr>
                <w:p w14:paraId="5A75FE52">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587BF52C">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07EC9A3E">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7EADE1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68261B8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3.9</w:t>
                  </w:r>
                </w:p>
              </w:tc>
              <w:tc>
                <w:tcPr>
                  <w:tcW w:w="1983" w:type="dxa"/>
                  <w:tcBorders>
                    <w:tl2br w:val="nil"/>
                    <w:tr2bl w:val="nil"/>
                  </w:tcBorders>
                  <w:shd w:val="clear" w:color="auto" w:fill="auto"/>
                  <w:vAlign w:val="center"/>
                </w:tcPr>
                <w:p w14:paraId="2919156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连接座</w:t>
                  </w:r>
                </w:p>
              </w:tc>
              <w:tc>
                <w:tcPr>
                  <w:tcW w:w="3362" w:type="dxa"/>
                  <w:tcBorders>
                    <w:tl2br w:val="nil"/>
                    <w:tr2bl w:val="nil"/>
                  </w:tcBorders>
                  <w:shd w:val="clear" w:color="auto" w:fill="auto"/>
                  <w:vAlign w:val="center"/>
                </w:tcPr>
                <w:p w14:paraId="5202E71A">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Φ520/Φ4200×200</w:t>
                  </w:r>
                </w:p>
              </w:tc>
              <w:tc>
                <w:tcPr>
                  <w:tcW w:w="615" w:type="dxa"/>
                  <w:tcBorders>
                    <w:tl2br w:val="nil"/>
                    <w:tr2bl w:val="nil"/>
                  </w:tcBorders>
                  <w:shd w:val="clear" w:color="auto" w:fill="auto"/>
                  <w:vAlign w:val="center"/>
                </w:tcPr>
                <w:p w14:paraId="59F9158A">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6AE9A52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23494153">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56DF5B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6B9792A">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3.10</w:t>
                  </w:r>
                </w:p>
              </w:tc>
              <w:tc>
                <w:tcPr>
                  <w:tcW w:w="1983" w:type="dxa"/>
                  <w:tcBorders>
                    <w:tl2br w:val="nil"/>
                    <w:tr2bl w:val="nil"/>
                  </w:tcBorders>
                  <w:shd w:val="clear" w:color="auto" w:fill="auto"/>
                  <w:vAlign w:val="center"/>
                </w:tcPr>
                <w:p w14:paraId="3215F0FF">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弹性联轴器</w:t>
                  </w:r>
                </w:p>
              </w:tc>
              <w:tc>
                <w:tcPr>
                  <w:tcW w:w="3362" w:type="dxa"/>
                  <w:tcBorders>
                    <w:tl2br w:val="nil"/>
                    <w:tr2bl w:val="nil"/>
                  </w:tcBorders>
                  <w:shd w:val="clear" w:color="auto" w:fill="auto"/>
                  <w:vAlign w:val="center"/>
                </w:tcPr>
                <w:p w14:paraId="6A00C9C4">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Φ5K6.ΦHT200</w:t>
                  </w:r>
                </w:p>
              </w:tc>
              <w:tc>
                <w:tcPr>
                  <w:tcW w:w="615" w:type="dxa"/>
                  <w:tcBorders>
                    <w:tl2br w:val="nil"/>
                    <w:tr2bl w:val="nil"/>
                  </w:tcBorders>
                  <w:shd w:val="clear" w:color="auto" w:fill="auto"/>
                  <w:vAlign w:val="center"/>
                </w:tcPr>
                <w:p w14:paraId="5B444A4E">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45EEDCF2">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5FC102EB">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1BA34A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289C17A">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3.11</w:t>
                  </w:r>
                </w:p>
              </w:tc>
              <w:tc>
                <w:tcPr>
                  <w:tcW w:w="1983" w:type="dxa"/>
                  <w:tcBorders>
                    <w:tl2br w:val="nil"/>
                    <w:tr2bl w:val="nil"/>
                  </w:tcBorders>
                  <w:shd w:val="clear" w:color="auto" w:fill="auto"/>
                  <w:vAlign w:val="center"/>
                </w:tcPr>
                <w:p w14:paraId="34BBED10">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双摆线减速机</w:t>
                  </w:r>
                </w:p>
              </w:tc>
              <w:tc>
                <w:tcPr>
                  <w:tcW w:w="3362" w:type="dxa"/>
                  <w:tcBorders>
                    <w:tl2br w:val="nil"/>
                    <w:tr2bl w:val="nil"/>
                  </w:tcBorders>
                  <w:shd w:val="clear" w:color="auto" w:fill="auto"/>
                  <w:vAlign w:val="center"/>
                </w:tcPr>
                <w:p w14:paraId="31AF8FA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BLE-1512-11×11-3</w:t>
                  </w:r>
                </w:p>
              </w:tc>
              <w:tc>
                <w:tcPr>
                  <w:tcW w:w="615" w:type="dxa"/>
                  <w:tcBorders>
                    <w:tl2br w:val="nil"/>
                    <w:tr2bl w:val="nil"/>
                  </w:tcBorders>
                  <w:shd w:val="clear" w:color="auto" w:fill="auto"/>
                  <w:vAlign w:val="center"/>
                </w:tcPr>
                <w:p w14:paraId="64BAD77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2405C861">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45B717CA">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7E273E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3FB92897">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3.12</w:t>
                  </w:r>
                </w:p>
              </w:tc>
              <w:tc>
                <w:tcPr>
                  <w:tcW w:w="1983" w:type="dxa"/>
                  <w:tcBorders>
                    <w:tl2br w:val="nil"/>
                    <w:tr2bl w:val="nil"/>
                  </w:tcBorders>
                  <w:shd w:val="clear" w:color="auto" w:fill="auto"/>
                  <w:vAlign w:val="center"/>
                </w:tcPr>
                <w:p w14:paraId="707D977E">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砂水分离器</w:t>
                  </w:r>
                </w:p>
              </w:tc>
              <w:tc>
                <w:tcPr>
                  <w:tcW w:w="3362" w:type="dxa"/>
                  <w:tcBorders>
                    <w:tl2br w:val="nil"/>
                    <w:tr2bl w:val="nil"/>
                  </w:tcBorders>
                  <w:shd w:val="clear" w:color="auto" w:fill="auto"/>
                  <w:vAlign w:val="center"/>
                </w:tcPr>
                <w:p w14:paraId="11BD833F">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Q=5~12L/s，N=0.37kW</w:t>
                  </w:r>
                </w:p>
              </w:tc>
              <w:tc>
                <w:tcPr>
                  <w:tcW w:w="615" w:type="dxa"/>
                  <w:tcBorders>
                    <w:tl2br w:val="nil"/>
                    <w:tr2bl w:val="nil"/>
                  </w:tcBorders>
                  <w:shd w:val="clear" w:color="auto" w:fill="auto"/>
                  <w:vAlign w:val="center"/>
                </w:tcPr>
                <w:p w14:paraId="081491FC">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7F21DE17">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76D15B80">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477F31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5FC4102">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3.13</w:t>
                  </w:r>
                </w:p>
              </w:tc>
              <w:tc>
                <w:tcPr>
                  <w:tcW w:w="1983" w:type="dxa"/>
                  <w:tcBorders>
                    <w:tl2br w:val="nil"/>
                    <w:tr2bl w:val="nil"/>
                  </w:tcBorders>
                  <w:shd w:val="clear" w:color="auto" w:fill="auto"/>
                  <w:vAlign w:val="center"/>
                </w:tcPr>
                <w:p w14:paraId="5EE84B48">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插板闸门</w:t>
                  </w:r>
                </w:p>
              </w:tc>
              <w:tc>
                <w:tcPr>
                  <w:tcW w:w="3362" w:type="dxa"/>
                  <w:tcBorders>
                    <w:tl2br w:val="nil"/>
                    <w:tr2bl w:val="nil"/>
                  </w:tcBorders>
                  <w:shd w:val="clear" w:color="auto" w:fill="auto"/>
                  <w:vAlign w:val="center"/>
                </w:tcPr>
                <w:p w14:paraId="1950A1D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B×H=1200×1500</w:t>
                  </w:r>
                </w:p>
              </w:tc>
              <w:tc>
                <w:tcPr>
                  <w:tcW w:w="615" w:type="dxa"/>
                  <w:tcBorders>
                    <w:tl2br w:val="nil"/>
                    <w:tr2bl w:val="nil"/>
                  </w:tcBorders>
                  <w:shd w:val="clear" w:color="auto" w:fill="auto"/>
                  <w:vAlign w:val="center"/>
                </w:tcPr>
                <w:p w14:paraId="5A886C08">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16B73318">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5E949B77">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7E2638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29AB150E">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3.14</w:t>
                  </w:r>
                </w:p>
              </w:tc>
              <w:tc>
                <w:tcPr>
                  <w:tcW w:w="1983" w:type="dxa"/>
                  <w:tcBorders>
                    <w:tl2br w:val="nil"/>
                    <w:tr2bl w:val="nil"/>
                  </w:tcBorders>
                  <w:shd w:val="clear" w:color="auto" w:fill="auto"/>
                  <w:vAlign w:val="center"/>
                </w:tcPr>
                <w:p w14:paraId="0964C183">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栅渣小车</w:t>
                  </w:r>
                </w:p>
              </w:tc>
              <w:tc>
                <w:tcPr>
                  <w:tcW w:w="3362" w:type="dxa"/>
                  <w:tcBorders>
                    <w:tl2br w:val="nil"/>
                    <w:tr2bl w:val="nil"/>
                  </w:tcBorders>
                  <w:shd w:val="clear" w:color="auto" w:fill="auto"/>
                  <w:vAlign w:val="center"/>
                </w:tcPr>
                <w:p w14:paraId="73C76041">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0.5</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p>
              </w:tc>
              <w:tc>
                <w:tcPr>
                  <w:tcW w:w="615" w:type="dxa"/>
                  <w:tcBorders>
                    <w:tl2br w:val="nil"/>
                    <w:tr2bl w:val="nil"/>
                  </w:tcBorders>
                  <w:shd w:val="clear" w:color="auto" w:fill="auto"/>
                  <w:vAlign w:val="center"/>
                </w:tcPr>
                <w:p w14:paraId="79CEB32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7D97DFD8">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1BCCBA36">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5CA0DA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383EAE38">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4</w:t>
                  </w:r>
                </w:p>
              </w:tc>
              <w:tc>
                <w:tcPr>
                  <w:tcW w:w="7545" w:type="dxa"/>
                  <w:gridSpan w:val="5"/>
                  <w:tcBorders>
                    <w:tl2br w:val="nil"/>
                    <w:tr2bl w:val="nil"/>
                  </w:tcBorders>
                  <w:shd w:val="clear" w:color="auto" w:fill="auto"/>
                  <w:vAlign w:val="center"/>
                </w:tcPr>
                <w:p w14:paraId="3149CC70">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AAO池</w:t>
                  </w:r>
                </w:p>
              </w:tc>
            </w:tr>
            <w:tr w14:paraId="6E2CAE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75E257B3">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4.1</w:t>
                  </w:r>
                </w:p>
              </w:tc>
              <w:tc>
                <w:tcPr>
                  <w:tcW w:w="1983" w:type="dxa"/>
                  <w:tcBorders>
                    <w:tl2br w:val="nil"/>
                    <w:tr2bl w:val="nil"/>
                  </w:tcBorders>
                  <w:shd w:val="clear" w:color="auto" w:fill="auto"/>
                  <w:vAlign w:val="center"/>
                </w:tcPr>
                <w:p w14:paraId="4931C802">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搅拌器</w:t>
                  </w:r>
                </w:p>
              </w:tc>
              <w:tc>
                <w:tcPr>
                  <w:tcW w:w="3362" w:type="dxa"/>
                  <w:tcBorders>
                    <w:tl2br w:val="nil"/>
                    <w:tr2bl w:val="nil"/>
                  </w:tcBorders>
                  <w:shd w:val="clear" w:color="auto" w:fill="auto"/>
                  <w:vAlign w:val="center"/>
                </w:tcPr>
                <w:p w14:paraId="6AB7264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QJB4/6N=4kW</w:t>
                  </w:r>
                </w:p>
              </w:tc>
              <w:tc>
                <w:tcPr>
                  <w:tcW w:w="615" w:type="dxa"/>
                  <w:tcBorders>
                    <w:tl2br w:val="nil"/>
                    <w:tr2bl w:val="nil"/>
                  </w:tcBorders>
                  <w:shd w:val="clear" w:color="auto" w:fill="auto"/>
                  <w:vAlign w:val="center"/>
                </w:tcPr>
                <w:p w14:paraId="2BD29444">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16</w:t>
                  </w:r>
                </w:p>
              </w:tc>
              <w:tc>
                <w:tcPr>
                  <w:tcW w:w="555" w:type="dxa"/>
                  <w:tcBorders>
                    <w:tl2br w:val="nil"/>
                    <w:tr2bl w:val="nil"/>
                  </w:tcBorders>
                  <w:shd w:val="clear" w:color="auto" w:fill="auto"/>
                  <w:vAlign w:val="center"/>
                </w:tcPr>
                <w:p w14:paraId="7C389183">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4B60616B">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477180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5583FC8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4.2</w:t>
                  </w:r>
                </w:p>
              </w:tc>
              <w:tc>
                <w:tcPr>
                  <w:tcW w:w="1983" w:type="dxa"/>
                  <w:tcBorders>
                    <w:tl2br w:val="nil"/>
                    <w:tr2bl w:val="nil"/>
                  </w:tcBorders>
                  <w:shd w:val="clear" w:color="auto" w:fill="auto"/>
                  <w:vAlign w:val="center"/>
                </w:tcPr>
                <w:p w14:paraId="61BAEDA2">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渠道闸门</w:t>
                  </w:r>
                </w:p>
              </w:tc>
              <w:tc>
                <w:tcPr>
                  <w:tcW w:w="3362" w:type="dxa"/>
                  <w:tcBorders>
                    <w:tl2br w:val="nil"/>
                    <w:tr2bl w:val="nil"/>
                  </w:tcBorders>
                  <w:shd w:val="clear" w:color="auto" w:fill="auto"/>
                  <w:vAlign w:val="center"/>
                </w:tcPr>
                <w:p w14:paraId="6454F170">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DN400，PN1.0MPa</w:t>
                  </w:r>
                </w:p>
              </w:tc>
              <w:tc>
                <w:tcPr>
                  <w:tcW w:w="615" w:type="dxa"/>
                  <w:tcBorders>
                    <w:tl2br w:val="nil"/>
                    <w:tr2bl w:val="nil"/>
                  </w:tcBorders>
                  <w:shd w:val="clear" w:color="auto" w:fill="auto"/>
                  <w:vAlign w:val="center"/>
                </w:tcPr>
                <w:p w14:paraId="133C8ED8">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123EC1C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7DB621FD">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3874E5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0F7CD7AF">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4.3</w:t>
                  </w:r>
                </w:p>
              </w:tc>
              <w:tc>
                <w:tcPr>
                  <w:tcW w:w="1983" w:type="dxa"/>
                  <w:tcBorders>
                    <w:tl2br w:val="nil"/>
                    <w:tr2bl w:val="nil"/>
                  </w:tcBorders>
                  <w:shd w:val="clear" w:color="auto" w:fill="auto"/>
                  <w:vAlign w:val="center"/>
                </w:tcPr>
                <w:p w14:paraId="77FAF438">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潜污泵</w:t>
                  </w:r>
                </w:p>
              </w:tc>
              <w:tc>
                <w:tcPr>
                  <w:tcW w:w="3362" w:type="dxa"/>
                  <w:tcBorders>
                    <w:tl2br w:val="nil"/>
                    <w:tr2bl w:val="nil"/>
                  </w:tcBorders>
                  <w:shd w:val="clear" w:color="auto" w:fill="auto"/>
                  <w:vAlign w:val="center"/>
                </w:tcPr>
                <w:p w14:paraId="2A333E7C">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Q=100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/h，H=10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N=30kW</w:t>
                  </w:r>
                </w:p>
              </w:tc>
              <w:tc>
                <w:tcPr>
                  <w:tcW w:w="615" w:type="dxa"/>
                  <w:tcBorders>
                    <w:tl2br w:val="nil"/>
                    <w:tr2bl w:val="nil"/>
                  </w:tcBorders>
                  <w:shd w:val="clear" w:color="auto" w:fill="auto"/>
                  <w:vAlign w:val="center"/>
                </w:tcPr>
                <w:p w14:paraId="4CCAB862">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w:t>
                  </w:r>
                </w:p>
              </w:tc>
              <w:tc>
                <w:tcPr>
                  <w:tcW w:w="555" w:type="dxa"/>
                  <w:tcBorders>
                    <w:tl2br w:val="nil"/>
                    <w:tr2bl w:val="nil"/>
                  </w:tcBorders>
                  <w:shd w:val="clear" w:color="auto" w:fill="auto"/>
                  <w:vAlign w:val="center"/>
                </w:tcPr>
                <w:p w14:paraId="7CAF57C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4240B22E">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093A05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4E4836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4.4</w:t>
                  </w:r>
                </w:p>
              </w:tc>
              <w:tc>
                <w:tcPr>
                  <w:tcW w:w="1983" w:type="dxa"/>
                  <w:tcBorders>
                    <w:tl2br w:val="nil"/>
                    <w:tr2bl w:val="nil"/>
                  </w:tcBorders>
                  <w:shd w:val="clear" w:color="auto" w:fill="auto"/>
                  <w:vAlign w:val="center"/>
                </w:tcPr>
                <w:p w14:paraId="5E7BBBAF">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镶铜铸铁方闸门</w:t>
                  </w:r>
                </w:p>
              </w:tc>
              <w:tc>
                <w:tcPr>
                  <w:tcW w:w="3362" w:type="dxa"/>
                  <w:tcBorders>
                    <w:tl2br w:val="nil"/>
                    <w:tr2bl w:val="nil"/>
                  </w:tcBorders>
                  <w:shd w:val="clear" w:color="auto" w:fill="auto"/>
                  <w:vAlign w:val="center"/>
                </w:tcPr>
                <w:p w14:paraId="432D4BD3">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DN400，PN1.0MPa</w:t>
                  </w:r>
                </w:p>
              </w:tc>
              <w:tc>
                <w:tcPr>
                  <w:tcW w:w="615" w:type="dxa"/>
                  <w:tcBorders>
                    <w:tl2br w:val="nil"/>
                    <w:tr2bl w:val="nil"/>
                  </w:tcBorders>
                  <w:shd w:val="clear" w:color="auto" w:fill="auto"/>
                  <w:vAlign w:val="center"/>
                </w:tcPr>
                <w:p w14:paraId="138AA90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w:t>
                  </w:r>
                </w:p>
              </w:tc>
              <w:tc>
                <w:tcPr>
                  <w:tcW w:w="555" w:type="dxa"/>
                  <w:tcBorders>
                    <w:tl2br w:val="nil"/>
                    <w:tr2bl w:val="nil"/>
                  </w:tcBorders>
                  <w:shd w:val="clear" w:color="auto" w:fill="auto"/>
                  <w:vAlign w:val="center"/>
                </w:tcPr>
                <w:p w14:paraId="6FB2CB5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61D1DB52">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073604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0CA65EAC">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4.5</w:t>
                  </w:r>
                </w:p>
              </w:tc>
              <w:tc>
                <w:tcPr>
                  <w:tcW w:w="1983" w:type="dxa"/>
                  <w:tcBorders>
                    <w:tl2br w:val="nil"/>
                    <w:tr2bl w:val="nil"/>
                  </w:tcBorders>
                  <w:shd w:val="clear" w:color="auto" w:fill="auto"/>
                  <w:vAlign w:val="center"/>
                </w:tcPr>
                <w:p w14:paraId="1D289B0F">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电动空气调节蝶阀</w:t>
                  </w:r>
                </w:p>
              </w:tc>
              <w:tc>
                <w:tcPr>
                  <w:tcW w:w="3362" w:type="dxa"/>
                  <w:tcBorders>
                    <w:tl2br w:val="nil"/>
                    <w:tr2bl w:val="nil"/>
                  </w:tcBorders>
                  <w:shd w:val="clear" w:color="auto" w:fill="auto"/>
                  <w:vAlign w:val="center"/>
                </w:tcPr>
                <w:p w14:paraId="0DF4AFD0">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DN400，PN1.0MPa</w:t>
                  </w:r>
                </w:p>
              </w:tc>
              <w:tc>
                <w:tcPr>
                  <w:tcW w:w="615" w:type="dxa"/>
                  <w:tcBorders>
                    <w:tl2br w:val="nil"/>
                    <w:tr2bl w:val="nil"/>
                  </w:tcBorders>
                  <w:shd w:val="clear" w:color="auto" w:fill="auto"/>
                  <w:vAlign w:val="center"/>
                </w:tcPr>
                <w:p w14:paraId="3541B378">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0180D6B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1691439D">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108313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53EE1477">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4.6</w:t>
                  </w:r>
                </w:p>
              </w:tc>
              <w:tc>
                <w:tcPr>
                  <w:tcW w:w="1983" w:type="dxa"/>
                  <w:tcBorders>
                    <w:tl2br w:val="nil"/>
                    <w:tr2bl w:val="nil"/>
                  </w:tcBorders>
                  <w:shd w:val="clear" w:color="auto" w:fill="auto"/>
                  <w:vAlign w:val="center"/>
                </w:tcPr>
                <w:p w14:paraId="54269A3E">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手动空气蝶阀</w:t>
                  </w:r>
                </w:p>
              </w:tc>
              <w:tc>
                <w:tcPr>
                  <w:tcW w:w="3362" w:type="dxa"/>
                  <w:tcBorders>
                    <w:tl2br w:val="nil"/>
                    <w:tr2bl w:val="nil"/>
                  </w:tcBorders>
                  <w:shd w:val="clear" w:color="auto" w:fill="auto"/>
                  <w:vAlign w:val="center"/>
                </w:tcPr>
                <w:p w14:paraId="7B08FEF0">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DN250，PN1.0MPa</w:t>
                  </w:r>
                </w:p>
              </w:tc>
              <w:tc>
                <w:tcPr>
                  <w:tcW w:w="615" w:type="dxa"/>
                  <w:tcBorders>
                    <w:tl2br w:val="nil"/>
                    <w:tr2bl w:val="nil"/>
                  </w:tcBorders>
                  <w:shd w:val="clear" w:color="auto" w:fill="auto"/>
                  <w:vAlign w:val="center"/>
                </w:tcPr>
                <w:p w14:paraId="01E8D18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535C1374">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0D2812A5">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5B838A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AD9D03C">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4.7</w:t>
                  </w:r>
                </w:p>
              </w:tc>
              <w:tc>
                <w:tcPr>
                  <w:tcW w:w="1983" w:type="dxa"/>
                  <w:tcBorders>
                    <w:tl2br w:val="nil"/>
                    <w:tr2bl w:val="nil"/>
                  </w:tcBorders>
                  <w:shd w:val="clear" w:color="auto" w:fill="auto"/>
                  <w:vAlign w:val="center"/>
                </w:tcPr>
                <w:p w14:paraId="5477A070">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手动空气蝶阀</w:t>
                  </w:r>
                </w:p>
              </w:tc>
              <w:tc>
                <w:tcPr>
                  <w:tcW w:w="3362" w:type="dxa"/>
                  <w:tcBorders>
                    <w:tl2br w:val="nil"/>
                    <w:tr2bl w:val="nil"/>
                  </w:tcBorders>
                  <w:shd w:val="clear" w:color="auto" w:fill="auto"/>
                  <w:vAlign w:val="center"/>
                </w:tcPr>
                <w:p w14:paraId="35953146">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DN200，PN1.0MPa</w:t>
                  </w:r>
                </w:p>
              </w:tc>
              <w:tc>
                <w:tcPr>
                  <w:tcW w:w="615" w:type="dxa"/>
                  <w:tcBorders>
                    <w:tl2br w:val="nil"/>
                    <w:tr2bl w:val="nil"/>
                  </w:tcBorders>
                  <w:shd w:val="clear" w:color="auto" w:fill="auto"/>
                  <w:vAlign w:val="center"/>
                </w:tcPr>
                <w:p w14:paraId="0CC64DF2">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w:t>
                  </w:r>
                </w:p>
              </w:tc>
              <w:tc>
                <w:tcPr>
                  <w:tcW w:w="555" w:type="dxa"/>
                  <w:tcBorders>
                    <w:tl2br w:val="nil"/>
                    <w:tr2bl w:val="nil"/>
                  </w:tcBorders>
                  <w:shd w:val="clear" w:color="auto" w:fill="auto"/>
                  <w:vAlign w:val="center"/>
                </w:tcPr>
                <w:p w14:paraId="506A71FA">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0013CBDD">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6B2E44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DD4B3F1">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4.8</w:t>
                  </w:r>
                </w:p>
              </w:tc>
              <w:tc>
                <w:tcPr>
                  <w:tcW w:w="1983" w:type="dxa"/>
                  <w:tcBorders>
                    <w:tl2br w:val="nil"/>
                    <w:tr2bl w:val="nil"/>
                  </w:tcBorders>
                  <w:shd w:val="clear" w:color="auto" w:fill="auto"/>
                  <w:vAlign w:val="center"/>
                </w:tcPr>
                <w:p w14:paraId="4F0057F7">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混合液回流泵</w:t>
                  </w:r>
                </w:p>
              </w:tc>
              <w:tc>
                <w:tcPr>
                  <w:tcW w:w="3362" w:type="dxa"/>
                  <w:tcBorders>
                    <w:tl2br w:val="nil"/>
                    <w:tr2bl w:val="nil"/>
                  </w:tcBorders>
                  <w:shd w:val="clear" w:color="auto" w:fill="auto"/>
                  <w:vAlign w:val="center"/>
                </w:tcPr>
                <w:p w14:paraId="6584FA4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Q=750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/h,H=24</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,N=18.5kW</w:t>
                  </w:r>
                </w:p>
              </w:tc>
              <w:tc>
                <w:tcPr>
                  <w:tcW w:w="615" w:type="dxa"/>
                  <w:tcBorders>
                    <w:tl2br w:val="nil"/>
                    <w:tr2bl w:val="nil"/>
                  </w:tcBorders>
                  <w:shd w:val="clear" w:color="auto" w:fill="auto"/>
                  <w:vAlign w:val="center"/>
                </w:tcPr>
                <w:p w14:paraId="3F44881C">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w:t>
                  </w:r>
                </w:p>
              </w:tc>
              <w:tc>
                <w:tcPr>
                  <w:tcW w:w="555" w:type="dxa"/>
                  <w:tcBorders>
                    <w:tl2br w:val="nil"/>
                    <w:tr2bl w:val="nil"/>
                  </w:tcBorders>
                  <w:shd w:val="clear" w:color="auto" w:fill="auto"/>
                  <w:vAlign w:val="center"/>
                </w:tcPr>
                <w:p w14:paraId="73D5810A">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13387C40">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36DA9E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298BD90A">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4.9</w:t>
                  </w:r>
                </w:p>
              </w:tc>
              <w:tc>
                <w:tcPr>
                  <w:tcW w:w="1983" w:type="dxa"/>
                  <w:tcBorders>
                    <w:tl2br w:val="nil"/>
                    <w:tr2bl w:val="nil"/>
                  </w:tcBorders>
                  <w:shd w:val="clear" w:color="auto" w:fill="auto"/>
                  <w:vAlign w:val="center"/>
                </w:tcPr>
                <w:p w14:paraId="2E1EF830">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潜水搅拌器</w:t>
                  </w:r>
                </w:p>
              </w:tc>
              <w:tc>
                <w:tcPr>
                  <w:tcW w:w="3362" w:type="dxa"/>
                  <w:tcBorders>
                    <w:tl2br w:val="nil"/>
                    <w:tr2bl w:val="nil"/>
                  </w:tcBorders>
                  <w:shd w:val="clear" w:color="auto" w:fill="auto"/>
                  <w:vAlign w:val="center"/>
                </w:tcPr>
                <w:p w14:paraId="3C1BC3D2">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QJB4/4-1800/2-63PN=4kW带耦合吊装装置</w:t>
                  </w:r>
                </w:p>
              </w:tc>
              <w:tc>
                <w:tcPr>
                  <w:tcW w:w="615" w:type="dxa"/>
                  <w:tcBorders>
                    <w:tl2br w:val="nil"/>
                    <w:tr2bl w:val="nil"/>
                  </w:tcBorders>
                  <w:shd w:val="clear" w:color="auto" w:fill="auto"/>
                  <w:vAlign w:val="center"/>
                </w:tcPr>
                <w:p w14:paraId="2F16D8A2">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555" w:type="dxa"/>
                  <w:tcBorders>
                    <w:tl2br w:val="nil"/>
                    <w:tr2bl w:val="nil"/>
                  </w:tcBorders>
                  <w:shd w:val="clear" w:color="auto" w:fill="auto"/>
                  <w:vAlign w:val="center"/>
                </w:tcPr>
                <w:p w14:paraId="17160F82">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4A873DB5">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2FABB8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AA063B0">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4.10</w:t>
                  </w:r>
                </w:p>
              </w:tc>
              <w:tc>
                <w:tcPr>
                  <w:tcW w:w="1983" w:type="dxa"/>
                  <w:tcBorders>
                    <w:tl2br w:val="nil"/>
                    <w:tr2bl w:val="nil"/>
                  </w:tcBorders>
                  <w:shd w:val="clear" w:color="auto" w:fill="auto"/>
                  <w:vAlign w:val="center"/>
                </w:tcPr>
                <w:p w14:paraId="46E958C2">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pH计</w:t>
                  </w:r>
                </w:p>
              </w:tc>
              <w:tc>
                <w:tcPr>
                  <w:tcW w:w="3362" w:type="dxa"/>
                  <w:tcBorders>
                    <w:tl2br w:val="nil"/>
                    <w:tr2bl w:val="nil"/>
                  </w:tcBorders>
                  <w:shd w:val="clear" w:color="auto" w:fill="auto"/>
                  <w:vAlign w:val="center"/>
                </w:tcPr>
                <w:p w14:paraId="6C24AF16">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量程0-14，4</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20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A传输，带温度检测</w:t>
                  </w:r>
                </w:p>
              </w:tc>
              <w:tc>
                <w:tcPr>
                  <w:tcW w:w="615" w:type="dxa"/>
                  <w:tcBorders>
                    <w:tl2br w:val="nil"/>
                    <w:tr2bl w:val="nil"/>
                  </w:tcBorders>
                  <w:shd w:val="clear" w:color="auto" w:fill="auto"/>
                  <w:vAlign w:val="center"/>
                </w:tcPr>
                <w:p w14:paraId="53BE3BDF">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w:t>
                  </w:r>
                </w:p>
              </w:tc>
              <w:tc>
                <w:tcPr>
                  <w:tcW w:w="555" w:type="dxa"/>
                  <w:tcBorders>
                    <w:tl2br w:val="nil"/>
                    <w:tr2bl w:val="nil"/>
                  </w:tcBorders>
                  <w:shd w:val="clear" w:color="auto" w:fill="auto"/>
                  <w:vAlign w:val="center"/>
                </w:tcPr>
                <w:p w14:paraId="66ADAB34">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1A92DAE7">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6E29ED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0F0D4083">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4.11</w:t>
                  </w:r>
                </w:p>
              </w:tc>
              <w:tc>
                <w:tcPr>
                  <w:tcW w:w="1983" w:type="dxa"/>
                  <w:tcBorders>
                    <w:tl2br w:val="nil"/>
                    <w:tr2bl w:val="nil"/>
                  </w:tcBorders>
                  <w:shd w:val="clear" w:color="auto" w:fill="auto"/>
                  <w:vAlign w:val="center"/>
                </w:tcPr>
                <w:p w14:paraId="3AD3715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DO溶氧仪</w:t>
                  </w:r>
                </w:p>
              </w:tc>
              <w:tc>
                <w:tcPr>
                  <w:tcW w:w="3362" w:type="dxa"/>
                  <w:tcBorders>
                    <w:tl2br w:val="nil"/>
                    <w:tr2bl w:val="nil"/>
                  </w:tcBorders>
                  <w:shd w:val="clear" w:color="auto" w:fill="auto"/>
                  <w:vAlign w:val="center"/>
                </w:tcPr>
                <w:p w14:paraId="4EEA9123">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0－20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g/l</w:t>
                  </w:r>
                </w:p>
              </w:tc>
              <w:tc>
                <w:tcPr>
                  <w:tcW w:w="615" w:type="dxa"/>
                  <w:tcBorders>
                    <w:tl2br w:val="nil"/>
                    <w:tr2bl w:val="nil"/>
                  </w:tcBorders>
                  <w:shd w:val="clear" w:color="auto" w:fill="auto"/>
                  <w:vAlign w:val="center"/>
                </w:tcPr>
                <w:p w14:paraId="53BB3A2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w:t>
                  </w:r>
                </w:p>
              </w:tc>
              <w:tc>
                <w:tcPr>
                  <w:tcW w:w="555" w:type="dxa"/>
                  <w:tcBorders>
                    <w:tl2br w:val="nil"/>
                    <w:tr2bl w:val="nil"/>
                  </w:tcBorders>
                  <w:shd w:val="clear" w:color="auto" w:fill="auto"/>
                  <w:vAlign w:val="center"/>
                </w:tcPr>
                <w:p w14:paraId="5F664A8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3BF8853C">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4C7E5B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9F1B090">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4.12</w:t>
                  </w:r>
                </w:p>
              </w:tc>
              <w:tc>
                <w:tcPr>
                  <w:tcW w:w="1983" w:type="dxa"/>
                  <w:tcBorders>
                    <w:tl2br w:val="nil"/>
                    <w:tr2bl w:val="nil"/>
                  </w:tcBorders>
                  <w:shd w:val="clear" w:color="auto" w:fill="auto"/>
                  <w:vAlign w:val="center"/>
                </w:tcPr>
                <w:p w14:paraId="2E1CDC06">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液位计</w:t>
                  </w:r>
                </w:p>
              </w:tc>
              <w:tc>
                <w:tcPr>
                  <w:tcW w:w="3362" w:type="dxa"/>
                  <w:tcBorders>
                    <w:tl2br w:val="nil"/>
                    <w:tr2bl w:val="nil"/>
                  </w:tcBorders>
                  <w:shd w:val="clear" w:color="auto" w:fill="auto"/>
                  <w:vAlign w:val="center"/>
                </w:tcPr>
                <w:p w14:paraId="484E7731">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0-7</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4-20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A</w:t>
                  </w:r>
                </w:p>
              </w:tc>
              <w:tc>
                <w:tcPr>
                  <w:tcW w:w="615" w:type="dxa"/>
                  <w:tcBorders>
                    <w:tl2br w:val="nil"/>
                    <w:tr2bl w:val="nil"/>
                  </w:tcBorders>
                  <w:shd w:val="clear" w:color="auto" w:fill="auto"/>
                  <w:vAlign w:val="center"/>
                </w:tcPr>
                <w:p w14:paraId="0B7E6492">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004CFF40">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156F627E">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3E215D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914B542">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4.13</w:t>
                  </w:r>
                </w:p>
              </w:tc>
              <w:tc>
                <w:tcPr>
                  <w:tcW w:w="1983" w:type="dxa"/>
                  <w:tcBorders>
                    <w:tl2br w:val="nil"/>
                    <w:tr2bl w:val="nil"/>
                  </w:tcBorders>
                  <w:shd w:val="clear" w:color="auto" w:fill="auto"/>
                  <w:vAlign w:val="center"/>
                </w:tcPr>
                <w:p w14:paraId="7C390F5F">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潜污泵</w:t>
                  </w:r>
                </w:p>
              </w:tc>
              <w:tc>
                <w:tcPr>
                  <w:tcW w:w="3362" w:type="dxa"/>
                  <w:tcBorders>
                    <w:tl2br w:val="nil"/>
                    <w:tr2bl w:val="nil"/>
                  </w:tcBorders>
                  <w:shd w:val="clear" w:color="auto" w:fill="auto"/>
                  <w:vAlign w:val="center"/>
                </w:tcPr>
                <w:p w14:paraId="4CA6868C">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Q=100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/h，H=6</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，N=4kW</w:t>
                  </w:r>
                </w:p>
              </w:tc>
              <w:tc>
                <w:tcPr>
                  <w:tcW w:w="615" w:type="dxa"/>
                  <w:tcBorders>
                    <w:tl2br w:val="nil"/>
                    <w:tr2bl w:val="nil"/>
                  </w:tcBorders>
                  <w:shd w:val="clear" w:color="auto" w:fill="auto"/>
                  <w:vAlign w:val="center"/>
                </w:tcPr>
                <w:p w14:paraId="796E41D4">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2327705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719B0AAC">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59D037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765180B0">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4.14</w:t>
                  </w:r>
                </w:p>
              </w:tc>
              <w:tc>
                <w:tcPr>
                  <w:tcW w:w="1983" w:type="dxa"/>
                  <w:tcBorders>
                    <w:tl2br w:val="nil"/>
                    <w:tr2bl w:val="nil"/>
                  </w:tcBorders>
                  <w:shd w:val="clear" w:color="auto" w:fill="auto"/>
                  <w:vAlign w:val="center"/>
                </w:tcPr>
                <w:p w14:paraId="74BDDD40">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空浮风机</w:t>
                  </w:r>
                </w:p>
              </w:tc>
              <w:tc>
                <w:tcPr>
                  <w:tcW w:w="3362" w:type="dxa"/>
                  <w:tcBorders>
                    <w:tl2br w:val="nil"/>
                    <w:tr2bl w:val="nil"/>
                  </w:tcBorders>
                  <w:shd w:val="clear" w:color="auto" w:fill="auto"/>
                  <w:vAlign w:val="center"/>
                </w:tcPr>
                <w:p w14:paraId="06444272">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Q=33.69</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in</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P=0.06MPa</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N=45kW</w:t>
                  </w:r>
                </w:p>
              </w:tc>
              <w:tc>
                <w:tcPr>
                  <w:tcW w:w="615" w:type="dxa"/>
                  <w:tcBorders>
                    <w:tl2br w:val="nil"/>
                    <w:tr2bl w:val="nil"/>
                  </w:tcBorders>
                  <w:shd w:val="clear" w:color="auto" w:fill="auto"/>
                  <w:vAlign w:val="center"/>
                </w:tcPr>
                <w:p w14:paraId="3D0C7CC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555" w:type="dxa"/>
                  <w:tcBorders>
                    <w:tl2br w:val="nil"/>
                    <w:tr2bl w:val="nil"/>
                  </w:tcBorders>
                  <w:shd w:val="clear" w:color="auto" w:fill="auto"/>
                  <w:vAlign w:val="center"/>
                </w:tcPr>
                <w:p w14:paraId="03A2E744">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3BE4B65E">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0E5F84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F2A8628">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4.15</w:t>
                  </w:r>
                </w:p>
              </w:tc>
              <w:tc>
                <w:tcPr>
                  <w:tcW w:w="1983" w:type="dxa"/>
                  <w:tcBorders>
                    <w:tl2br w:val="nil"/>
                    <w:tr2bl w:val="nil"/>
                  </w:tcBorders>
                  <w:shd w:val="clear" w:color="auto" w:fill="auto"/>
                  <w:vAlign w:val="center"/>
                </w:tcPr>
                <w:p w14:paraId="124D7A81">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电磁流量计</w:t>
                  </w:r>
                </w:p>
              </w:tc>
              <w:tc>
                <w:tcPr>
                  <w:tcW w:w="3362" w:type="dxa"/>
                  <w:tcBorders>
                    <w:tl2br w:val="nil"/>
                    <w:tr2bl w:val="nil"/>
                  </w:tcBorders>
                  <w:shd w:val="clear" w:color="auto" w:fill="auto"/>
                  <w:vAlign w:val="center"/>
                </w:tcPr>
                <w:p w14:paraId="7D7F0F9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DN400</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N=0.75kW</w:t>
                  </w:r>
                </w:p>
              </w:tc>
              <w:tc>
                <w:tcPr>
                  <w:tcW w:w="615" w:type="dxa"/>
                  <w:tcBorders>
                    <w:tl2br w:val="nil"/>
                    <w:tr2bl w:val="nil"/>
                  </w:tcBorders>
                  <w:shd w:val="clear" w:color="auto" w:fill="auto"/>
                  <w:vAlign w:val="center"/>
                </w:tcPr>
                <w:p w14:paraId="5ACA4963">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555" w:type="dxa"/>
                  <w:tcBorders>
                    <w:tl2br w:val="nil"/>
                    <w:tr2bl w:val="nil"/>
                  </w:tcBorders>
                  <w:shd w:val="clear" w:color="auto" w:fill="auto"/>
                  <w:vAlign w:val="center"/>
                </w:tcPr>
                <w:p w14:paraId="000482B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18C2F479">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13015C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693885F6">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4.16</w:t>
                  </w:r>
                </w:p>
              </w:tc>
              <w:tc>
                <w:tcPr>
                  <w:tcW w:w="1983" w:type="dxa"/>
                  <w:tcBorders>
                    <w:tl2br w:val="nil"/>
                    <w:tr2bl w:val="nil"/>
                  </w:tcBorders>
                  <w:shd w:val="clear" w:color="auto" w:fill="auto"/>
                  <w:vAlign w:val="center"/>
                </w:tcPr>
                <w:p w14:paraId="1A4D6A33">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电磁流量计</w:t>
                  </w:r>
                </w:p>
              </w:tc>
              <w:tc>
                <w:tcPr>
                  <w:tcW w:w="3362" w:type="dxa"/>
                  <w:tcBorders>
                    <w:tl2br w:val="nil"/>
                    <w:tr2bl w:val="nil"/>
                  </w:tcBorders>
                  <w:shd w:val="clear" w:color="auto" w:fill="auto"/>
                  <w:vAlign w:val="center"/>
                </w:tcPr>
                <w:p w14:paraId="4002C004">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DN250</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N=0.75kW</w:t>
                  </w:r>
                </w:p>
              </w:tc>
              <w:tc>
                <w:tcPr>
                  <w:tcW w:w="615" w:type="dxa"/>
                  <w:tcBorders>
                    <w:tl2br w:val="nil"/>
                    <w:tr2bl w:val="nil"/>
                  </w:tcBorders>
                  <w:shd w:val="clear" w:color="auto" w:fill="auto"/>
                  <w:vAlign w:val="center"/>
                </w:tcPr>
                <w:p w14:paraId="1BF808F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0C93C7A4">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1D2431EA">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1E5213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96" w:type="dxa"/>
                  <w:tcBorders>
                    <w:tl2br w:val="nil"/>
                    <w:tr2bl w:val="nil"/>
                  </w:tcBorders>
                  <w:shd w:val="clear" w:color="auto" w:fill="auto"/>
                  <w:vAlign w:val="center"/>
                </w:tcPr>
                <w:p w14:paraId="3485195C">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5</w:t>
                  </w:r>
                </w:p>
              </w:tc>
              <w:tc>
                <w:tcPr>
                  <w:tcW w:w="7545" w:type="dxa"/>
                  <w:gridSpan w:val="5"/>
                  <w:tcBorders>
                    <w:tl2br w:val="nil"/>
                    <w:tr2bl w:val="nil"/>
                  </w:tcBorders>
                  <w:shd w:val="clear" w:color="auto" w:fill="auto"/>
                  <w:vAlign w:val="center"/>
                </w:tcPr>
                <w:p w14:paraId="14574B39">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配水集泥井</w:t>
                  </w:r>
                </w:p>
              </w:tc>
            </w:tr>
            <w:tr w14:paraId="77EF49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279D7E9C">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5.1</w:t>
                  </w:r>
                </w:p>
              </w:tc>
              <w:tc>
                <w:tcPr>
                  <w:tcW w:w="1983" w:type="dxa"/>
                  <w:tcBorders>
                    <w:tl2br w:val="nil"/>
                    <w:tr2bl w:val="nil"/>
                  </w:tcBorders>
                  <w:shd w:val="clear" w:color="auto" w:fill="auto"/>
                  <w:vAlign w:val="center"/>
                </w:tcPr>
                <w:p w14:paraId="674713C3">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回流污泥泵</w:t>
                  </w:r>
                </w:p>
              </w:tc>
              <w:tc>
                <w:tcPr>
                  <w:tcW w:w="3362" w:type="dxa"/>
                  <w:tcBorders>
                    <w:tl2br w:val="nil"/>
                    <w:tr2bl w:val="nil"/>
                  </w:tcBorders>
                  <w:shd w:val="clear" w:color="auto" w:fill="auto"/>
                  <w:vAlign w:val="center"/>
                </w:tcPr>
                <w:p w14:paraId="312B677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Q=210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/h，H=11</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N=15kW</w:t>
                  </w:r>
                </w:p>
              </w:tc>
              <w:tc>
                <w:tcPr>
                  <w:tcW w:w="615" w:type="dxa"/>
                  <w:tcBorders>
                    <w:tl2br w:val="nil"/>
                    <w:tr2bl w:val="nil"/>
                  </w:tcBorders>
                  <w:shd w:val="clear" w:color="auto" w:fill="auto"/>
                  <w:vAlign w:val="center"/>
                </w:tcPr>
                <w:p w14:paraId="3CEB226E">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412ADFD7">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6BA94D79">
                  <w:pPr>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更换</w:t>
                  </w:r>
                </w:p>
              </w:tc>
            </w:tr>
            <w:tr w14:paraId="7E3D36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02D20F12">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6</w:t>
                  </w:r>
                </w:p>
              </w:tc>
              <w:tc>
                <w:tcPr>
                  <w:tcW w:w="7545" w:type="dxa"/>
                  <w:gridSpan w:val="5"/>
                  <w:tcBorders>
                    <w:tl2br w:val="nil"/>
                    <w:tr2bl w:val="nil"/>
                  </w:tcBorders>
                  <w:shd w:val="clear" w:color="auto" w:fill="auto"/>
                  <w:vAlign w:val="center"/>
                </w:tcPr>
                <w:p w14:paraId="3E56D4F8">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污泥池</w:t>
                  </w:r>
                </w:p>
              </w:tc>
            </w:tr>
            <w:tr w14:paraId="711266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521175A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6.1</w:t>
                  </w:r>
                </w:p>
              </w:tc>
              <w:tc>
                <w:tcPr>
                  <w:tcW w:w="1983" w:type="dxa"/>
                  <w:tcBorders>
                    <w:tl2br w:val="nil"/>
                    <w:tr2bl w:val="nil"/>
                  </w:tcBorders>
                  <w:shd w:val="clear" w:color="auto" w:fill="auto"/>
                  <w:vAlign w:val="center"/>
                </w:tcPr>
                <w:p w14:paraId="7F7211E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剩余污泥泵</w:t>
                  </w:r>
                </w:p>
              </w:tc>
              <w:tc>
                <w:tcPr>
                  <w:tcW w:w="3362" w:type="dxa"/>
                  <w:tcBorders>
                    <w:tl2br w:val="nil"/>
                    <w:tr2bl w:val="nil"/>
                  </w:tcBorders>
                  <w:shd w:val="clear" w:color="auto" w:fill="auto"/>
                  <w:vAlign w:val="center"/>
                </w:tcPr>
                <w:p w14:paraId="5CC13AB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Q=21</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/h，H=15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N=1.5kW</w:t>
                  </w:r>
                </w:p>
              </w:tc>
              <w:tc>
                <w:tcPr>
                  <w:tcW w:w="615" w:type="dxa"/>
                  <w:tcBorders>
                    <w:tl2br w:val="nil"/>
                    <w:tr2bl w:val="nil"/>
                  </w:tcBorders>
                  <w:shd w:val="clear" w:color="auto" w:fill="auto"/>
                  <w:vAlign w:val="center"/>
                </w:tcPr>
                <w:p w14:paraId="37EF98CE">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555" w:type="dxa"/>
                  <w:tcBorders>
                    <w:tl2br w:val="nil"/>
                    <w:tr2bl w:val="nil"/>
                  </w:tcBorders>
                  <w:shd w:val="clear" w:color="auto" w:fill="auto"/>
                  <w:vAlign w:val="center"/>
                </w:tcPr>
                <w:p w14:paraId="65012636">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44AE23E2">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600551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7FA491A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6.2</w:t>
                  </w:r>
                </w:p>
              </w:tc>
              <w:tc>
                <w:tcPr>
                  <w:tcW w:w="1983" w:type="dxa"/>
                  <w:tcBorders>
                    <w:tl2br w:val="nil"/>
                    <w:tr2bl w:val="nil"/>
                  </w:tcBorders>
                  <w:shd w:val="clear" w:color="auto" w:fill="auto"/>
                  <w:vAlign w:val="center"/>
                </w:tcPr>
                <w:p w14:paraId="357D8CAF">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潜水搅拌器</w:t>
                  </w:r>
                </w:p>
              </w:tc>
              <w:tc>
                <w:tcPr>
                  <w:tcW w:w="3362" w:type="dxa"/>
                  <w:tcBorders>
                    <w:tl2br w:val="nil"/>
                    <w:tr2bl w:val="nil"/>
                  </w:tcBorders>
                  <w:shd w:val="clear" w:color="auto" w:fill="auto"/>
                  <w:vAlign w:val="center"/>
                </w:tcPr>
                <w:p w14:paraId="5CCCB896">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QJBN=1.5kW</w:t>
                  </w:r>
                </w:p>
              </w:tc>
              <w:tc>
                <w:tcPr>
                  <w:tcW w:w="615" w:type="dxa"/>
                  <w:tcBorders>
                    <w:tl2br w:val="nil"/>
                    <w:tr2bl w:val="nil"/>
                  </w:tcBorders>
                  <w:shd w:val="clear" w:color="auto" w:fill="auto"/>
                  <w:vAlign w:val="center"/>
                </w:tcPr>
                <w:p w14:paraId="1E1118D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555" w:type="dxa"/>
                  <w:tcBorders>
                    <w:tl2br w:val="nil"/>
                    <w:tr2bl w:val="nil"/>
                  </w:tcBorders>
                  <w:shd w:val="clear" w:color="auto" w:fill="auto"/>
                  <w:vAlign w:val="center"/>
                </w:tcPr>
                <w:p w14:paraId="2909DB8C">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72D1B839">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5209D5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2218CA08">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7</w:t>
                  </w:r>
                </w:p>
              </w:tc>
              <w:tc>
                <w:tcPr>
                  <w:tcW w:w="7545" w:type="dxa"/>
                  <w:gridSpan w:val="5"/>
                  <w:tcBorders>
                    <w:tl2br w:val="nil"/>
                    <w:tr2bl w:val="nil"/>
                  </w:tcBorders>
                  <w:shd w:val="clear" w:color="auto" w:fill="auto"/>
                  <w:vAlign w:val="center"/>
                </w:tcPr>
                <w:p w14:paraId="021FFE56">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二沉池</w:t>
                  </w:r>
                </w:p>
              </w:tc>
            </w:tr>
            <w:tr w14:paraId="4CEA47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3AD18248">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7.1</w:t>
                  </w:r>
                </w:p>
              </w:tc>
              <w:tc>
                <w:tcPr>
                  <w:tcW w:w="1983" w:type="dxa"/>
                  <w:tcBorders>
                    <w:tl2br w:val="nil"/>
                    <w:tr2bl w:val="nil"/>
                  </w:tcBorders>
                  <w:shd w:val="clear" w:color="auto" w:fill="auto"/>
                  <w:vAlign w:val="center"/>
                </w:tcPr>
                <w:p w14:paraId="30C86632">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中心传动刮泥机</w:t>
                  </w:r>
                </w:p>
              </w:tc>
              <w:tc>
                <w:tcPr>
                  <w:tcW w:w="3362" w:type="dxa"/>
                  <w:tcBorders>
                    <w:tl2br w:val="nil"/>
                    <w:tr2bl w:val="nil"/>
                  </w:tcBorders>
                  <w:shd w:val="clear" w:color="auto" w:fill="auto"/>
                  <w:vAlign w:val="center"/>
                </w:tcPr>
                <w:p w14:paraId="6F04F3DF">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D=14.0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，0.75kW</w:t>
                  </w:r>
                </w:p>
              </w:tc>
              <w:tc>
                <w:tcPr>
                  <w:tcW w:w="615" w:type="dxa"/>
                  <w:tcBorders>
                    <w:tl2br w:val="nil"/>
                    <w:tr2bl w:val="nil"/>
                  </w:tcBorders>
                  <w:shd w:val="clear" w:color="auto" w:fill="auto"/>
                  <w:vAlign w:val="center"/>
                </w:tcPr>
                <w:p w14:paraId="4D01E0A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65FDCE7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654C2026">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44B898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3F2C1B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7.2</w:t>
                  </w:r>
                </w:p>
              </w:tc>
              <w:tc>
                <w:tcPr>
                  <w:tcW w:w="1983" w:type="dxa"/>
                  <w:tcBorders>
                    <w:tl2br w:val="nil"/>
                    <w:tr2bl w:val="nil"/>
                  </w:tcBorders>
                  <w:shd w:val="clear" w:color="auto" w:fill="auto"/>
                  <w:vAlign w:val="center"/>
                </w:tcPr>
                <w:p w14:paraId="1093E48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下开式调节</w:t>
                  </w:r>
                  <w:r>
                    <w:rPr>
                      <w:rFonts w:hint="eastAsia" w:cs="Times New Roman"/>
                      <w:color w:val="auto"/>
                      <w:sz w:val="21"/>
                      <w:szCs w:val="21"/>
                      <w:lang w:val="en-US" w:eastAsia="zh-CN"/>
                    </w:rPr>
                    <w:t>阀门</w:t>
                  </w:r>
                </w:p>
              </w:tc>
              <w:tc>
                <w:tcPr>
                  <w:tcW w:w="3362" w:type="dxa"/>
                  <w:tcBorders>
                    <w:tl2br w:val="nil"/>
                    <w:tr2bl w:val="nil"/>
                  </w:tcBorders>
                  <w:shd w:val="clear" w:color="auto" w:fill="auto"/>
                  <w:vAlign w:val="center"/>
                </w:tcPr>
                <w:p w14:paraId="704C61F8">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500×500</w:t>
                  </w:r>
                </w:p>
              </w:tc>
              <w:tc>
                <w:tcPr>
                  <w:tcW w:w="615" w:type="dxa"/>
                  <w:tcBorders>
                    <w:tl2br w:val="nil"/>
                    <w:tr2bl w:val="nil"/>
                  </w:tcBorders>
                  <w:shd w:val="clear" w:color="auto" w:fill="auto"/>
                  <w:vAlign w:val="center"/>
                </w:tcPr>
                <w:p w14:paraId="2417AFFE">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101F729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53C92D7E">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4F9468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2DE29601">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7.3</w:t>
                  </w:r>
                </w:p>
              </w:tc>
              <w:tc>
                <w:tcPr>
                  <w:tcW w:w="1983" w:type="dxa"/>
                  <w:tcBorders>
                    <w:tl2br w:val="nil"/>
                    <w:tr2bl w:val="nil"/>
                  </w:tcBorders>
                  <w:shd w:val="clear" w:color="auto" w:fill="auto"/>
                  <w:vAlign w:val="center"/>
                </w:tcPr>
                <w:p w14:paraId="7BC4B70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手动铸铁圆闸门</w:t>
                  </w:r>
                </w:p>
              </w:tc>
              <w:tc>
                <w:tcPr>
                  <w:tcW w:w="3362" w:type="dxa"/>
                  <w:tcBorders>
                    <w:tl2br w:val="nil"/>
                    <w:tr2bl w:val="nil"/>
                  </w:tcBorders>
                  <w:shd w:val="clear" w:color="auto" w:fill="auto"/>
                  <w:vAlign w:val="center"/>
                </w:tcPr>
                <w:p w14:paraId="1011680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DN400，PN1.0MPa</w:t>
                  </w:r>
                </w:p>
              </w:tc>
              <w:tc>
                <w:tcPr>
                  <w:tcW w:w="615" w:type="dxa"/>
                  <w:tcBorders>
                    <w:tl2br w:val="nil"/>
                    <w:tr2bl w:val="nil"/>
                  </w:tcBorders>
                  <w:shd w:val="clear" w:color="auto" w:fill="auto"/>
                  <w:vAlign w:val="center"/>
                </w:tcPr>
                <w:p w14:paraId="2D357A8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49C4CC8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6336E07E">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0B74FF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29341EB7">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8</w:t>
                  </w:r>
                </w:p>
              </w:tc>
              <w:tc>
                <w:tcPr>
                  <w:tcW w:w="7545" w:type="dxa"/>
                  <w:gridSpan w:val="5"/>
                  <w:tcBorders>
                    <w:tl2br w:val="nil"/>
                    <w:tr2bl w:val="nil"/>
                  </w:tcBorders>
                  <w:shd w:val="clear" w:color="auto" w:fill="auto"/>
                  <w:vAlign w:val="center"/>
                </w:tcPr>
                <w:p w14:paraId="35A58AC5">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储泥池</w:t>
                  </w:r>
                </w:p>
              </w:tc>
            </w:tr>
            <w:tr w14:paraId="7B61F9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03B43C88">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8.1</w:t>
                  </w:r>
                </w:p>
              </w:tc>
              <w:tc>
                <w:tcPr>
                  <w:tcW w:w="1983" w:type="dxa"/>
                  <w:tcBorders>
                    <w:tl2br w:val="nil"/>
                    <w:tr2bl w:val="nil"/>
                  </w:tcBorders>
                  <w:shd w:val="clear" w:color="auto" w:fill="auto"/>
                  <w:vAlign w:val="center"/>
                </w:tcPr>
                <w:p w14:paraId="5900863F">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潜污泵</w:t>
                  </w:r>
                </w:p>
              </w:tc>
              <w:tc>
                <w:tcPr>
                  <w:tcW w:w="3362" w:type="dxa"/>
                  <w:tcBorders>
                    <w:tl2br w:val="nil"/>
                    <w:tr2bl w:val="nil"/>
                  </w:tcBorders>
                  <w:shd w:val="clear" w:color="auto" w:fill="auto"/>
                  <w:vAlign w:val="center"/>
                </w:tcPr>
                <w:p w14:paraId="377C16BE">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Q=21</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/h，H=15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N=1.5kW</w:t>
                  </w:r>
                </w:p>
              </w:tc>
              <w:tc>
                <w:tcPr>
                  <w:tcW w:w="615" w:type="dxa"/>
                  <w:tcBorders>
                    <w:tl2br w:val="nil"/>
                    <w:tr2bl w:val="nil"/>
                  </w:tcBorders>
                  <w:shd w:val="clear" w:color="auto" w:fill="auto"/>
                  <w:vAlign w:val="center"/>
                </w:tcPr>
                <w:p w14:paraId="7A6960C3">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555" w:type="dxa"/>
                  <w:tcBorders>
                    <w:tl2br w:val="nil"/>
                    <w:tr2bl w:val="nil"/>
                  </w:tcBorders>
                  <w:shd w:val="clear" w:color="auto" w:fill="auto"/>
                  <w:vAlign w:val="center"/>
                </w:tcPr>
                <w:p w14:paraId="0F043BBF">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3526A30E">
                  <w:pPr>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更换</w:t>
                  </w:r>
                </w:p>
              </w:tc>
            </w:tr>
            <w:tr w14:paraId="411807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62E952F4">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9</w:t>
                  </w:r>
                </w:p>
              </w:tc>
              <w:tc>
                <w:tcPr>
                  <w:tcW w:w="7545" w:type="dxa"/>
                  <w:gridSpan w:val="5"/>
                  <w:tcBorders>
                    <w:tl2br w:val="nil"/>
                    <w:tr2bl w:val="nil"/>
                  </w:tcBorders>
                  <w:shd w:val="clear" w:color="auto" w:fill="auto"/>
                  <w:vAlign w:val="center"/>
                </w:tcPr>
                <w:p w14:paraId="30A61490">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加药间</w:t>
                  </w:r>
                </w:p>
              </w:tc>
            </w:tr>
            <w:tr w14:paraId="202977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F39467E">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9.1</w:t>
                  </w:r>
                </w:p>
              </w:tc>
              <w:tc>
                <w:tcPr>
                  <w:tcW w:w="1983" w:type="dxa"/>
                  <w:tcBorders>
                    <w:tl2br w:val="nil"/>
                    <w:tr2bl w:val="nil"/>
                  </w:tcBorders>
                  <w:shd w:val="clear" w:color="auto" w:fill="auto"/>
                  <w:vAlign w:val="center"/>
                </w:tcPr>
                <w:p w14:paraId="0A87260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加药装置</w:t>
                  </w:r>
                </w:p>
              </w:tc>
              <w:tc>
                <w:tcPr>
                  <w:tcW w:w="3362" w:type="dxa"/>
                  <w:tcBorders>
                    <w:tl2br w:val="nil"/>
                    <w:tr2bl w:val="nil"/>
                  </w:tcBorders>
                  <w:shd w:val="clear" w:color="auto" w:fill="auto"/>
                  <w:vAlign w:val="center"/>
                </w:tcPr>
                <w:p w14:paraId="037C7DA1">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1460mm×1260mm×1800</w:t>
                  </w:r>
                  <w:r>
                    <w:rPr>
                      <w:rFonts w:hint="eastAsia" w:cs="Times New Roman"/>
                      <w:color w:val="auto"/>
                      <w:sz w:val="21"/>
                      <w:szCs w:val="21"/>
                      <w:lang w:val="en-US" w:eastAsia="zh-CN"/>
                    </w:rPr>
                    <w:t>mm</w:t>
                  </w:r>
                </w:p>
              </w:tc>
              <w:tc>
                <w:tcPr>
                  <w:tcW w:w="615" w:type="dxa"/>
                  <w:tcBorders>
                    <w:tl2br w:val="nil"/>
                    <w:tr2bl w:val="nil"/>
                  </w:tcBorders>
                  <w:shd w:val="clear" w:color="auto" w:fill="auto"/>
                  <w:vAlign w:val="center"/>
                </w:tcPr>
                <w:p w14:paraId="656527D8">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555" w:type="dxa"/>
                  <w:tcBorders>
                    <w:tl2br w:val="nil"/>
                    <w:tr2bl w:val="nil"/>
                  </w:tcBorders>
                  <w:shd w:val="clear" w:color="auto" w:fill="auto"/>
                  <w:vAlign w:val="center"/>
                </w:tcPr>
                <w:p w14:paraId="33DE388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6FD6C1DB">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7C4675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511E9B56">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9.2</w:t>
                  </w:r>
                </w:p>
              </w:tc>
              <w:tc>
                <w:tcPr>
                  <w:tcW w:w="1983" w:type="dxa"/>
                  <w:tcBorders>
                    <w:tl2br w:val="nil"/>
                    <w:tr2bl w:val="nil"/>
                  </w:tcBorders>
                  <w:shd w:val="clear" w:color="auto" w:fill="auto"/>
                  <w:vAlign w:val="center"/>
                </w:tcPr>
                <w:p w14:paraId="5ACBB74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PAC储罐</w:t>
                  </w:r>
                </w:p>
              </w:tc>
              <w:tc>
                <w:tcPr>
                  <w:tcW w:w="3362" w:type="dxa"/>
                  <w:tcBorders>
                    <w:tl2br w:val="nil"/>
                    <w:tr2bl w:val="nil"/>
                  </w:tcBorders>
                  <w:shd w:val="clear" w:color="auto" w:fill="auto"/>
                  <w:vAlign w:val="center"/>
                </w:tcPr>
                <w:p w14:paraId="1B5A7961">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V=30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，PE材质</w:t>
                  </w:r>
                </w:p>
              </w:tc>
              <w:tc>
                <w:tcPr>
                  <w:tcW w:w="615" w:type="dxa"/>
                  <w:tcBorders>
                    <w:tl2br w:val="nil"/>
                    <w:tr2bl w:val="nil"/>
                  </w:tcBorders>
                  <w:shd w:val="clear" w:color="auto" w:fill="auto"/>
                  <w:vAlign w:val="center"/>
                </w:tcPr>
                <w:p w14:paraId="4590FC8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24D2A02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70BFE89A">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422CB8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1AF50A9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9.3</w:t>
                  </w:r>
                </w:p>
              </w:tc>
              <w:tc>
                <w:tcPr>
                  <w:tcW w:w="1983" w:type="dxa"/>
                  <w:tcBorders>
                    <w:tl2br w:val="nil"/>
                    <w:tr2bl w:val="nil"/>
                  </w:tcBorders>
                  <w:shd w:val="clear" w:color="auto" w:fill="auto"/>
                  <w:vAlign w:val="center"/>
                </w:tcPr>
                <w:p w14:paraId="412A1993">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PAC加药计量泵</w:t>
                  </w:r>
                </w:p>
              </w:tc>
              <w:tc>
                <w:tcPr>
                  <w:tcW w:w="3362" w:type="dxa"/>
                  <w:tcBorders>
                    <w:tl2br w:val="nil"/>
                    <w:tr2bl w:val="nil"/>
                  </w:tcBorders>
                  <w:shd w:val="clear" w:color="auto" w:fill="auto"/>
                  <w:vAlign w:val="center"/>
                </w:tcPr>
                <w:p w14:paraId="1AEF7854">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Q=200L/h，P=7bar，N=0.25kW</w:t>
                  </w:r>
                </w:p>
              </w:tc>
              <w:tc>
                <w:tcPr>
                  <w:tcW w:w="615" w:type="dxa"/>
                  <w:tcBorders>
                    <w:tl2br w:val="nil"/>
                    <w:tr2bl w:val="nil"/>
                  </w:tcBorders>
                  <w:shd w:val="clear" w:color="auto" w:fill="auto"/>
                  <w:vAlign w:val="center"/>
                </w:tcPr>
                <w:p w14:paraId="70C35CF8">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6B061D2A">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372F48F1">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4E5A82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E2A0D91">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9.4</w:t>
                  </w:r>
                </w:p>
              </w:tc>
              <w:tc>
                <w:tcPr>
                  <w:tcW w:w="1983" w:type="dxa"/>
                  <w:tcBorders>
                    <w:tl2br w:val="nil"/>
                    <w:tr2bl w:val="nil"/>
                  </w:tcBorders>
                  <w:shd w:val="clear" w:color="auto" w:fill="auto"/>
                  <w:vAlign w:val="center"/>
                </w:tcPr>
                <w:p w14:paraId="115DC8EA">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加药装置</w:t>
                  </w:r>
                </w:p>
              </w:tc>
              <w:tc>
                <w:tcPr>
                  <w:tcW w:w="3362" w:type="dxa"/>
                  <w:tcBorders>
                    <w:tl2br w:val="nil"/>
                    <w:tr2bl w:val="nil"/>
                  </w:tcBorders>
                  <w:shd w:val="clear" w:color="auto" w:fill="auto"/>
                  <w:vAlign w:val="center"/>
                </w:tcPr>
                <w:p w14:paraId="48190DB3">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1460mm×1260mm×1800</w:t>
                  </w:r>
                  <w:r>
                    <w:rPr>
                      <w:rFonts w:hint="eastAsia" w:cs="Times New Roman"/>
                      <w:color w:val="auto"/>
                      <w:sz w:val="21"/>
                      <w:szCs w:val="21"/>
                      <w:lang w:val="en-US" w:eastAsia="zh-CN"/>
                    </w:rPr>
                    <w:t>mm</w:t>
                  </w:r>
                </w:p>
              </w:tc>
              <w:tc>
                <w:tcPr>
                  <w:tcW w:w="615" w:type="dxa"/>
                  <w:tcBorders>
                    <w:tl2br w:val="nil"/>
                    <w:tr2bl w:val="nil"/>
                  </w:tcBorders>
                  <w:shd w:val="clear" w:color="auto" w:fill="auto"/>
                  <w:vAlign w:val="center"/>
                </w:tcPr>
                <w:p w14:paraId="6C49AAF6">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555" w:type="dxa"/>
                  <w:tcBorders>
                    <w:tl2br w:val="nil"/>
                    <w:tr2bl w:val="nil"/>
                  </w:tcBorders>
                  <w:shd w:val="clear" w:color="auto" w:fill="auto"/>
                  <w:vAlign w:val="center"/>
                </w:tcPr>
                <w:p w14:paraId="424EB83E">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49806F22">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0A8B3F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2FC9624F">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9.5</w:t>
                  </w:r>
                </w:p>
              </w:tc>
              <w:tc>
                <w:tcPr>
                  <w:tcW w:w="1983" w:type="dxa"/>
                  <w:tcBorders>
                    <w:tl2br w:val="nil"/>
                    <w:tr2bl w:val="nil"/>
                  </w:tcBorders>
                  <w:shd w:val="clear" w:color="auto" w:fill="auto"/>
                  <w:vAlign w:val="center"/>
                </w:tcPr>
                <w:p w14:paraId="320CAC51">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PAM储罐</w:t>
                  </w:r>
                </w:p>
              </w:tc>
              <w:tc>
                <w:tcPr>
                  <w:tcW w:w="3362" w:type="dxa"/>
                  <w:tcBorders>
                    <w:tl2br w:val="nil"/>
                    <w:tr2bl w:val="nil"/>
                  </w:tcBorders>
                  <w:shd w:val="clear" w:color="auto" w:fill="auto"/>
                  <w:vAlign w:val="center"/>
                </w:tcPr>
                <w:p w14:paraId="332E74F7">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V=30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，PE材质</w:t>
                  </w:r>
                </w:p>
              </w:tc>
              <w:tc>
                <w:tcPr>
                  <w:tcW w:w="615" w:type="dxa"/>
                  <w:tcBorders>
                    <w:tl2br w:val="nil"/>
                    <w:tr2bl w:val="nil"/>
                  </w:tcBorders>
                  <w:shd w:val="clear" w:color="auto" w:fill="auto"/>
                  <w:vAlign w:val="center"/>
                </w:tcPr>
                <w:p w14:paraId="73A304A3">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35D9B90A">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478673D8">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39D81D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70C26BDF">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9.6</w:t>
                  </w:r>
                </w:p>
              </w:tc>
              <w:tc>
                <w:tcPr>
                  <w:tcW w:w="1983" w:type="dxa"/>
                  <w:tcBorders>
                    <w:tl2br w:val="nil"/>
                    <w:tr2bl w:val="nil"/>
                  </w:tcBorders>
                  <w:shd w:val="clear" w:color="auto" w:fill="auto"/>
                  <w:vAlign w:val="center"/>
                </w:tcPr>
                <w:p w14:paraId="01B8E6FF">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PAM加药计量泵</w:t>
                  </w:r>
                </w:p>
              </w:tc>
              <w:tc>
                <w:tcPr>
                  <w:tcW w:w="3362" w:type="dxa"/>
                  <w:tcBorders>
                    <w:tl2br w:val="nil"/>
                    <w:tr2bl w:val="nil"/>
                  </w:tcBorders>
                  <w:shd w:val="clear" w:color="auto" w:fill="auto"/>
                  <w:vAlign w:val="center"/>
                </w:tcPr>
                <w:p w14:paraId="0664B034">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Q=200L/h，P=7bar，N=0.25kW</w:t>
                  </w:r>
                </w:p>
              </w:tc>
              <w:tc>
                <w:tcPr>
                  <w:tcW w:w="615" w:type="dxa"/>
                  <w:tcBorders>
                    <w:tl2br w:val="nil"/>
                    <w:tr2bl w:val="nil"/>
                  </w:tcBorders>
                  <w:shd w:val="clear" w:color="auto" w:fill="auto"/>
                  <w:vAlign w:val="center"/>
                </w:tcPr>
                <w:p w14:paraId="72C9A8F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6F29382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704B24B5">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3587E0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591D8C4F">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10</w:t>
                  </w:r>
                </w:p>
              </w:tc>
              <w:tc>
                <w:tcPr>
                  <w:tcW w:w="7545" w:type="dxa"/>
                  <w:gridSpan w:val="5"/>
                  <w:tcBorders>
                    <w:tl2br w:val="nil"/>
                    <w:tr2bl w:val="nil"/>
                  </w:tcBorders>
                  <w:shd w:val="clear" w:color="auto" w:fill="auto"/>
                  <w:vAlign w:val="center"/>
                </w:tcPr>
                <w:p w14:paraId="44852082">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碳源投加间</w:t>
                  </w:r>
                </w:p>
              </w:tc>
            </w:tr>
            <w:tr w14:paraId="39FFAE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6C54B4F">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10.1</w:t>
                  </w:r>
                </w:p>
              </w:tc>
              <w:tc>
                <w:tcPr>
                  <w:tcW w:w="1983" w:type="dxa"/>
                  <w:tcBorders>
                    <w:tl2br w:val="nil"/>
                    <w:tr2bl w:val="nil"/>
                  </w:tcBorders>
                  <w:shd w:val="clear" w:color="auto" w:fill="auto"/>
                  <w:vAlign w:val="center"/>
                </w:tcPr>
                <w:p w14:paraId="495CCC00">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搅拌器</w:t>
                  </w:r>
                </w:p>
              </w:tc>
              <w:tc>
                <w:tcPr>
                  <w:tcW w:w="3362" w:type="dxa"/>
                  <w:tcBorders>
                    <w:tl2br w:val="nil"/>
                    <w:tr2bl w:val="nil"/>
                  </w:tcBorders>
                  <w:shd w:val="clear" w:color="auto" w:fill="auto"/>
                  <w:vAlign w:val="center"/>
                </w:tcPr>
                <w:p w14:paraId="5D7C1C8C">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D=0.8</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r>
                    <w:rPr>
                      <w:rFonts w:hint="default" w:ascii="Times New Roman" w:hAnsi="Times New Roman" w:cs="Times New Roman"/>
                      <w:color w:val="auto"/>
                      <w:sz w:val="21"/>
                      <w:szCs w:val="21"/>
                      <w:lang w:val="en-US" w:eastAsia="zh-CN"/>
                    </w:rPr>
                    <w:t>.2kW</w:t>
                  </w:r>
                </w:p>
              </w:tc>
              <w:tc>
                <w:tcPr>
                  <w:tcW w:w="615" w:type="dxa"/>
                  <w:tcBorders>
                    <w:tl2br w:val="nil"/>
                    <w:tr2bl w:val="nil"/>
                  </w:tcBorders>
                  <w:shd w:val="clear" w:color="auto" w:fill="auto"/>
                  <w:vAlign w:val="center"/>
                </w:tcPr>
                <w:p w14:paraId="3429D89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3A9FCD97">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5D900527">
                  <w:pPr>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更换</w:t>
                  </w:r>
                </w:p>
              </w:tc>
            </w:tr>
            <w:tr w14:paraId="780A3D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6144CA16">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10.2</w:t>
                  </w:r>
                </w:p>
              </w:tc>
              <w:tc>
                <w:tcPr>
                  <w:tcW w:w="1983" w:type="dxa"/>
                  <w:tcBorders>
                    <w:tl2br w:val="nil"/>
                    <w:tr2bl w:val="nil"/>
                  </w:tcBorders>
                  <w:shd w:val="clear" w:color="auto" w:fill="auto"/>
                  <w:vAlign w:val="center"/>
                </w:tcPr>
                <w:p w14:paraId="2EF14D1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隔膜计量泵</w:t>
                  </w:r>
                </w:p>
              </w:tc>
              <w:tc>
                <w:tcPr>
                  <w:tcW w:w="3362" w:type="dxa"/>
                  <w:tcBorders>
                    <w:tl2br w:val="nil"/>
                    <w:tr2bl w:val="nil"/>
                  </w:tcBorders>
                  <w:shd w:val="clear" w:color="auto" w:fill="auto"/>
                  <w:vAlign w:val="center"/>
                </w:tcPr>
                <w:p w14:paraId="313BB3B0">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500L/h3bar1.1kW，2用1备</w:t>
                  </w:r>
                </w:p>
              </w:tc>
              <w:tc>
                <w:tcPr>
                  <w:tcW w:w="615" w:type="dxa"/>
                  <w:tcBorders>
                    <w:tl2br w:val="nil"/>
                    <w:tr2bl w:val="nil"/>
                  </w:tcBorders>
                  <w:shd w:val="clear" w:color="auto" w:fill="auto"/>
                  <w:vAlign w:val="center"/>
                </w:tcPr>
                <w:p w14:paraId="17BE2337">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555" w:type="dxa"/>
                  <w:tcBorders>
                    <w:tl2br w:val="nil"/>
                    <w:tr2bl w:val="nil"/>
                  </w:tcBorders>
                  <w:shd w:val="clear" w:color="auto" w:fill="auto"/>
                  <w:vAlign w:val="center"/>
                </w:tcPr>
                <w:p w14:paraId="76FFBCF8">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45A4962F">
                  <w:pPr>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更换</w:t>
                  </w:r>
                </w:p>
              </w:tc>
            </w:tr>
            <w:tr w14:paraId="62882A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086984F9">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11</w:t>
                  </w:r>
                </w:p>
              </w:tc>
              <w:tc>
                <w:tcPr>
                  <w:tcW w:w="7545" w:type="dxa"/>
                  <w:gridSpan w:val="5"/>
                  <w:tcBorders>
                    <w:tl2br w:val="nil"/>
                    <w:tr2bl w:val="nil"/>
                  </w:tcBorders>
                  <w:shd w:val="clear" w:color="auto" w:fill="auto"/>
                  <w:vAlign w:val="center"/>
                </w:tcPr>
                <w:p w14:paraId="3BE73554">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鼓风机房</w:t>
                  </w:r>
                </w:p>
              </w:tc>
            </w:tr>
            <w:tr w14:paraId="212FD6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6796B9A0">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11.1</w:t>
                  </w:r>
                </w:p>
              </w:tc>
              <w:tc>
                <w:tcPr>
                  <w:tcW w:w="1983" w:type="dxa"/>
                  <w:tcBorders>
                    <w:tl2br w:val="nil"/>
                    <w:tr2bl w:val="nil"/>
                  </w:tcBorders>
                  <w:shd w:val="clear" w:color="auto" w:fill="auto"/>
                  <w:vAlign w:val="center"/>
                </w:tcPr>
                <w:p w14:paraId="20CE3D42">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空浮风机</w:t>
                  </w:r>
                </w:p>
              </w:tc>
              <w:tc>
                <w:tcPr>
                  <w:tcW w:w="3362" w:type="dxa"/>
                  <w:tcBorders>
                    <w:tl2br w:val="nil"/>
                    <w:tr2bl w:val="nil"/>
                  </w:tcBorders>
                  <w:shd w:val="clear" w:color="auto" w:fill="auto"/>
                  <w:vAlign w:val="center"/>
                </w:tcPr>
                <w:p w14:paraId="4AFC39C7">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Q=33.69</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in，P=0.06MPa，N=45kW</w:t>
                  </w:r>
                </w:p>
              </w:tc>
              <w:tc>
                <w:tcPr>
                  <w:tcW w:w="615" w:type="dxa"/>
                  <w:tcBorders>
                    <w:tl2br w:val="nil"/>
                    <w:tr2bl w:val="nil"/>
                  </w:tcBorders>
                  <w:shd w:val="clear" w:color="auto" w:fill="auto"/>
                  <w:vAlign w:val="center"/>
                </w:tcPr>
                <w:p w14:paraId="0A2A4F88">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w:t>
                  </w:r>
                </w:p>
              </w:tc>
              <w:tc>
                <w:tcPr>
                  <w:tcW w:w="555" w:type="dxa"/>
                  <w:tcBorders>
                    <w:tl2br w:val="nil"/>
                    <w:tr2bl w:val="nil"/>
                  </w:tcBorders>
                  <w:shd w:val="clear" w:color="auto" w:fill="auto"/>
                  <w:vAlign w:val="center"/>
                </w:tcPr>
                <w:p w14:paraId="0C2733A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48E28F43">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1D517C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E2C047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11.2</w:t>
                  </w:r>
                </w:p>
              </w:tc>
              <w:tc>
                <w:tcPr>
                  <w:tcW w:w="1983" w:type="dxa"/>
                  <w:tcBorders>
                    <w:tl2br w:val="nil"/>
                    <w:tr2bl w:val="nil"/>
                  </w:tcBorders>
                  <w:shd w:val="clear" w:color="auto" w:fill="auto"/>
                  <w:vAlign w:val="center"/>
                </w:tcPr>
                <w:p w14:paraId="007A4B9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手动单梁起重机</w:t>
                  </w:r>
                </w:p>
              </w:tc>
              <w:tc>
                <w:tcPr>
                  <w:tcW w:w="3362" w:type="dxa"/>
                  <w:tcBorders>
                    <w:tl2br w:val="nil"/>
                    <w:tr2bl w:val="nil"/>
                  </w:tcBorders>
                  <w:shd w:val="clear" w:color="auto" w:fill="auto"/>
                  <w:vAlign w:val="center"/>
                </w:tcPr>
                <w:p w14:paraId="110F0B6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T=1.0t</w:t>
                  </w:r>
                </w:p>
              </w:tc>
              <w:tc>
                <w:tcPr>
                  <w:tcW w:w="615" w:type="dxa"/>
                  <w:tcBorders>
                    <w:tl2br w:val="nil"/>
                    <w:tr2bl w:val="nil"/>
                  </w:tcBorders>
                  <w:shd w:val="clear" w:color="auto" w:fill="auto"/>
                  <w:vAlign w:val="center"/>
                </w:tcPr>
                <w:p w14:paraId="3990014F">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1.00</w:t>
                  </w:r>
                </w:p>
              </w:tc>
              <w:tc>
                <w:tcPr>
                  <w:tcW w:w="555" w:type="dxa"/>
                  <w:tcBorders>
                    <w:tl2br w:val="nil"/>
                    <w:tr2bl w:val="nil"/>
                  </w:tcBorders>
                  <w:shd w:val="clear" w:color="auto" w:fill="auto"/>
                  <w:vAlign w:val="center"/>
                </w:tcPr>
                <w:p w14:paraId="51A0A1DA">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283E7E49">
                  <w:pPr>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更换</w:t>
                  </w:r>
                </w:p>
              </w:tc>
            </w:tr>
            <w:tr w14:paraId="680756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09B4831D">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12</w:t>
                  </w:r>
                </w:p>
              </w:tc>
              <w:tc>
                <w:tcPr>
                  <w:tcW w:w="7545" w:type="dxa"/>
                  <w:gridSpan w:val="5"/>
                  <w:tcBorders>
                    <w:tl2br w:val="nil"/>
                    <w:tr2bl w:val="nil"/>
                  </w:tcBorders>
                  <w:shd w:val="clear" w:color="auto" w:fill="auto"/>
                  <w:vAlign w:val="center"/>
                </w:tcPr>
                <w:p w14:paraId="76D6A064">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一体化污水提升泵站</w:t>
                  </w:r>
                </w:p>
              </w:tc>
            </w:tr>
            <w:tr w14:paraId="5253AD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3FD8FFC8">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12.1</w:t>
                  </w:r>
                </w:p>
              </w:tc>
              <w:tc>
                <w:tcPr>
                  <w:tcW w:w="1983" w:type="dxa"/>
                  <w:tcBorders>
                    <w:tl2br w:val="nil"/>
                    <w:tr2bl w:val="nil"/>
                  </w:tcBorders>
                  <w:shd w:val="clear" w:color="auto" w:fill="auto"/>
                  <w:vAlign w:val="center"/>
                </w:tcPr>
                <w:p w14:paraId="25B03DDF">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离心泵</w:t>
                  </w:r>
                </w:p>
              </w:tc>
              <w:tc>
                <w:tcPr>
                  <w:tcW w:w="3362" w:type="dxa"/>
                  <w:tcBorders>
                    <w:tl2br w:val="nil"/>
                    <w:tr2bl w:val="nil"/>
                  </w:tcBorders>
                  <w:shd w:val="clear" w:color="auto" w:fill="auto"/>
                  <w:vAlign w:val="center"/>
                </w:tcPr>
                <w:p w14:paraId="3B6835DA">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215</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/h@20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，35kW，2用1备</w:t>
                  </w:r>
                </w:p>
              </w:tc>
              <w:tc>
                <w:tcPr>
                  <w:tcW w:w="615" w:type="dxa"/>
                  <w:tcBorders>
                    <w:tl2br w:val="nil"/>
                    <w:tr2bl w:val="nil"/>
                  </w:tcBorders>
                  <w:shd w:val="clear" w:color="auto" w:fill="auto"/>
                  <w:vAlign w:val="center"/>
                </w:tcPr>
                <w:p w14:paraId="5A938E5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w:t>
                  </w:r>
                </w:p>
              </w:tc>
              <w:tc>
                <w:tcPr>
                  <w:tcW w:w="555" w:type="dxa"/>
                  <w:tcBorders>
                    <w:tl2br w:val="nil"/>
                    <w:tr2bl w:val="nil"/>
                  </w:tcBorders>
                  <w:shd w:val="clear" w:color="auto" w:fill="auto"/>
                  <w:vAlign w:val="center"/>
                </w:tcPr>
                <w:p w14:paraId="2D3FCB4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2394A518">
                  <w:pPr>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更换</w:t>
                  </w:r>
                </w:p>
              </w:tc>
            </w:tr>
            <w:tr w14:paraId="1AA529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1ECE3C31">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13</w:t>
                  </w:r>
                </w:p>
              </w:tc>
              <w:tc>
                <w:tcPr>
                  <w:tcW w:w="7545" w:type="dxa"/>
                  <w:gridSpan w:val="5"/>
                  <w:tcBorders>
                    <w:tl2br w:val="nil"/>
                    <w:tr2bl w:val="nil"/>
                  </w:tcBorders>
                  <w:shd w:val="clear" w:color="auto" w:fill="auto"/>
                  <w:vAlign w:val="center"/>
                </w:tcPr>
                <w:p w14:paraId="41021BDE">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除臭设备</w:t>
                  </w:r>
                </w:p>
              </w:tc>
            </w:tr>
            <w:tr w14:paraId="609400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11743CD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13.1</w:t>
                  </w:r>
                </w:p>
              </w:tc>
              <w:tc>
                <w:tcPr>
                  <w:tcW w:w="1983" w:type="dxa"/>
                  <w:tcBorders>
                    <w:tl2br w:val="nil"/>
                    <w:tr2bl w:val="nil"/>
                  </w:tcBorders>
                  <w:shd w:val="clear" w:color="auto" w:fill="auto"/>
                  <w:vAlign w:val="center"/>
                </w:tcPr>
                <w:p w14:paraId="61618371">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微生物培养箱</w:t>
                  </w:r>
                </w:p>
              </w:tc>
              <w:tc>
                <w:tcPr>
                  <w:tcW w:w="3362" w:type="dxa"/>
                  <w:tcBorders>
                    <w:tl2br w:val="nil"/>
                    <w:tr2bl w:val="nil"/>
                  </w:tcBorders>
                  <w:shd w:val="clear" w:color="auto" w:fill="auto"/>
                  <w:vAlign w:val="center"/>
                </w:tcPr>
                <w:p w14:paraId="0ED1676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*1</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*0.8</w:t>
                  </w:r>
                  <w:r>
                    <w:rPr>
                      <w:rFonts w:hint="eastAsia" w:cs="Times New Roman"/>
                      <w:color w:val="auto"/>
                      <w:sz w:val="21"/>
                      <w:szCs w:val="21"/>
                      <w:lang w:val="en-US" w:eastAsia="zh-CN"/>
                    </w:rPr>
                    <w:t>m</w:t>
                  </w:r>
                </w:p>
              </w:tc>
              <w:tc>
                <w:tcPr>
                  <w:tcW w:w="615" w:type="dxa"/>
                  <w:tcBorders>
                    <w:tl2br w:val="nil"/>
                    <w:tr2bl w:val="nil"/>
                  </w:tcBorders>
                  <w:shd w:val="clear" w:color="auto" w:fill="auto"/>
                  <w:vAlign w:val="center"/>
                </w:tcPr>
                <w:p w14:paraId="06CD9F6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w:t>
                  </w:r>
                </w:p>
              </w:tc>
              <w:tc>
                <w:tcPr>
                  <w:tcW w:w="555" w:type="dxa"/>
                  <w:tcBorders>
                    <w:tl2br w:val="nil"/>
                    <w:tr2bl w:val="nil"/>
                  </w:tcBorders>
                  <w:shd w:val="clear" w:color="auto" w:fill="auto"/>
                  <w:vAlign w:val="center"/>
                </w:tcPr>
                <w:p w14:paraId="5738212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64BABD22">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60A981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8A008B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13.2</w:t>
                  </w:r>
                </w:p>
              </w:tc>
              <w:tc>
                <w:tcPr>
                  <w:tcW w:w="1983" w:type="dxa"/>
                  <w:tcBorders>
                    <w:tl2br w:val="nil"/>
                    <w:tr2bl w:val="nil"/>
                  </w:tcBorders>
                  <w:shd w:val="clear" w:color="auto" w:fill="auto"/>
                  <w:vAlign w:val="center"/>
                </w:tcPr>
                <w:p w14:paraId="11E407C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给排水管路</w:t>
                  </w:r>
                </w:p>
              </w:tc>
              <w:tc>
                <w:tcPr>
                  <w:tcW w:w="3362" w:type="dxa"/>
                  <w:tcBorders>
                    <w:tl2br w:val="nil"/>
                    <w:tr2bl w:val="nil"/>
                  </w:tcBorders>
                  <w:shd w:val="clear" w:color="auto" w:fill="auto"/>
                  <w:vAlign w:val="center"/>
                </w:tcPr>
                <w:p w14:paraId="7E6965F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内含管件，法兰，电伴热+橡塑棉+铝箔胶带保温，管道支架</w:t>
                  </w:r>
                </w:p>
              </w:tc>
              <w:tc>
                <w:tcPr>
                  <w:tcW w:w="615" w:type="dxa"/>
                  <w:tcBorders>
                    <w:tl2br w:val="nil"/>
                    <w:tr2bl w:val="nil"/>
                  </w:tcBorders>
                  <w:shd w:val="clear" w:color="auto" w:fill="auto"/>
                  <w:vAlign w:val="center"/>
                </w:tcPr>
                <w:p w14:paraId="5ADEB4A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22E5AF31">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63B0859C">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3DFF1F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00BF2C74">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13.3</w:t>
                  </w:r>
                </w:p>
              </w:tc>
              <w:tc>
                <w:tcPr>
                  <w:tcW w:w="1983" w:type="dxa"/>
                  <w:tcBorders>
                    <w:tl2br w:val="nil"/>
                    <w:tr2bl w:val="nil"/>
                  </w:tcBorders>
                  <w:shd w:val="clear" w:color="auto" w:fill="auto"/>
                  <w:vAlign w:val="center"/>
                </w:tcPr>
                <w:p w14:paraId="4894C93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控制柜</w:t>
                  </w:r>
                </w:p>
              </w:tc>
              <w:tc>
                <w:tcPr>
                  <w:tcW w:w="3362" w:type="dxa"/>
                  <w:tcBorders>
                    <w:tl2br w:val="nil"/>
                    <w:tr2bl w:val="nil"/>
                  </w:tcBorders>
                  <w:shd w:val="clear" w:color="auto" w:fill="auto"/>
                  <w:vAlign w:val="center"/>
                </w:tcPr>
                <w:p w14:paraId="39589AB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PLC，户外型，7寸触摸屏</w:t>
                  </w:r>
                </w:p>
              </w:tc>
              <w:tc>
                <w:tcPr>
                  <w:tcW w:w="615" w:type="dxa"/>
                  <w:tcBorders>
                    <w:tl2br w:val="nil"/>
                    <w:tr2bl w:val="nil"/>
                  </w:tcBorders>
                  <w:shd w:val="clear" w:color="auto" w:fill="auto"/>
                  <w:vAlign w:val="center"/>
                </w:tcPr>
                <w:p w14:paraId="77D4F9B1">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150ACF6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124C1C47">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1F4257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57B93A97">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14</w:t>
                  </w:r>
                </w:p>
              </w:tc>
              <w:tc>
                <w:tcPr>
                  <w:tcW w:w="7545" w:type="dxa"/>
                  <w:gridSpan w:val="5"/>
                  <w:tcBorders>
                    <w:tl2br w:val="nil"/>
                    <w:tr2bl w:val="nil"/>
                  </w:tcBorders>
                  <w:shd w:val="clear" w:color="auto" w:fill="auto"/>
                  <w:vAlign w:val="center"/>
                </w:tcPr>
                <w:p w14:paraId="7E70F4CD">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深度脱氮间</w:t>
                  </w:r>
                </w:p>
              </w:tc>
            </w:tr>
            <w:tr w14:paraId="1E8978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A0EC814">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14.1</w:t>
                  </w:r>
                </w:p>
              </w:tc>
              <w:tc>
                <w:tcPr>
                  <w:tcW w:w="1983" w:type="dxa"/>
                  <w:tcBorders>
                    <w:tl2br w:val="nil"/>
                    <w:tr2bl w:val="nil"/>
                  </w:tcBorders>
                  <w:shd w:val="clear" w:color="auto" w:fill="auto"/>
                  <w:vAlign w:val="center"/>
                </w:tcPr>
                <w:p w14:paraId="2B03EBC1">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布气布水装置</w:t>
                  </w:r>
                </w:p>
              </w:tc>
              <w:tc>
                <w:tcPr>
                  <w:tcW w:w="3362" w:type="dxa"/>
                  <w:tcBorders>
                    <w:tl2br w:val="nil"/>
                    <w:tr2bl w:val="nil"/>
                  </w:tcBorders>
                  <w:shd w:val="clear" w:color="auto" w:fill="auto"/>
                  <w:vAlign w:val="center"/>
                </w:tcPr>
                <w:p w14:paraId="62FB707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包括滤砖、布气主管、支管、集水渠及盖板等</w:t>
                  </w:r>
                </w:p>
              </w:tc>
              <w:tc>
                <w:tcPr>
                  <w:tcW w:w="615" w:type="dxa"/>
                  <w:tcBorders>
                    <w:tl2br w:val="nil"/>
                    <w:tr2bl w:val="nil"/>
                  </w:tcBorders>
                  <w:shd w:val="clear" w:color="auto" w:fill="auto"/>
                  <w:vAlign w:val="center"/>
                </w:tcPr>
                <w:p w14:paraId="473E565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566537C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组</w:t>
                  </w:r>
                </w:p>
              </w:tc>
              <w:tc>
                <w:tcPr>
                  <w:tcW w:w="1030" w:type="dxa"/>
                  <w:tcBorders>
                    <w:tl2br w:val="nil"/>
                    <w:tr2bl w:val="nil"/>
                  </w:tcBorders>
                  <w:shd w:val="clear" w:color="auto" w:fill="auto"/>
                  <w:vAlign w:val="center"/>
                </w:tcPr>
                <w:p w14:paraId="76E8C386">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58D848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2223EDA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14.2</w:t>
                  </w:r>
                </w:p>
              </w:tc>
              <w:tc>
                <w:tcPr>
                  <w:tcW w:w="1983" w:type="dxa"/>
                  <w:tcBorders>
                    <w:tl2br w:val="nil"/>
                    <w:tr2bl w:val="nil"/>
                  </w:tcBorders>
                  <w:shd w:val="clear" w:color="auto" w:fill="auto"/>
                  <w:vAlign w:val="center"/>
                </w:tcPr>
                <w:p w14:paraId="62EF4B2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滤料</w:t>
                  </w:r>
                </w:p>
              </w:tc>
              <w:tc>
                <w:tcPr>
                  <w:tcW w:w="3362" w:type="dxa"/>
                  <w:tcBorders>
                    <w:tl2br w:val="nil"/>
                    <w:tr2bl w:val="nil"/>
                  </w:tcBorders>
                  <w:shd w:val="clear" w:color="auto" w:fill="auto"/>
                  <w:vAlign w:val="center"/>
                </w:tcPr>
                <w:p w14:paraId="60CC437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SDAD反硝化滤料，滤料厚度1.85</w:t>
                  </w:r>
                  <w:r>
                    <w:rPr>
                      <w:rFonts w:hint="eastAsia" w:cs="Times New Roman"/>
                      <w:color w:val="auto"/>
                      <w:sz w:val="21"/>
                      <w:szCs w:val="21"/>
                      <w:lang w:val="en-US" w:eastAsia="zh-CN"/>
                    </w:rPr>
                    <w:t>m</w:t>
                  </w:r>
                </w:p>
              </w:tc>
              <w:tc>
                <w:tcPr>
                  <w:tcW w:w="615" w:type="dxa"/>
                  <w:tcBorders>
                    <w:tl2br w:val="nil"/>
                    <w:tr2bl w:val="nil"/>
                  </w:tcBorders>
                  <w:shd w:val="clear" w:color="auto" w:fill="auto"/>
                  <w:vAlign w:val="center"/>
                </w:tcPr>
                <w:p w14:paraId="27DAE31F">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250</w:t>
                  </w:r>
                </w:p>
              </w:tc>
              <w:tc>
                <w:tcPr>
                  <w:tcW w:w="555" w:type="dxa"/>
                  <w:tcBorders>
                    <w:tl2br w:val="nil"/>
                    <w:tr2bl w:val="nil"/>
                  </w:tcBorders>
                  <w:shd w:val="clear" w:color="auto" w:fill="auto"/>
                  <w:vAlign w:val="center"/>
                </w:tcPr>
                <w:p w14:paraId="3322A050">
                  <w:pPr>
                    <w:pStyle w:val="15"/>
                    <w:bidi w:val="0"/>
                    <w:rPr>
                      <w:rFonts w:hint="default" w:ascii="Times New Roman" w:hAnsi="Times New Roman" w:cs="Times New Roman"/>
                      <w:color w:val="auto"/>
                      <w:sz w:val="21"/>
                      <w:szCs w:val="21"/>
                      <w:lang w:val="en-US" w:eastAsia="zh-CN"/>
                    </w:rPr>
                  </w:pP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p>
              </w:tc>
              <w:tc>
                <w:tcPr>
                  <w:tcW w:w="1030" w:type="dxa"/>
                  <w:tcBorders>
                    <w:tl2br w:val="nil"/>
                    <w:tr2bl w:val="nil"/>
                  </w:tcBorders>
                  <w:shd w:val="clear" w:color="auto" w:fill="auto"/>
                  <w:vAlign w:val="center"/>
                </w:tcPr>
                <w:p w14:paraId="0033A239">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65FA0F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5941BE9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14.3</w:t>
                  </w:r>
                </w:p>
              </w:tc>
              <w:tc>
                <w:tcPr>
                  <w:tcW w:w="1983" w:type="dxa"/>
                  <w:tcBorders>
                    <w:tl2br w:val="nil"/>
                    <w:tr2bl w:val="nil"/>
                  </w:tcBorders>
                  <w:shd w:val="clear" w:color="auto" w:fill="auto"/>
                  <w:vAlign w:val="center"/>
                </w:tcPr>
                <w:p w14:paraId="7DE7E43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卵石垫层</w:t>
                  </w:r>
                </w:p>
              </w:tc>
              <w:tc>
                <w:tcPr>
                  <w:tcW w:w="3362" w:type="dxa"/>
                  <w:tcBorders>
                    <w:tl2br w:val="nil"/>
                    <w:tr2bl w:val="nil"/>
                  </w:tcBorders>
                  <w:shd w:val="clear" w:color="auto" w:fill="auto"/>
                  <w:vAlign w:val="center"/>
                </w:tcPr>
                <w:p w14:paraId="69DFDDE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3~38</w:t>
                  </w:r>
                  <w:r>
                    <w:rPr>
                      <w:rFonts w:hint="eastAsia" w:cs="Times New Roman"/>
                      <w:color w:val="auto"/>
                      <w:sz w:val="21"/>
                      <w:szCs w:val="21"/>
                      <w:lang w:val="en-US" w:eastAsia="zh-CN"/>
                    </w:rPr>
                    <w:t>mm</w:t>
                  </w:r>
                  <w:r>
                    <w:rPr>
                      <w:rFonts w:hint="default" w:ascii="Times New Roman" w:hAnsi="Times New Roman" w:cs="Times New Roman"/>
                      <w:color w:val="auto"/>
                      <w:sz w:val="21"/>
                      <w:szCs w:val="21"/>
                      <w:lang w:val="en-US" w:eastAsia="zh-CN"/>
                    </w:rPr>
                    <w:t>鹅卵石，H=0.46</w:t>
                  </w:r>
                  <w:r>
                    <w:rPr>
                      <w:rFonts w:hint="eastAsia" w:cs="Times New Roman"/>
                      <w:color w:val="auto"/>
                      <w:sz w:val="21"/>
                      <w:szCs w:val="21"/>
                      <w:lang w:val="en-US" w:eastAsia="zh-CN"/>
                    </w:rPr>
                    <w:t>m</w:t>
                  </w:r>
                </w:p>
              </w:tc>
              <w:tc>
                <w:tcPr>
                  <w:tcW w:w="615" w:type="dxa"/>
                  <w:tcBorders>
                    <w:tl2br w:val="nil"/>
                    <w:tr2bl w:val="nil"/>
                  </w:tcBorders>
                  <w:shd w:val="clear" w:color="auto" w:fill="auto"/>
                  <w:vAlign w:val="center"/>
                </w:tcPr>
                <w:p w14:paraId="391DDF1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20</w:t>
                  </w:r>
                </w:p>
              </w:tc>
              <w:tc>
                <w:tcPr>
                  <w:tcW w:w="555" w:type="dxa"/>
                  <w:tcBorders>
                    <w:tl2br w:val="nil"/>
                    <w:tr2bl w:val="nil"/>
                  </w:tcBorders>
                  <w:shd w:val="clear" w:color="auto" w:fill="auto"/>
                  <w:vAlign w:val="center"/>
                </w:tcPr>
                <w:p w14:paraId="4CC56937">
                  <w:pPr>
                    <w:pStyle w:val="15"/>
                    <w:bidi w:val="0"/>
                    <w:rPr>
                      <w:rFonts w:hint="default" w:ascii="Times New Roman" w:hAnsi="Times New Roman" w:cs="Times New Roman"/>
                      <w:color w:val="auto"/>
                      <w:sz w:val="21"/>
                      <w:szCs w:val="21"/>
                      <w:lang w:val="en-US" w:eastAsia="zh-CN"/>
                    </w:rPr>
                  </w:pP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p>
              </w:tc>
              <w:tc>
                <w:tcPr>
                  <w:tcW w:w="1030" w:type="dxa"/>
                  <w:tcBorders>
                    <w:tl2br w:val="nil"/>
                    <w:tr2bl w:val="nil"/>
                  </w:tcBorders>
                  <w:shd w:val="clear" w:color="auto" w:fill="auto"/>
                  <w:vAlign w:val="center"/>
                </w:tcPr>
                <w:p w14:paraId="723BD152">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0838BF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E42AF3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14.4</w:t>
                  </w:r>
                </w:p>
              </w:tc>
              <w:tc>
                <w:tcPr>
                  <w:tcW w:w="1983" w:type="dxa"/>
                  <w:tcBorders>
                    <w:tl2br w:val="nil"/>
                    <w:tr2bl w:val="nil"/>
                  </w:tcBorders>
                  <w:shd w:val="clear" w:color="auto" w:fill="auto"/>
                  <w:vAlign w:val="center"/>
                </w:tcPr>
                <w:p w14:paraId="6C41A44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潜水泵</w:t>
                  </w:r>
                </w:p>
              </w:tc>
              <w:tc>
                <w:tcPr>
                  <w:tcW w:w="3362" w:type="dxa"/>
                  <w:tcBorders>
                    <w:tl2br w:val="nil"/>
                    <w:tr2bl w:val="nil"/>
                  </w:tcBorders>
                  <w:shd w:val="clear" w:color="auto" w:fill="auto"/>
                  <w:vAlign w:val="center"/>
                </w:tcPr>
                <w:p w14:paraId="31184A04">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Q=231</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/h，H=10.44</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，N=15kW</w:t>
                  </w:r>
                </w:p>
              </w:tc>
              <w:tc>
                <w:tcPr>
                  <w:tcW w:w="615" w:type="dxa"/>
                  <w:tcBorders>
                    <w:tl2br w:val="nil"/>
                    <w:tr2bl w:val="nil"/>
                  </w:tcBorders>
                  <w:shd w:val="clear" w:color="auto" w:fill="auto"/>
                  <w:vAlign w:val="center"/>
                </w:tcPr>
                <w:p w14:paraId="4F44A841">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16EE2BE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61601F3F">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474B2A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34B682A8">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14.5</w:t>
                  </w:r>
                </w:p>
              </w:tc>
              <w:tc>
                <w:tcPr>
                  <w:tcW w:w="1983" w:type="dxa"/>
                  <w:tcBorders>
                    <w:tl2br w:val="nil"/>
                    <w:tr2bl w:val="nil"/>
                  </w:tcBorders>
                  <w:shd w:val="clear" w:color="auto" w:fill="auto"/>
                  <w:vAlign w:val="center"/>
                </w:tcPr>
                <w:p w14:paraId="2021E9B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反洗罗茨风机</w:t>
                  </w:r>
                </w:p>
              </w:tc>
              <w:tc>
                <w:tcPr>
                  <w:tcW w:w="3362" w:type="dxa"/>
                  <w:tcBorders>
                    <w:tl2br w:val="nil"/>
                    <w:tr2bl w:val="nil"/>
                  </w:tcBorders>
                  <w:shd w:val="clear" w:color="auto" w:fill="auto"/>
                  <w:vAlign w:val="center"/>
                </w:tcPr>
                <w:p w14:paraId="1B3D017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Q=33.69</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in</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P=0.06MPa</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N=45kW</w:t>
                  </w:r>
                </w:p>
              </w:tc>
              <w:tc>
                <w:tcPr>
                  <w:tcW w:w="615" w:type="dxa"/>
                  <w:tcBorders>
                    <w:tl2br w:val="nil"/>
                    <w:tr2bl w:val="nil"/>
                  </w:tcBorders>
                  <w:shd w:val="clear" w:color="auto" w:fill="auto"/>
                  <w:vAlign w:val="center"/>
                </w:tcPr>
                <w:p w14:paraId="5C0E1D3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50F852E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3F7DC1E7">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184115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1080244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14.6</w:t>
                  </w:r>
                </w:p>
              </w:tc>
              <w:tc>
                <w:tcPr>
                  <w:tcW w:w="1983" w:type="dxa"/>
                  <w:tcBorders>
                    <w:tl2br w:val="nil"/>
                    <w:tr2bl w:val="nil"/>
                  </w:tcBorders>
                  <w:shd w:val="clear" w:color="auto" w:fill="auto"/>
                  <w:vAlign w:val="center"/>
                </w:tcPr>
                <w:p w14:paraId="14B2C6F8">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空压机</w:t>
                  </w:r>
                </w:p>
              </w:tc>
              <w:tc>
                <w:tcPr>
                  <w:tcW w:w="3362" w:type="dxa"/>
                  <w:tcBorders>
                    <w:tl2br w:val="nil"/>
                    <w:tr2bl w:val="nil"/>
                  </w:tcBorders>
                  <w:shd w:val="clear" w:color="auto" w:fill="auto"/>
                  <w:vAlign w:val="center"/>
                </w:tcPr>
                <w:p w14:paraId="29187AE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Q=15</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/h，P=0.7MPa，N=7.5kW</w:t>
                  </w:r>
                </w:p>
              </w:tc>
              <w:tc>
                <w:tcPr>
                  <w:tcW w:w="615" w:type="dxa"/>
                  <w:tcBorders>
                    <w:tl2br w:val="nil"/>
                    <w:tr2bl w:val="nil"/>
                  </w:tcBorders>
                  <w:shd w:val="clear" w:color="auto" w:fill="auto"/>
                  <w:vAlign w:val="center"/>
                </w:tcPr>
                <w:p w14:paraId="032B1A0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675A0AE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4480DC90">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596A03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1BFA0452">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14.7</w:t>
                  </w:r>
                </w:p>
              </w:tc>
              <w:tc>
                <w:tcPr>
                  <w:tcW w:w="1983" w:type="dxa"/>
                  <w:tcBorders>
                    <w:tl2br w:val="nil"/>
                    <w:tr2bl w:val="nil"/>
                  </w:tcBorders>
                  <w:shd w:val="clear" w:color="auto" w:fill="auto"/>
                  <w:vAlign w:val="center"/>
                </w:tcPr>
                <w:p w14:paraId="603537C8">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压缩空气系统组成元件</w:t>
                  </w:r>
                </w:p>
              </w:tc>
              <w:tc>
                <w:tcPr>
                  <w:tcW w:w="3362" w:type="dxa"/>
                  <w:tcBorders>
                    <w:tl2br w:val="nil"/>
                    <w:tr2bl w:val="nil"/>
                  </w:tcBorders>
                  <w:shd w:val="clear" w:color="auto" w:fill="auto"/>
                  <w:vAlign w:val="center"/>
                </w:tcPr>
                <w:p w14:paraId="01524BC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干燥器+前过滤器+后过滤器+冷干机</w:t>
                  </w:r>
                </w:p>
              </w:tc>
              <w:tc>
                <w:tcPr>
                  <w:tcW w:w="615" w:type="dxa"/>
                  <w:tcBorders>
                    <w:tl2br w:val="nil"/>
                    <w:tr2bl w:val="nil"/>
                  </w:tcBorders>
                  <w:shd w:val="clear" w:color="auto" w:fill="auto"/>
                  <w:vAlign w:val="center"/>
                </w:tcPr>
                <w:p w14:paraId="6EA9D27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53E5354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0D584EB2">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4E5166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86122E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14.8</w:t>
                  </w:r>
                </w:p>
              </w:tc>
              <w:tc>
                <w:tcPr>
                  <w:tcW w:w="1983" w:type="dxa"/>
                  <w:tcBorders>
                    <w:tl2br w:val="nil"/>
                    <w:tr2bl w:val="nil"/>
                  </w:tcBorders>
                  <w:shd w:val="clear" w:color="auto" w:fill="auto"/>
                  <w:vAlign w:val="center"/>
                </w:tcPr>
                <w:p w14:paraId="31A69B5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储气罐</w:t>
                  </w:r>
                </w:p>
              </w:tc>
              <w:tc>
                <w:tcPr>
                  <w:tcW w:w="3362" w:type="dxa"/>
                  <w:tcBorders>
                    <w:tl2br w:val="nil"/>
                    <w:tr2bl w:val="nil"/>
                  </w:tcBorders>
                  <w:shd w:val="clear" w:color="auto" w:fill="auto"/>
                  <w:vAlign w:val="center"/>
                </w:tcPr>
                <w:p w14:paraId="2EC149F2">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，0.8MPa，1用1备</w:t>
                  </w:r>
                </w:p>
              </w:tc>
              <w:tc>
                <w:tcPr>
                  <w:tcW w:w="615" w:type="dxa"/>
                  <w:tcBorders>
                    <w:tl2br w:val="nil"/>
                    <w:tr2bl w:val="nil"/>
                  </w:tcBorders>
                  <w:shd w:val="clear" w:color="auto" w:fill="auto"/>
                  <w:vAlign w:val="center"/>
                </w:tcPr>
                <w:p w14:paraId="7FE1409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2E36C6E8">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3BE2FB8D">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27A571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183A9C1">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14.9</w:t>
                  </w:r>
                </w:p>
              </w:tc>
              <w:tc>
                <w:tcPr>
                  <w:tcW w:w="1983" w:type="dxa"/>
                  <w:tcBorders>
                    <w:tl2br w:val="nil"/>
                    <w:tr2bl w:val="nil"/>
                  </w:tcBorders>
                  <w:shd w:val="clear" w:color="auto" w:fill="auto"/>
                  <w:vAlign w:val="center"/>
                </w:tcPr>
                <w:p w14:paraId="64CB3F8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药剂溶液储罐</w:t>
                  </w:r>
                </w:p>
              </w:tc>
              <w:tc>
                <w:tcPr>
                  <w:tcW w:w="3362" w:type="dxa"/>
                  <w:tcBorders>
                    <w:tl2br w:val="nil"/>
                    <w:tr2bl w:val="nil"/>
                  </w:tcBorders>
                  <w:shd w:val="clear" w:color="auto" w:fill="auto"/>
                  <w:vAlign w:val="center"/>
                </w:tcPr>
                <w:p w14:paraId="3C35B83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储量10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p>
              </w:tc>
              <w:tc>
                <w:tcPr>
                  <w:tcW w:w="615" w:type="dxa"/>
                  <w:tcBorders>
                    <w:tl2br w:val="nil"/>
                    <w:tr2bl w:val="nil"/>
                  </w:tcBorders>
                  <w:shd w:val="clear" w:color="auto" w:fill="auto"/>
                  <w:vAlign w:val="center"/>
                </w:tcPr>
                <w:p w14:paraId="3EF5A021">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7E1E5DA4">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6891F7BF">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086914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53E8B6A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14.10</w:t>
                  </w:r>
                </w:p>
              </w:tc>
              <w:tc>
                <w:tcPr>
                  <w:tcW w:w="1983" w:type="dxa"/>
                  <w:tcBorders>
                    <w:tl2br w:val="nil"/>
                    <w:tr2bl w:val="nil"/>
                  </w:tcBorders>
                  <w:shd w:val="clear" w:color="auto" w:fill="auto"/>
                  <w:vAlign w:val="center"/>
                </w:tcPr>
                <w:p w14:paraId="7DEE8A84">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硫自养药剂计量泵</w:t>
                  </w:r>
                </w:p>
              </w:tc>
              <w:tc>
                <w:tcPr>
                  <w:tcW w:w="3362" w:type="dxa"/>
                  <w:tcBorders>
                    <w:tl2br w:val="nil"/>
                    <w:tr2bl w:val="nil"/>
                  </w:tcBorders>
                  <w:shd w:val="clear" w:color="auto" w:fill="auto"/>
                  <w:vAlign w:val="center"/>
                </w:tcPr>
                <w:p w14:paraId="4C1E24A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Q=201L/h，H=0.6MPa，0.37kW</w:t>
                  </w:r>
                </w:p>
              </w:tc>
              <w:tc>
                <w:tcPr>
                  <w:tcW w:w="615" w:type="dxa"/>
                  <w:tcBorders>
                    <w:tl2br w:val="nil"/>
                    <w:tr2bl w:val="nil"/>
                  </w:tcBorders>
                  <w:shd w:val="clear" w:color="auto" w:fill="auto"/>
                  <w:vAlign w:val="center"/>
                </w:tcPr>
                <w:p w14:paraId="7634140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1759044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015D420D">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17107B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3DBB374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14.11</w:t>
                  </w:r>
                </w:p>
              </w:tc>
              <w:tc>
                <w:tcPr>
                  <w:tcW w:w="1983" w:type="dxa"/>
                  <w:tcBorders>
                    <w:tl2br w:val="nil"/>
                    <w:tr2bl w:val="nil"/>
                  </w:tcBorders>
                  <w:shd w:val="clear" w:color="auto" w:fill="auto"/>
                  <w:vAlign w:val="center"/>
                </w:tcPr>
                <w:p w14:paraId="31C0F048">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硫自养药剂卸料泵</w:t>
                  </w:r>
                </w:p>
              </w:tc>
              <w:tc>
                <w:tcPr>
                  <w:tcW w:w="3362" w:type="dxa"/>
                  <w:tcBorders>
                    <w:tl2br w:val="nil"/>
                    <w:tr2bl w:val="nil"/>
                  </w:tcBorders>
                  <w:shd w:val="clear" w:color="auto" w:fill="auto"/>
                  <w:vAlign w:val="center"/>
                </w:tcPr>
                <w:p w14:paraId="04EC719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Q=25</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/h，H=12</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，0.75kW</w:t>
                  </w:r>
                </w:p>
              </w:tc>
              <w:tc>
                <w:tcPr>
                  <w:tcW w:w="615" w:type="dxa"/>
                  <w:tcBorders>
                    <w:tl2br w:val="nil"/>
                    <w:tr2bl w:val="nil"/>
                  </w:tcBorders>
                  <w:shd w:val="clear" w:color="auto" w:fill="auto"/>
                  <w:vAlign w:val="center"/>
                </w:tcPr>
                <w:p w14:paraId="4C9C3712">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76E6E092">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13C6D6FA">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410E5F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1748A8E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14.12</w:t>
                  </w:r>
                </w:p>
              </w:tc>
              <w:tc>
                <w:tcPr>
                  <w:tcW w:w="1983" w:type="dxa"/>
                  <w:tcBorders>
                    <w:tl2br w:val="nil"/>
                    <w:tr2bl w:val="nil"/>
                  </w:tcBorders>
                  <w:shd w:val="clear" w:color="auto" w:fill="auto"/>
                  <w:vAlign w:val="center"/>
                </w:tcPr>
                <w:p w14:paraId="71E9A84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药剂在线稀释装置</w:t>
                  </w:r>
                </w:p>
              </w:tc>
              <w:tc>
                <w:tcPr>
                  <w:tcW w:w="3362" w:type="dxa"/>
                  <w:tcBorders>
                    <w:tl2br w:val="nil"/>
                    <w:tr2bl w:val="nil"/>
                  </w:tcBorders>
                  <w:shd w:val="clear" w:color="auto" w:fill="auto"/>
                  <w:vAlign w:val="center"/>
                </w:tcPr>
                <w:p w14:paraId="3FB0920B">
                  <w:pPr>
                    <w:pStyle w:val="15"/>
                    <w:bidi w:val="0"/>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w:t>
                  </w:r>
                </w:p>
              </w:tc>
              <w:tc>
                <w:tcPr>
                  <w:tcW w:w="615" w:type="dxa"/>
                  <w:tcBorders>
                    <w:tl2br w:val="nil"/>
                    <w:tr2bl w:val="nil"/>
                  </w:tcBorders>
                  <w:shd w:val="clear" w:color="auto" w:fill="auto"/>
                  <w:vAlign w:val="center"/>
                </w:tcPr>
                <w:p w14:paraId="18E9EED4">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55610314">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35E7EB3F">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4582C4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20544F6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14.13</w:t>
                  </w:r>
                </w:p>
              </w:tc>
              <w:tc>
                <w:tcPr>
                  <w:tcW w:w="1983" w:type="dxa"/>
                  <w:tcBorders>
                    <w:tl2br w:val="nil"/>
                    <w:tr2bl w:val="nil"/>
                  </w:tcBorders>
                  <w:shd w:val="clear" w:color="auto" w:fill="auto"/>
                  <w:vAlign w:val="center"/>
                </w:tcPr>
                <w:p w14:paraId="60AF4042">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除磷剂溶液箱</w:t>
                  </w:r>
                </w:p>
              </w:tc>
              <w:tc>
                <w:tcPr>
                  <w:tcW w:w="3362" w:type="dxa"/>
                  <w:tcBorders>
                    <w:tl2br w:val="nil"/>
                    <w:tr2bl w:val="nil"/>
                  </w:tcBorders>
                  <w:shd w:val="clear" w:color="auto" w:fill="auto"/>
                  <w:vAlign w:val="center"/>
                </w:tcPr>
                <w:p w14:paraId="584F736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有效容积2</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p>
              </w:tc>
              <w:tc>
                <w:tcPr>
                  <w:tcW w:w="615" w:type="dxa"/>
                  <w:tcBorders>
                    <w:tl2br w:val="nil"/>
                    <w:tr2bl w:val="nil"/>
                  </w:tcBorders>
                  <w:shd w:val="clear" w:color="auto" w:fill="auto"/>
                  <w:vAlign w:val="center"/>
                </w:tcPr>
                <w:p w14:paraId="7EC4958F">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3E368CC8">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267AEABC">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7F8BFC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0DEC642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14.14</w:t>
                  </w:r>
                </w:p>
              </w:tc>
              <w:tc>
                <w:tcPr>
                  <w:tcW w:w="1983" w:type="dxa"/>
                  <w:tcBorders>
                    <w:tl2br w:val="nil"/>
                    <w:tr2bl w:val="nil"/>
                  </w:tcBorders>
                  <w:shd w:val="clear" w:color="auto" w:fill="auto"/>
                  <w:vAlign w:val="center"/>
                </w:tcPr>
                <w:p w14:paraId="2FD22CB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除磷剂计量泵</w:t>
                  </w:r>
                </w:p>
              </w:tc>
              <w:tc>
                <w:tcPr>
                  <w:tcW w:w="3362" w:type="dxa"/>
                  <w:tcBorders>
                    <w:tl2br w:val="nil"/>
                    <w:tr2bl w:val="nil"/>
                  </w:tcBorders>
                  <w:shd w:val="clear" w:color="auto" w:fill="auto"/>
                  <w:vAlign w:val="center"/>
                </w:tcPr>
                <w:p w14:paraId="6C2269A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Q=0-380L/h，H=0.6MPa0.37kW，1用1备</w:t>
                  </w:r>
                </w:p>
              </w:tc>
              <w:tc>
                <w:tcPr>
                  <w:tcW w:w="615" w:type="dxa"/>
                  <w:tcBorders>
                    <w:tl2br w:val="nil"/>
                    <w:tr2bl w:val="nil"/>
                  </w:tcBorders>
                  <w:shd w:val="clear" w:color="auto" w:fill="auto"/>
                  <w:vAlign w:val="center"/>
                </w:tcPr>
                <w:p w14:paraId="3AF31F1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0C6DFBC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10B2CE40">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48C806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545306B8">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14.15</w:t>
                  </w:r>
                </w:p>
              </w:tc>
              <w:tc>
                <w:tcPr>
                  <w:tcW w:w="1983" w:type="dxa"/>
                  <w:tcBorders>
                    <w:tl2br w:val="nil"/>
                    <w:tr2bl w:val="nil"/>
                  </w:tcBorders>
                  <w:shd w:val="clear" w:color="auto" w:fill="auto"/>
                  <w:vAlign w:val="center"/>
                </w:tcPr>
                <w:p w14:paraId="27CE3F0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磁翻板液位计</w:t>
                  </w:r>
                </w:p>
              </w:tc>
              <w:tc>
                <w:tcPr>
                  <w:tcW w:w="3362" w:type="dxa"/>
                  <w:tcBorders>
                    <w:tl2br w:val="nil"/>
                    <w:tr2bl w:val="nil"/>
                  </w:tcBorders>
                  <w:shd w:val="clear" w:color="auto" w:fill="auto"/>
                  <w:vAlign w:val="center"/>
                </w:tcPr>
                <w:p w14:paraId="755A072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磁翻板，0~3.1</w:t>
                  </w:r>
                  <w:r>
                    <w:rPr>
                      <w:rFonts w:hint="eastAsia" w:cs="Times New Roman"/>
                      <w:color w:val="auto"/>
                      <w:sz w:val="21"/>
                      <w:szCs w:val="21"/>
                      <w:lang w:val="en-US" w:eastAsia="zh-CN"/>
                    </w:rPr>
                    <w:t>m</w:t>
                  </w:r>
                </w:p>
              </w:tc>
              <w:tc>
                <w:tcPr>
                  <w:tcW w:w="615" w:type="dxa"/>
                  <w:tcBorders>
                    <w:tl2br w:val="nil"/>
                    <w:tr2bl w:val="nil"/>
                  </w:tcBorders>
                  <w:shd w:val="clear" w:color="auto" w:fill="auto"/>
                  <w:vAlign w:val="center"/>
                </w:tcPr>
                <w:p w14:paraId="2F021EB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6AE7596F">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7ED89EAD">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5B8C9B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66EDF5E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14.16</w:t>
                  </w:r>
                </w:p>
              </w:tc>
              <w:tc>
                <w:tcPr>
                  <w:tcW w:w="1983" w:type="dxa"/>
                  <w:tcBorders>
                    <w:tl2br w:val="nil"/>
                    <w:tr2bl w:val="nil"/>
                  </w:tcBorders>
                  <w:shd w:val="clear" w:color="auto" w:fill="auto"/>
                  <w:vAlign w:val="center"/>
                </w:tcPr>
                <w:p w14:paraId="5A61A164">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耐震隔膜式压力表</w:t>
                  </w:r>
                </w:p>
              </w:tc>
              <w:tc>
                <w:tcPr>
                  <w:tcW w:w="3362" w:type="dxa"/>
                  <w:tcBorders>
                    <w:tl2br w:val="nil"/>
                    <w:tr2bl w:val="nil"/>
                  </w:tcBorders>
                  <w:shd w:val="clear" w:color="auto" w:fill="auto"/>
                  <w:vAlign w:val="center"/>
                </w:tcPr>
                <w:p w14:paraId="6468215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0-0.6MPa</w:t>
                  </w:r>
                </w:p>
              </w:tc>
              <w:tc>
                <w:tcPr>
                  <w:tcW w:w="615" w:type="dxa"/>
                  <w:tcBorders>
                    <w:tl2br w:val="nil"/>
                    <w:tr2bl w:val="nil"/>
                  </w:tcBorders>
                  <w:shd w:val="clear" w:color="auto" w:fill="auto"/>
                  <w:vAlign w:val="center"/>
                </w:tcPr>
                <w:p w14:paraId="1DDC7F0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6180EB8F">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4BEDF5B2">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2C74F6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751E0EE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14.17</w:t>
                  </w:r>
                </w:p>
              </w:tc>
              <w:tc>
                <w:tcPr>
                  <w:tcW w:w="1983" w:type="dxa"/>
                  <w:tcBorders>
                    <w:tl2br w:val="nil"/>
                    <w:tr2bl w:val="nil"/>
                  </w:tcBorders>
                  <w:shd w:val="clear" w:color="auto" w:fill="auto"/>
                  <w:vAlign w:val="center"/>
                </w:tcPr>
                <w:p w14:paraId="5DB812B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转子流量计</w:t>
                  </w:r>
                </w:p>
              </w:tc>
              <w:tc>
                <w:tcPr>
                  <w:tcW w:w="3362" w:type="dxa"/>
                  <w:tcBorders>
                    <w:tl2br w:val="nil"/>
                    <w:tr2bl w:val="nil"/>
                  </w:tcBorders>
                  <w:shd w:val="clear" w:color="auto" w:fill="auto"/>
                  <w:vAlign w:val="center"/>
                </w:tcPr>
                <w:p w14:paraId="1C62F15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转子，一体式，0-0.5</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w:t>
                  </w:r>
                </w:p>
              </w:tc>
              <w:tc>
                <w:tcPr>
                  <w:tcW w:w="615" w:type="dxa"/>
                  <w:tcBorders>
                    <w:tl2br w:val="nil"/>
                    <w:tr2bl w:val="nil"/>
                  </w:tcBorders>
                  <w:shd w:val="clear" w:color="auto" w:fill="auto"/>
                  <w:vAlign w:val="center"/>
                </w:tcPr>
                <w:p w14:paraId="7ABB56B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35BF8898">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51A1758E">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2B949D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7900A6D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14.18</w:t>
                  </w:r>
                </w:p>
              </w:tc>
              <w:tc>
                <w:tcPr>
                  <w:tcW w:w="1983" w:type="dxa"/>
                  <w:tcBorders>
                    <w:tl2br w:val="nil"/>
                    <w:tr2bl w:val="nil"/>
                  </w:tcBorders>
                  <w:shd w:val="clear" w:color="auto" w:fill="auto"/>
                  <w:vAlign w:val="center"/>
                </w:tcPr>
                <w:p w14:paraId="3B23518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电磁流量计</w:t>
                  </w:r>
                </w:p>
              </w:tc>
              <w:tc>
                <w:tcPr>
                  <w:tcW w:w="3362" w:type="dxa"/>
                  <w:tcBorders>
                    <w:tl2br w:val="nil"/>
                    <w:tr2bl w:val="nil"/>
                  </w:tcBorders>
                  <w:shd w:val="clear" w:color="auto" w:fill="auto"/>
                  <w:vAlign w:val="center"/>
                </w:tcPr>
                <w:p w14:paraId="53021D6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电磁式，分体式，0-937</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w:t>
                  </w:r>
                </w:p>
              </w:tc>
              <w:tc>
                <w:tcPr>
                  <w:tcW w:w="615" w:type="dxa"/>
                  <w:tcBorders>
                    <w:tl2br w:val="nil"/>
                    <w:tr2bl w:val="nil"/>
                  </w:tcBorders>
                  <w:shd w:val="clear" w:color="auto" w:fill="auto"/>
                  <w:vAlign w:val="center"/>
                </w:tcPr>
                <w:p w14:paraId="65A2FB5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203258C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3ACB2E30">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085C06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0F95DF4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14.19</w:t>
                  </w:r>
                </w:p>
              </w:tc>
              <w:tc>
                <w:tcPr>
                  <w:tcW w:w="1983" w:type="dxa"/>
                  <w:tcBorders>
                    <w:tl2br w:val="nil"/>
                    <w:tr2bl w:val="nil"/>
                  </w:tcBorders>
                  <w:shd w:val="clear" w:color="auto" w:fill="auto"/>
                  <w:vAlign w:val="center"/>
                </w:tcPr>
                <w:p w14:paraId="0967C9C1">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硝酸盐/亚硝酸盐在线分析仪</w:t>
                  </w:r>
                </w:p>
              </w:tc>
              <w:tc>
                <w:tcPr>
                  <w:tcW w:w="3362" w:type="dxa"/>
                  <w:tcBorders>
                    <w:tl2br w:val="nil"/>
                    <w:tr2bl w:val="nil"/>
                  </w:tcBorders>
                  <w:shd w:val="clear" w:color="auto" w:fill="auto"/>
                  <w:vAlign w:val="center"/>
                </w:tcPr>
                <w:p w14:paraId="63E7888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分体式，0-7</w:t>
                  </w:r>
                  <w:r>
                    <w:rPr>
                      <w:rFonts w:hint="eastAsia" w:cs="Times New Roman"/>
                      <w:color w:val="auto"/>
                      <w:sz w:val="21"/>
                      <w:szCs w:val="21"/>
                      <w:lang w:val="en-US" w:eastAsia="zh-CN"/>
                    </w:rPr>
                    <w:t>m</w:t>
                  </w:r>
                </w:p>
              </w:tc>
              <w:tc>
                <w:tcPr>
                  <w:tcW w:w="615" w:type="dxa"/>
                  <w:tcBorders>
                    <w:tl2br w:val="nil"/>
                    <w:tr2bl w:val="nil"/>
                  </w:tcBorders>
                  <w:shd w:val="clear" w:color="auto" w:fill="auto"/>
                  <w:vAlign w:val="center"/>
                </w:tcPr>
                <w:p w14:paraId="0017E28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7110C998">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2EFCB993">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14ECEC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681B063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14.20</w:t>
                  </w:r>
                </w:p>
              </w:tc>
              <w:tc>
                <w:tcPr>
                  <w:tcW w:w="1983" w:type="dxa"/>
                  <w:tcBorders>
                    <w:tl2br w:val="nil"/>
                    <w:tr2bl w:val="nil"/>
                  </w:tcBorders>
                  <w:shd w:val="clear" w:color="auto" w:fill="auto"/>
                  <w:vAlign w:val="center"/>
                </w:tcPr>
                <w:p w14:paraId="60596C4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液位计</w:t>
                  </w:r>
                </w:p>
              </w:tc>
              <w:tc>
                <w:tcPr>
                  <w:tcW w:w="3362" w:type="dxa"/>
                  <w:tcBorders>
                    <w:tl2br w:val="nil"/>
                    <w:tr2bl w:val="nil"/>
                  </w:tcBorders>
                  <w:shd w:val="clear" w:color="auto" w:fill="auto"/>
                  <w:vAlign w:val="center"/>
                </w:tcPr>
                <w:p w14:paraId="0CAF3B6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超声波液位计，0-6</w:t>
                  </w:r>
                  <w:r>
                    <w:rPr>
                      <w:rFonts w:hint="eastAsia" w:cs="Times New Roman"/>
                      <w:color w:val="auto"/>
                      <w:sz w:val="21"/>
                      <w:szCs w:val="21"/>
                      <w:lang w:val="en-US" w:eastAsia="zh-CN"/>
                    </w:rPr>
                    <w:t>m</w:t>
                  </w:r>
                </w:p>
              </w:tc>
              <w:tc>
                <w:tcPr>
                  <w:tcW w:w="615" w:type="dxa"/>
                  <w:tcBorders>
                    <w:tl2br w:val="nil"/>
                    <w:tr2bl w:val="nil"/>
                  </w:tcBorders>
                  <w:shd w:val="clear" w:color="auto" w:fill="auto"/>
                  <w:vAlign w:val="center"/>
                </w:tcPr>
                <w:p w14:paraId="7E595582">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w:t>
                  </w:r>
                </w:p>
              </w:tc>
              <w:tc>
                <w:tcPr>
                  <w:tcW w:w="555" w:type="dxa"/>
                  <w:tcBorders>
                    <w:tl2br w:val="nil"/>
                    <w:tr2bl w:val="nil"/>
                  </w:tcBorders>
                  <w:shd w:val="clear" w:color="auto" w:fill="auto"/>
                  <w:vAlign w:val="center"/>
                </w:tcPr>
                <w:p w14:paraId="7679688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311611CE">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156EF7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A6DF264">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14.21</w:t>
                  </w:r>
                </w:p>
              </w:tc>
              <w:tc>
                <w:tcPr>
                  <w:tcW w:w="1983" w:type="dxa"/>
                  <w:tcBorders>
                    <w:tl2br w:val="nil"/>
                    <w:tr2bl w:val="nil"/>
                  </w:tcBorders>
                  <w:shd w:val="clear" w:color="auto" w:fill="auto"/>
                  <w:vAlign w:val="center"/>
                </w:tcPr>
                <w:p w14:paraId="6E4A60A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反洗废水池液位计</w:t>
                  </w:r>
                </w:p>
              </w:tc>
              <w:tc>
                <w:tcPr>
                  <w:tcW w:w="3362" w:type="dxa"/>
                  <w:tcBorders>
                    <w:tl2br w:val="nil"/>
                    <w:tr2bl w:val="nil"/>
                  </w:tcBorders>
                  <w:shd w:val="clear" w:color="auto" w:fill="auto"/>
                  <w:vAlign w:val="center"/>
                </w:tcPr>
                <w:p w14:paraId="63E3F9F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浮球式</w:t>
                  </w:r>
                </w:p>
              </w:tc>
              <w:tc>
                <w:tcPr>
                  <w:tcW w:w="615" w:type="dxa"/>
                  <w:tcBorders>
                    <w:tl2br w:val="nil"/>
                    <w:tr2bl w:val="nil"/>
                  </w:tcBorders>
                  <w:shd w:val="clear" w:color="auto" w:fill="auto"/>
                  <w:vAlign w:val="center"/>
                </w:tcPr>
                <w:p w14:paraId="247B00F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3365F9E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7AB67D17">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46D9BF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31CE6BE2">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14.22</w:t>
                  </w:r>
                </w:p>
              </w:tc>
              <w:tc>
                <w:tcPr>
                  <w:tcW w:w="1983" w:type="dxa"/>
                  <w:tcBorders>
                    <w:tl2br w:val="nil"/>
                    <w:tr2bl w:val="nil"/>
                  </w:tcBorders>
                  <w:shd w:val="clear" w:color="auto" w:fill="auto"/>
                  <w:vAlign w:val="center"/>
                </w:tcPr>
                <w:p w14:paraId="43FE3E7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清水池液位计</w:t>
                  </w:r>
                </w:p>
              </w:tc>
              <w:tc>
                <w:tcPr>
                  <w:tcW w:w="3362" w:type="dxa"/>
                  <w:tcBorders>
                    <w:tl2br w:val="nil"/>
                    <w:tr2bl w:val="nil"/>
                  </w:tcBorders>
                  <w:shd w:val="clear" w:color="auto" w:fill="auto"/>
                  <w:vAlign w:val="center"/>
                </w:tcPr>
                <w:p w14:paraId="317504A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浮球式</w:t>
                  </w:r>
                </w:p>
              </w:tc>
              <w:tc>
                <w:tcPr>
                  <w:tcW w:w="615" w:type="dxa"/>
                  <w:tcBorders>
                    <w:tl2br w:val="nil"/>
                    <w:tr2bl w:val="nil"/>
                  </w:tcBorders>
                  <w:shd w:val="clear" w:color="auto" w:fill="auto"/>
                  <w:vAlign w:val="center"/>
                </w:tcPr>
                <w:p w14:paraId="2FD5746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663B874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1AB5BAA4">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408DB5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68630792">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14.23</w:t>
                  </w:r>
                </w:p>
              </w:tc>
              <w:tc>
                <w:tcPr>
                  <w:tcW w:w="1983" w:type="dxa"/>
                  <w:tcBorders>
                    <w:tl2br w:val="nil"/>
                    <w:tr2bl w:val="nil"/>
                  </w:tcBorders>
                  <w:shd w:val="clear" w:color="auto" w:fill="auto"/>
                  <w:vAlign w:val="center"/>
                </w:tcPr>
                <w:p w14:paraId="4B5B507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提升泵</w:t>
                  </w:r>
                </w:p>
              </w:tc>
              <w:tc>
                <w:tcPr>
                  <w:tcW w:w="3362" w:type="dxa"/>
                  <w:tcBorders>
                    <w:tl2br w:val="nil"/>
                    <w:tr2bl w:val="nil"/>
                  </w:tcBorders>
                  <w:shd w:val="clear" w:color="auto" w:fill="auto"/>
                  <w:vAlign w:val="center"/>
                </w:tcPr>
                <w:p w14:paraId="0A447C1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Q=200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/h，H=7</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，N=15kW含电机</w:t>
                  </w:r>
                </w:p>
              </w:tc>
              <w:tc>
                <w:tcPr>
                  <w:tcW w:w="615" w:type="dxa"/>
                  <w:tcBorders>
                    <w:tl2br w:val="nil"/>
                    <w:tr2bl w:val="nil"/>
                  </w:tcBorders>
                  <w:shd w:val="clear" w:color="auto" w:fill="auto"/>
                  <w:vAlign w:val="center"/>
                </w:tcPr>
                <w:p w14:paraId="71FD914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0E0C7BD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21348026">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63A679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1DE7AA37">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15</w:t>
                  </w:r>
                </w:p>
              </w:tc>
              <w:tc>
                <w:tcPr>
                  <w:tcW w:w="7545" w:type="dxa"/>
                  <w:gridSpan w:val="5"/>
                  <w:tcBorders>
                    <w:tl2br w:val="nil"/>
                    <w:tr2bl w:val="nil"/>
                  </w:tcBorders>
                  <w:shd w:val="clear" w:color="auto" w:fill="auto"/>
                  <w:vAlign w:val="center"/>
                </w:tcPr>
                <w:p w14:paraId="56984FD7">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消毒设施</w:t>
                  </w:r>
                </w:p>
              </w:tc>
            </w:tr>
            <w:tr w14:paraId="05D4BB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2A5CEC62">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15.1</w:t>
                  </w:r>
                </w:p>
              </w:tc>
              <w:tc>
                <w:tcPr>
                  <w:tcW w:w="1983" w:type="dxa"/>
                  <w:tcBorders>
                    <w:tl2br w:val="nil"/>
                    <w:tr2bl w:val="nil"/>
                  </w:tcBorders>
                  <w:shd w:val="clear" w:color="auto" w:fill="auto"/>
                  <w:vAlign w:val="center"/>
                </w:tcPr>
                <w:p w14:paraId="15086CE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次氯酸钠储罐</w:t>
                  </w:r>
                </w:p>
              </w:tc>
              <w:tc>
                <w:tcPr>
                  <w:tcW w:w="3362" w:type="dxa"/>
                  <w:tcBorders>
                    <w:tl2br w:val="nil"/>
                    <w:tr2bl w:val="nil"/>
                  </w:tcBorders>
                  <w:shd w:val="clear" w:color="auto" w:fill="auto"/>
                  <w:vAlign w:val="center"/>
                </w:tcPr>
                <w:p w14:paraId="613122A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容积：5000L</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规格：φ3160*2800</w:t>
                  </w:r>
                  <w:r>
                    <w:rPr>
                      <w:rFonts w:hint="default" w:ascii="Times New Roman" w:hAnsi="Times New Roman" w:cs="Times New Roman"/>
                      <w:color w:val="auto"/>
                      <w:sz w:val="21"/>
                      <w:szCs w:val="21"/>
                      <w:lang w:val="en-US" w:eastAsia="zh-CN"/>
                    </w:rPr>
                    <w:br w:type="textWrapping"/>
                  </w:r>
                  <w:r>
                    <w:rPr>
                      <w:rFonts w:hint="default" w:ascii="Times New Roman" w:hAnsi="Times New Roman" w:cs="Times New Roman"/>
                      <w:color w:val="auto"/>
                      <w:sz w:val="21"/>
                      <w:szCs w:val="21"/>
                      <w:lang w:val="en-US" w:eastAsia="zh-CN"/>
                    </w:rPr>
                    <w:t>厚度：8</w:t>
                  </w:r>
                  <w:r>
                    <w:rPr>
                      <w:rFonts w:hint="eastAsia" w:cs="Times New Roman"/>
                      <w:color w:val="auto"/>
                      <w:sz w:val="21"/>
                      <w:szCs w:val="21"/>
                      <w:lang w:val="en-US" w:eastAsia="zh-CN"/>
                    </w:rPr>
                    <w:t>mm</w:t>
                  </w:r>
                  <w:r>
                    <w:rPr>
                      <w:rFonts w:hint="default" w:ascii="Times New Roman" w:hAnsi="Times New Roman" w:cs="Times New Roman"/>
                      <w:color w:val="auto"/>
                      <w:sz w:val="21"/>
                      <w:szCs w:val="21"/>
                      <w:lang w:val="en-US" w:eastAsia="zh-CN"/>
                    </w:rPr>
                    <w:t>，1用1备</w:t>
                  </w:r>
                </w:p>
              </w:tc>
              <w:tc>
                <w:tcPr>
                  <w:tcW w:w="615" w:type="dxa"/>
                  <w:tcBorders>
                    <w:tl2br w:val="nil"/>
                    <w:tr2bl w:val="nil"/>
                  </w:tcBorders>
                  <w:shd w:val="clear" w:color="auto" w:fill="auto"/>
                  <w:vAlign w:val="center"/>
                </w:tcPr>
                <w:p w14:paraId="038D385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529F7B31">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14170DF6">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37EEAA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5133C1E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15.2</w:t>
                  </w:r>
                </w:p>
              </w:tc>
              <w:tc>
                <w:tcPr>
                  <w:tcW w:w="1983" w:type="dxa"/>
                  <w:tcBorders>
                    <w:tl2br w:val="nil"/>
                    <w:tr2bl w:val="nil"/>
                  </w:tcBorders>
                  <w:shd w:val="clear" w:color="auto" w:fill="auto"/>
                  <w:vAlign w:val="center"/>
                </w:tcPr>
                <w:p w14:paraId="5A6E4604">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磁翻板液位计</w:t>
                  </w:r>
                </w:p>
              </w:tc>
              <w:tc>
                <w:tcPr>
                  <w:tcW w:w="3362" w:type="dxa"/>
                  <w:tcBorders>
                    <w:tl2br w:val="nil"/>
                    <w:tr2bl w:val="nil"/>
                  </w:tcBorders>
                  <w:shd w:val="clear" w:color="auto" w:fill="auto"/>
                  <w:vAlign w:val="center"/>
                </w:tcPr>
                <w:p w14:paraId="02FDDA2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4-20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a信号反馈</w:t>
                  </w:r>
                </w:p>
              </w:tc>
              <w:tc>
                <w:tcPr>
                  <w:tcW w:w="615" w:type="dxa"/>
                  <w:tcBorders>
                    <w:tl2br w:val="nil"/>
                    <w:tr2bl w:val="nil"/>
                  </w:tcBorders>
                  <w:shd w:val="clear" w:color="auto" w:fill="auto"/>
                  <w:vAlign w:val="center"/>
                </w:tcPr>
                <w:p w14:paraId="0C96530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6F5A6A1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098B9B0D">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62B109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1986999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15.3</w:t>
                  </w:r>
                </w:p>
              </w:tc>
              <w:tc>
                <w:tcPr>
                  <w:tcW w:w="1983" w:type="dxa"/>
                  <w:tcBorders>
                    <w:tl2br w:val="nil"/>
                    <w:tr2bl w:val="nil"/>
                  </w:tcBorders>
                  <w:shd w:val="clear" w:color="auto" w:fill="auto"/>
                  <w:vAlign w:val="center"/>
                </w:tcPr>
                <w:p w14:paraId="33D652D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搅拌机</w:t>
                  </w:r>
                </w:p>
              </w:tc>
              <w:tc>
                <w:tcPr>
                  <w:tcW w:w="3362" w:type="dxa"/>
                  <w:tcBorders>
                    <w:tl2br w:val="nil"/>
                    <w:tr2bl w:val="nil"/>
                  </w:tcBorders>
                  <w:shd w:val="clear" w:color="auto" w:fill="auto"/>
                  <w:vAlign w:val="center"/>
                </w:tcPr>
                <w:p w14:paraId="0A4C4444">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型号：BLD09-11-0.75kW</w:t>
                  </w:r>
                  <w:r>
                    <w:rPr>
                      <w:rFonts w:hint="default" w:ascii="Times New Roman" w:hAnsi="Times New Roman" w:cs="Times New Roman"/>
                      <w:color w:val="auto"/>
                      <w:sz w:val="21"/>
                      <w:szCs w:val="21"/>
                      <w:lang w:val="en-US" w:eastAsia="zh-CN"/>
                    </w:rPr>
                    <w:br w:type="textWrapping"/>
                  </w:r>
                  <w:r>
                    <w:rPr>
                      <w:rFonts w:hint="default" w:ascii="Times New Roman" w:hAnsi="Times New Roman" w:cs="Times New Roman"/>
                      <w:color w:val="auto"/>
                      <w:sz w:val="21"/>
                      <w:szCs w:val="21"/>
                      <w:lang w:val="en-US" w:eastAsia="zh-CN"/>
                    </w:rPr>
                    <w:t>功率：0.75kW</w:t>
                  </w:r>
                </w:p>
              </w:tc>
              <w:tc>
                <w:tcPr>
                  <w:tcW w:w="615" w:type="dxa"/>
                  <w:tcBorders>
                    <w:tl2br w:val="nil"/>
                    <w:tr2bl w:val="nil"/>
                  </w:tcBorders>
                  <w:shd w:val="clear" w:color="auto" w:fill="auto"/>
                  <w:vAlign w:val="center"/>
                </w:tcPr>
                <w:p w14:paraId="64A0BD3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4C4BFF8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417E2872">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58D88F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3408851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15.4</w:t>
                  </w:r>
                </w:p>
              </w:tc>
              <w:tc>
                <w:tcPr>
                  <w:tcW w:w="1983" w:type="dxa"/>
                  <w:tcBorders>
                    <w:tl2br w:val="nil"/>
                    <w:tr2bl w:val="nil"/>
                  </w:tcBorders>
                  <w:shd w:val="clear" w:color="auto" w:fill="auto"/>
                  <w:vAlign w:val="center"/>
                </w:tcPr>
                <w:p w14:paraId="11A6FEC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计量泵</w:t>
                  </w:r>
                </w:p>
              </w:tc>
              <w:tc>
                <w:tcPr>
                  <w:tcW w:w="3362" w:type="dxa"/>
                  <w:tcBorders>
                    <w:tl2br w:val="nil"/>
                    <w:tr2bl w:val="nil"/>
                  </w:tcBorders>
                  <w:shd w:val="clear" w:color="auto" w:fill="auto"/>
                  <w:vAlign w:val="center"/>
                </w:tcPr>
                <w:p w14:paraId="4EBB363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流量：200L/H，压力：0.7MPa，泵头材质：PVC1.5kW</w:t>
                  </w:r>
                </w:p>
              </w:tc>
              <w:tc>
                <w:tcPr>
                  <w:tcW w:w="615" w:type="dxa"/>
                  <w:tcBorders>
                    <w:tl2br w:val="nil"/>
                    <w:tr2bl w:val="nil"/>
                  </w:tcBorders>
                  <w:shd w:val="clear" w:color="auto" w:fill="auto"/>
                  <w:vAlign w:val="center"/>
                </w:tcPr>
                <w:p w14:paraId="68EA9A4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493A57B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08EB5591">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0818A6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0E8B93F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15.5</w:t>
                  </w:r>
                </w:p>
              </w:tc>
              <w:tc>
                <w:tcPr>
                  <w:tcW w:w="1983" w:type="dxa"/>
                  <w:tcBorders>
                    <w:tl2br w:val="nil"/>
                    <w:tr2bl w:val="nil"/>
                  </w:tcBorders>
                  <w:shd w:val="clear" w:color="auto" w:fill="auto"/>
                  <w:vAlign w:val="center"/>
                </w:tcPr>
                <w:p w14:paraId="47A90C9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撬装支架</w:t>
                  </w:r>
                </w:p>
              </w:tc>
              <w:tc>
                <w:tcPr>
                  <w:tcW w:w="3362" w:type="dxa"/>
                  <w:tcBorders>
                    <w:tl2br w:val="nil"/>
                    <w:tr2bl w:val="nil"/>
                  </w:tcBorders>
                  <w:shd w:val="clear" w:color="auto" w:fill="auto"/>
                  <w:vAlign w:val="center"/>
                </w:tcPr>
                <w:p w14:paraId="020CC25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不锈钢</w:t>
                  </w:r>
                </w:p>
              </w:tc>
              <w:tc>
                <w:tcPr>
                  <w:tcW w:w="615" w:type="dxa"/>
                  <w:tcBorders>
                    <w:tl2br w:val="nil"/>
                    <w:tr2bl w:val="nil"/>
                  </w:tcBorders>
                  <w:shd w:val="clear" w:color="auto" w:fill="auto"/>
                  <w:vAlign w:val="center"/>
                </w:tcPr>
                <w:p w14:paraId="26D0F08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206CD7E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429D0B7A">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37EB9A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0936509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15.6</w:t>
                  </w:r>
                </w:p>
              </w:tc>
              <w:tc>
                <w:tcPr>
                  <w:tcW w:w="1983" w:type="dxa"/>
                  <w:tcBorders>
                    <w:tl2br w:val="nil"/>
                    <w:tr2bl w:val="nil"/>
                  </w:tcBorders>
                  <w:shd w:val="clear" w:color="auto" w:fill="auto"/>
                  <w:vAlign w:val="center"/>
                </w:tcPr>
                <w:p w14:paraId="2100CAC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加药平台</w:t>
                  </w:r>
                </w:p>
              </w:tc>
              <w:tc>
                <w:tcPr>
                  <w:tcW w:w="3362" w:type="dxa"/>
                  <w:tcBorders>
                    <w:tl2br w:val="nil"/>
                    <w:tr2bl w:val="nil"/>
                  </w:tcBorders>
                  <w:shd w:val="clear" w:color="auto" w:fill="auto"/>
                  <w:vAlign w:val="center"/>
                </w:tcPr>
                <w:p w14:paraId="41FA095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H</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1.45</w:t>
                  </w:r>
                </w:p>
              </w:tc>
              <w:tc>
                <w:tcPr>
                  <w:tcW w:w="615" w:type="dxa"/>
                  <w:tcBorders>
                    <w:tl2br w:val="nil"/>
                    <w:tr2bl w:val="nil"/>
                  </w:tcBorders>
                  <w:shd w:val="clear" w:color="auto" w:fill="auto"/>
                  <w:vAlign w:val="center"/>
                </w:tcPr>
                <w:p w14:paraId="2F6D470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3E0B95F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7E9F412B">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23D58D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1B21AF3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15.7</w:t>
                  </w:r>
                </w:p>
              </w:tc>
              <w:tc>
                <w:tcPr>
                  <w:tcW w:w="1983" w:type="dxa"/>
                  <w:tcBorders>
                    <w:tl2br w:val="nil"/>
                    <w:tr2bl w:val="nil"/>
                  </w:tcBorders>
                  <w:shd w:val="clear" w:color="auto" w:fill="auto"/>
                  <w:vAlign w:val="center"/>
                </w:tcPr>
                <w:p w14:paraId="1202BB3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PLC控制柜</w:t>
                  </w:r>
                </w:p>
              </w:tc>
              <w:tc>
                <w:tcPr>
                  <w:tcW w:w="3362" w:type="dxa"/>
                  <w:tcBorders>
                    <w:tl2br w:val="nil"/>
                    <w:tr2bl w:val="nil"/>
                  </w:tcBorders>
                  <w:shd w:val="clear" w:color="auto" w:fill="auto"/>
                  <w:vAlign w:val="center"/>
                </w:tcPr>
                <w:p w14:paraId="50918298">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柜体材质：碳钢</w:t>
                  </w:r>
                </w:p>
              </w:tc>
              <w:tc>
                <w:tcPr>
                  <w:tcW w:w="615" w:type="dxa"/>
                  <w:tcBorders>
                    <w:tl2br w:val="nil"/>
                    <w:tr2bl w:val="nil"/>
                  </w:tcBorders>
                  <w:shd w:val="clear" w:color="auto" w:fill="auto"/>
                  <w:vAlign w:val="center"/>
                </w:tcPr>
                <w:p w14:paraId="27B3C404">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38FEC6E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5CC915BF">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5F7133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2BB46EF3">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16</w:t>
                  </w:r>
                </w:p>
              </w:tc>
              <w:tc>
                <w:tcPr>
                  <w:tcW w:w="7545" w:type="dxa"/>
                  <w:gridSpan w:val="5"/>
                  <w:tcBorders>
                    <w:tl2br w:val="nil"/>
                    <w:tr2bl w:val="nil"/>
                  </w:tcBorders>
                  <w:shd w:val="clear" w:color="auto" w:fill="auto"/>
                  <w:vAlign w:val="center"/>
                </w:tcPr>
                <w:p w14:paraId="60536EB3">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污泥脱水间</w:t>
                  </w:r>
                </w:p>
              </w:tc>
            </w:tr>
            <w:tr w14:paraId="528800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5198A568">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16.1</w:t>
                  </w:r>
                </w:p>
              </w:tc>
              <w:tc>
                <w:tcPr>
                  <w:tcW w:w="1983" w:type="dxa"/>
                  <w:tcBorders>
                    <w:tl2br w:val="nil"/>
                    <w:tr2bl w:val="nil"/>
                  </w:tcBorders>
                  <w:shd w:val="clear" w:color="auto" w:fill="auto"/>
                  <w:vAlign w:val="center"/>
                </w:tcPr>
                <w:p w14:paraId="56B219B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浓缩机进料泵</w:t>
                  </w:r>
                </w:p>
              </w:tc>
              <w:tc>
                <w:tcPr>
                  <w:tcW w:w="3362" w:type="dxa"/>
                  <w:tcBorders>
                    <w:tl2br w:val="nil"/>
                    <w:tr2bl w:val="nil"/>
                  </w:tcBorders>
                  <w:shd w:val="clear" w:color="auto" w:fill="auto"/>
                  <w:vAlign w:val="center"/>
                </w:tcPr>
                <w:p w14:paraId="379EA28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13~36</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/h，0.3MPa，5.5kW，1用1备</w:t>
                  </w:r>
                </w:p>
              </w:tc>
              <w:tc>
                <w:tcPr>
                  <w:tcW w:w="615" w:type="dxa"/>
                  <w:tcBorders>
                    <w:tl2br w:val="nil"/>
                    <w:tr2bl w:val="nil"/>
                  </w:tcBorders>
                  <w:shd w:val="clear" w:color="auto" w:fill="auto"/>
                  <w:vAlign w:val="center"/>
                </w:tcPr>
                <w:p w14:paraId="17FE934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555" w:type="dxa"/>
                  <w:tcBorders>
                    <w:tl2br w:val="nil"/>
                    <w:tr2bl w:val="nil"/>
                  </w:tcBorders>
                  <w:shd w:val="clear" w:color="auto" w:fill="auto"/>
                  <w:vAlign w:val="center"/>
                </w:tcPr>
                <w:p w14:paraId="337B9E6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1030" w:type="dxa"/>
                  <w:tcBorders>
                    <w:tl2br w:val="nil"/>
                    <w:tr2bl w:val="nil"/>
                  </w:tcBorders>
                  <w:shd w:val="clear" w:color="auto" w:fill="auto"/>
                  <w:vAlign w:val="center"/>
                </w:tcPr>
                <w:p w14:paraId="5AA8ECDA">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4FD85F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6D31CF14">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16.2</w:t>
                  </w:r>
                </w:p>
              </w:tc>
              <w:tc>
                <w:tcPr>
                  <w:tcW w:w="1983" w:type="dxa"/>
                  <w:tcBorders>
                    <w:tl2br w:val="nil"/>
                    <w:tr2bl w:val="nil"/>
                  </w:tcBorders>
                  <w:shd w:val="clear" w:color="auto" w:fill="auto"/>
                  <w:vAlign w:val="center"/>
                </w:tcPr>
                <w:p w14:paraId="023EE474">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叠螺式污泥浓缩机</w:t>
                  </w:r>
                </w:p>
              </w:tc>
              <w:tc>
                <w:tcPr>
                  <w:tcW w:w="3362" w:type="dxa"/>
                  <w:tcBorders>
                    <w:tl2br w:val="nil"/>
                    <w:tr2bl w:val="nil"/>
                  </w:tcBorders>
                  <w:shd w:val="clear" w:color="auto" w:fill="auto"/>
                  <w:vAlign w:val="center"/>
                </w:tcPr>
                <w:p w14:paraId="6B19602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180~300kgDS/h，1.9kW</w:t>
                  </w:r>
                </w:p>
              </w:tc>
              <w:tc>
                <w:tcPr>
                  <w:tcW w:w="615" w:type="dxa"/>
                  <w:tcBorders>
                    <w:tl2br w:val="nil"/>
                    <w:tr2bl w:val="nil"/>
                  </w:tcBorders>
                  <w:shd w:val="clear" w:color="auto" w:fill="auto"/>
                  <w:vAlign w:val="center"/>
                </w:tcPr>
                <w:p w14:paraId="181C340F">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555" w:type="dxa"/>
                  <w:tcBorders>
                    <w:tl2br w:val="nil"/>
                    <w:tr2bl w:val="nil"/>
                  </w:tcBorders>
                  <w:shd w:val="clear" w:color="auto" w:fill="auto"/>
                  <w:vAlign w:val="center"/>
                </w:tcPr>
                <w:p w14:paraId="02130C82">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1030" w:type="dxa"/>
                  <w:tcBorders>
                    <w:tl2br w:val="nil"/>
                    <w:tr2bl w:val="nil"/>
                  </w:tcBorders>
                  <w:shd w:val="clear" w:color="auto" w:fill="auto"/>
                  <w:vAlign w:val="center"/>
                </w:tcPr>
                <w:p w14:paraId="7533B2AD">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7CDB36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6A3EB011">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16.3</w:t>
                  </w:r>
                </w:p>
              </w:tc>
              <w:tc>
                <w:tcPr>
                  <w:tcW w:w="1983" w:type="dxa"/>
                  <w:tcBorders>
                    <w:tl2br w:val="nil"/>
                    <w:tr2bl w:val="nil"/>
                  </w:tcBorders>
                  <w:shd w:val="clear" w:color="auto" w:fill="auto"/>
                  <w:vAlign w:val="center"/>
                </w:tcPr>
                <w:p w14:paraId="301BD8A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PAM制备装置</w:t>
                  </w:r>
                </w:p>
              </w:tc>
              <w:tc>
                <w:tcPr>
                  <w:tcW w:w="3362" w:type="dxa"/>
                  <w:tcBorders>
                    <w:tl2br w:val="nil"/>
                    <w:tr2bl w:val="nil"/>
                  </w:tcBorders>
                  <w:shd w:val="clear" w:color="auto" w:fill="auto"/>
                  <w:vAlign w:val="center"/>
                </w:tcPr>
                <w:p w14:paraId="7B66BD3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2kg/h，1.3kW</w:t>
                  </w:r>
                </w:p>
              </w:tc>
              <w:tc>
                <w:tcPr>
                  <w:tcW w:w="615" w:type="dxa"/>
                  <w:tcBorders>
                    <w:tl2br w:val="nil"/>
                    <w:tr2bl w:val="nil"/>
                  </w:tcBorders>
                  <w:shd w:val="clear" w:color="auto" w:fill="auto"/>
                  <w:vAlign w:val="center"/>
                </w:tcPr>
                <w:p w14:paraId="7A9EAB4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555" w:type="dxa"/>
                  <w:tcBorders>
                    <w:tl2br w:val="nil"/>
                    <w:tr2bl w:val="nil"/>
                  </w:tcBorders>
                  <w:shd w:val="clear" w:color="auto" w:fill="auto"/>
                  <w:vAlign w:val="center"/>
                </w:tcPr>
                <w:p w14:paraId="42719C31">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1030" w:type="dxa"/>
                  <w:tcBorders>
                    <w:tl2br w:val="nil"/>
                    <w:tr2bl w:val="nil"/>
                  </w:tcBorders>
                  <w:shd w:val="clear" w:color="auto" w:fill="auto"/>
                  <w:vAlign w:val="center"/>
                </w:tcPr>
                <w:p w14:paraId="65901949">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536542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E8AA8D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16.4</w:t>
                  </w:r>
                </w:p>
              </w:tc>
              <w:tc>
                <w:tcPr>
                  <w:tcW w:w="1983" w:type="dxa"/>
                  <w:tcBorders>
                    <w:tl2br w:val="nil"/>
                    <w:tr2bl w:val="nil"/>
                  </w:tcBorders>
                  <w:shd w:val="clear" w:color="auto" w:fill="auto"/>
                  <w:vAlign w:val="center"/>
                </w:tcPr>
                <w:p w14:paraId="5650D9B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PAM投加泵</w:t>
                  </w:r>
                </w:p>
              </w:tc>
              <w:tc>
                <w:tcPr>
                  <w:tcW w:w="3362" w:type="dxa"/>
                  <w:tcBorders>
                    <w:tl2br w:val="nil"/>
                    <w:tr2bl w:val="nil"/>
                  </w:tcBorders>
                  <w:shd w:val="clear" w:color="auto" w:fill="auto"/>
                  <w:vAlign w:val="center"/>
                </w:tcPr>
                <w:p w14:paraId="07EAEA51">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0.4~1.3</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/h，0.3MPa，0.75kW，1用1备</w:t>
                  </w:r>
                </w:p>
              </w:tc>
              <w:tc>
                <w:tcPr>
                  <w:tcW w:w="615" w:type="dxa"/>
                  <w:tcBorders>
                    <w:tl2br w:val="nil"/>
                    <w:tr2bl w:val="nil"/>
                  </w:tcBorders>
                  <w:shd w:val="clear" w:color="auto" w:fill="auto"/>
                  <w:vAlign w:val="center"/>
                </w:tcPr>
                <w:p w14:paraId="630DD19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555" w:type="dxa"/>
                  <w:tcBorders>
                    <w:tl2br w:val="nil"/>
                    <w:tr2bl w:val="nil"/>
                  </w:tcBorders>
                  <w:shd w:val="clear" w:color="auto" w:fill="auto"/>
                  <w:vAlign w:val="center"/>
                </w:tcPr>
                <w:p w14:paraId="5DB57DA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1030" w:type="dxa"/>
                  <w:tcBorders>
                    <w:tl2br w:val="nil"/>
                    <w:tr2bl w:val="nil"/>
                  </w:tcBorders>
                  <w:shd w:val="clear" w:color="auto" w:fill="auto"/>
                  <w:vAlign w:val="center"/>
                </w:tcPr>
                <w:p w14:paraId="0CFFD369">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6134DF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35367FD1">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16.5</w:t>
                  </w:r>
                </w:p>
              </w:tc>
              <w:tc>
                <w:tcPr>
                  <w:tcW w:w="1983" w:type="dxa"/>
                  <w:tcBorders>
                    <w:tl2br w:val="nil"/>
                    <w:tr2bl w:val="nil"/>
                  </w:tcBorders>
                  <w:shd w:val="clear" w:color="auto" w:fill="auto"/>
                  <w:vAlign w:val="center"/>
                </w:tcPr>
                <w:p w14:paraId="25A17222">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调理罐</w:t>
                  </w:r>
                </w:p>
              </w:tc>
              <w:tc>
                <w:tcPr>
                  <w:tcW w:w="3362" w:type="dxa"/>
                  <w:tcBorders>
                    <w:tl2br w:val="nil"/>
                    <w:tr2bl w:val="nil"/>
                  </w:tcBorders>
                  <w:shd w:val="clear" w:color="auto" w:fill="auto"/>
                  <w:vAlign w:val="center"/>
                </w:tcPr>
                <w:p w14:paraId="0C9E751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，φ2×2.5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，碳钢防腐，3kW，配套搅拌机，双层桨叶</w:t>
                  </w:r>
                </w:p>
              </w:tc>
              <w:tc>
                <w:tcPr>
                  <w:tcW w:w="615" w:type="dxa"/>
                  <w:tcBorders>
                    <w:tl2br w:val="nil"/>
                    <w:tr2bl w:val="nil"/>
                  </w:tcBorders>
                  <w:shd w:val="clear" w:color="auto" w:fill="auto"/>
                  <w:vAlign w:val="center"/>
                </w:tcPr>
                <w:p w14:paraId="55B333B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555" w:type="dxa"/>
                  <w:tcBorders>
                    <w:tl2br w:val="nil"/>
                    <w:tr2bl w:val="nil"/>
                  </w:tcBorders>
                  <w:shd w:val="clear" w:color="auto" w:fill="auto"/>
                  <w:vAlign w:val="center"/>
                </w:tcPr>
                <w:p w14:paraId="1E794D4F">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1030" w:type="dxa"/>
                  <w:tcBorders>
                    <w:tl2br w:val="nil"/>
                    <w:tr2bl w:val="nil"/>
                  </w:tcBorders>
                  <w:shd w:val="clear" w:color="auto" w:fill="auto"/>
                  <w:vAlign w:val="center"/>
                </w:tcPr>
                <w:p w14:paraId="0F74575F">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0BAB28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6186708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16.6</w:t>
                  </w:r>
                </w:p>
              </w:tc>
              <w:tc>
                <w:tcPr>
                  <w:tcW w:w="1983" w:type="dxa"/>
                  <w:tcBorders>
                    <w:tl2br w:val="nil"/>
                    <w:tr2bl w:val="nil"/>
                  </w:tcBorders>
                  <w:shd w:val="clear" w:color="auto" w:fill="auto"/>
                  <w:vAlign w:val="center"/>
                </w:tcPr>
                <w:p w14:paraId="7EEAD468">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铁盐储罐</w:t>
                  </w:r>
                </w:p>
              </w:tc>
              <w:tc>
                <w:tcPr>
                  <w:tcW w:w="3362" w:type="dxa"/>
                  <w:tcBorders>
                    <w:tl2br w:val="nil"/>
                    <w:tr2bl w:val="nil"/>
                  </w:tcBorders>
                  <w:shd w:val="clear" w:color="auto" w:fill="auto"/>
                  <w:vAlign w:val="center"/>
                </w:tcPr>
                <w:p w14:paraId="0786A5F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，φ1580，PE材质</w:t>
                  </w:r>
                </w:p>
              </w:tc>
              <w:tc>
                <w:tcPr>
                  <w:tcW w:w="615" w:type="dxa"/>
                  <w:tcBorders>
                    <w:tl2br w:val="nil"/>
                    <w:tr2bl w:val="nil"/>
                  </w:tcBorders>
                  <w:shd w:val="clear" w:color="auto" w:fill="auto"/>
                  <w:vAlign w:val="center"/>
                </w:tcPr>
                <w:p w14:paraId="6477596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555" w:type="dxa"/>
                  <w:tcBorders>
                    <w:tl2br w:val="nil"/>
                    <w:tr2bl w:val="nil"/>
                  </w:tcBorders>
                  <w:shd w:val="clear" w:color="auto" w:fill="auto"/>
                  <w:vAlign w:val="center"/>
                </w:tcPr>
                <w:p w14:paraId="432B9E7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1030" w:type="dxa"/>
                  <w:tcBorders>
                    <w:tl2br w:val="nil"/>
                    <w:tr2bl w:val="nil"/>
                  </w:tcBorders>
                  <w:shd w:val="clear" w:color="auto" w:fill="auto"/>
                  <w:vAlign w:val="center"/>
                </w:tcPr>
                <w:p w14:paraId="1D98D83C">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32E7D4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28F46C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16.7</w:t>
                  </w:r>
                </w:p>
              </w:tc>
              <w:tc>
                <w:tcPr>
                  <w:tcW w:w="1983" w:type="dxa"/>
                  <w:tcBorders>
                    <w:tl2br w:val="nil"/>
                    <w:tr2bl w:val="nil"/>
                  </w:tcBorders>
                  <w:shd w:val="clear" w:color="auto" w:fill="auto"/>
                  <w:vAlign w:val="center"/>
                </w:tcPr>
                <w:p w14:paraId="1B4E854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铁盐投加泵</w:t>
                  </w:r>
                </w:p>
              </w:tc>
              <w:tc>
                <w:tcPr>
                  <w:tcW w:w="3362" w:type="dxa"/>
                  <w:tcBorders>
                    <w:tl2br w:val="nil"/>
                    <w:tr2bl w:val="nil"/>
                  </w:tcBorders>
                  <w:shd w:val="clear" w:color="auto" w:fill="auto"/>
                  <w:vAlign w:val="center"/>
                </w:tcPr>
                <w:p w14:paraId="6868A88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400L/h，0.5Mpa，0.37kW，1用1备</w:t>
                  </w:r>
                </w:p>
              </w:tc>
              <w:tc>
                <w:tcPr>
                  <w:tcW w:w="615" w:type="dxa"/>
                  <w:tcBorders>
                    <w:tl2br w:val="nil"/>
                    <w:tr2bl w:val="nil"/>
                  </w:tcBorders>
                  <w:shd w:val="clear" w:color="auto" w:fill="auto"/>
                  <w:vAlign w:val="center"/>
                </w:tcPr>
                <w:p w14:paraId="27FDE6E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555" w:type="dxa"/>
                  <w:tcBorders>
                    <w:tl2br w:val="nil"/>
                    <w:tr2bl w:val="nil"/>
                  </w:tcBorders>
                  <w:shd w:val="clear" w:color="auto" w:fill="auto"/>
                  <w:vAlign w:val="center"/>
                </w:tcPr>
                <w:p w14:paraId="38EECA0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1030" w:type="dxa"/>
                  <w:tcBorders>
                    <w:tl2br w:val="nil"/>
                    <w:tr2bl w:val="nil"/>
                  </w:tcBorders>
                  <w:shd w:val="clear" w:color="auto" w:fill="auto"/>
                  <w:vAlign w:val="center"/>
                </w:tcPr>
                <w:p w14:paraId="6C93A380">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1FC7B2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6CD38C6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16.8</w:t>
                  </w:r>
                </w:p>
              </w:tc>
              <w:tc>
                <w:tcPr>
                  <w:tcW w:w="1983" w:type="dxa"/>
                  <w:tcBorders>
                    <w:tl2br w:val="nil"/>
                    <w:tr2bl w:val="nil"/>
                  </w:tcBorders>
                  <w:shd w:val="clear" w:color="auto" w:fill="auto"/>
                  <w:vAlign w:val="center"/>
                </w:tcPr>
                <w:p w14:paraId="584D5FC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铁盐卸料泵</w:t>
                  </w:r>
                </w:p>
              </w:tc>
              <w:tc>
                <w:tcPr>
                  <w:tcW w:w="3362" w:type="dxa"/>
                  <w:tcBorders>
                    <w:tl2br w:val="nil"/>
                    <w:tr2bl w:val="nil"/>
                  </w:tcBorders>
                  <w:shd w:val="clear" w:color="auto" w:fill="auto"/>
                  <w:vAlign w:val="center"/>
                </w:tcPr>
                <w:p w14:paraId="53FA8DB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150L/h，9</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，0.37kW</w:t>
                  </w:r>
                </w:p>
              </w:tc>
              <w:tc>
                <w:tcPr>
                  <w:tcW w:w="615" w:type="dxa"/>
                  <w:tcBorders>
                    <w:tl2br w:val="nil"/>
                    <w:tr2bl w:val="nil"/>
                  </w:tcBorders>
                  <w:shd w:val="clear" w:color="auto" w:fill="auto"/>
                  <w:vAlign w:val="center"/>
                </w:tcPr>
                <w:p w14:paraId="2D8DDAF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555" w:type="dxa"/>
                  <w:tcBorders>
                    <w:tl2br w:val="nil"/>
                    <w:tr2bl w:val="nil"/>
                  </w:tcBorders>
                  <w:shd w:val="clear" w:color="auto" w:fill="auto"/>
                  <w:vAlign w:val="center"/>
                </w:tcPr>
                <w:p w14:paraId="1B37B69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1030" w:type="dxa"/>
                  <w:tcBorders>
                    <w:tl2br w:val="nil"/>
                    <w:tr2bl w:val="nil"/>
                  </w:tcBorders>
                  <w:shd w:val="clear" w:color="auto" w:fill="auto"/>
                  <w:vAlign w:val="center"/>
                </w:tcPr>
                <w:p w14:paraId="7AE00421">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327154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39E3DAB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16.9</w:t>
                  </w:r>
                </w:p>
              </w:tc>
              <w:tc>
                <w:tcPr>
                  <w:tcW w:w="1983" w:type="dxa"/>
                  <w:tcBorders>
                    <w:tl2br w:val="nil"/>
                    <w:tr2bl w:val="nil"/>
                  </w:tcBorders>
                  <w:shd w:val="clear" w:color="auto" w:fill="auto"/>
                  <w:vAlign w:val="center"/>
                </w:tcPr>
                <w:p w14:paraId="5FB7DAD2">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石灰料仓</w:t>
                  </w:r>
                </w:p>
              </w:tc>
              <w:tc>
                <w:tcPr>
                  <w:tcW w:w="3362" w:type="dxa"/>
                  <w:tcBorders>
                    <w:tl2br w:val="nil"/>
                    <w:tr2bl w:val="nil"/>
                  </w:tcBorders>
                  <w:shd w:val="clear" w:color="auto" w:fill="auto"/>
                  <w:vAlign w:val="center"/>
                </w:tcPr>
                <w:p w14:paraId="3A9E189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容积10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，φ2*3</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＋椎体高度1.8</w:t>
                  </w:r>
                  <w:r>
                    <w:rPr>
                      <w:rFonts w:hint="eastAsia" w:cs="Times New Roman"/>
                      <w:color w:val="auto"/>
                      <w:sz w:val="21"/>
                      <w:szCs w:val="21"/>
                      <w:lang w:val="en-US" w:eastAsia="zh-CN"/>
                    </w:rPr>
                    <w:t>m</w:t>
                  </w:r>
                </w:p>
              </w:tc>
              <w:tc>
                <w:tcPr>
                  <w:tcW w:w="615" w:type="dxa"/>
                  <w:tcBorders>
                    <w:tl2br w:val="nil"/>
                    <w:tr2bl w:val="nil"/>
                  </w:tcBorders>
                  <w:shd w:val="clear" w:color="auto" w:fill="auto"/>
                  <w:vAlign w:val="center"/>
                </w:tcPr>
                <w:p w14:paraId="21BAF37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个</w:t>
                  </w:r>
                </w:p>
              </w:tc>
              <w:tc>
                <w:tcPr>
                  <w:tcW w:w="555" w:type="dxa"/>
                  <w:tcBorders>
                    <w:tl2br w:val="nil"/>
                    <w:tr2bl w:val="nil"/>
                  </w:tcBorders>
                  <w:shd w:val="clear" w:color="auto" w:fill="auto"/>
                  <w:vAlign w:val="center"/>
                </w:tcPr>
                <w:p w14:paraId="19C5A8A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1030" w:type="dxa"/>
                  <w:tcBorders>
                    <w:tl2br w:val="nil"/>
                    <w:tr2bl w:val="nil"/>
                  </w:tcBorders>
                  <w:shd w:val="clear" w:color="auto" w:fill="auto"/>
                  <w:vAlign w:val="center"/>
                </w:tcPr>
                <w:p w14:paraId="7C1EC0DB">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344AE6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6946DA9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16.10</w:t>
                  </w:r>
                </w:p>
              </w:tc>
              <w:tc>
                <w:tcPr>
                  <w:tcW w:w="1983" w:type="dxa"/>
                  <w:tcBorders>
                    <w:tl2br w:val="nil"/>
                    <w:tr2bl w:val="nil"/>
                  </w:tcBorders>
                  <w:shd w:val="clear" w:color="auto" w:fill="auto"/>
                  <w:vAlign w:val="center"/>
                </w:tcPr>
                <w:p w14:paraId="28FB2BF8">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压榨进料泵</w:t>
                  </w:r>
                  <w:r>
                    <w:rPr>
                      <w:rFonts w:hint="default" w:ascii="Times New Roman" w:hAnsi="Times New Roman" w:cs="Times New Roman"/>
                      <w:color w:val="auto"/>
                      <w:sz w:val="21"/>
                      <w:szCs w:val="21"/>
                      <w:lang w:val="en-US" w:eastAsia="zh-CN"/>
                    </w:rPr>
                    <w:br w:type="textWrapping"/>
                  </w:r>
                  <w:r>
                    <w:rPr>
                      <w:rFonts w:hint="default" w:ascii="Times New Roman" w:hAnsi="Times New Roman" w:cs="Times New Roman"/>
                      <w:color w:val="auto"/>
                      <w:sz w:val="21"/>
                      <w:szCs w:val="21"/>
                      <w:lang w:val="en-US" w:eastAsia="zh-CN"/>
                    </w:rPr>
                    <w:t>（柱塞泵）</w:t>
                  </w:r>
                </w:p>
              </w:tc>
              <w:tc>
                <w:tcPr>
                  <w:tcW w:w="3362" w:type="dxa"/>
                  <w:tcBorders>
                    <w:tl2br w:val="nil"/>
                    <w:tr2bl w:val="nil"/>
                  </w:tcBorders>
                  <w:shd w:val="clear" w:color="auto" w:fill="auto"/>
                  <w:vAlign w:val="center"/>
                </w:tcPr>
                <w:p w14:paraId="0B8FA1C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Q=15</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/h，1.2MPa，15kW</w:t>
                  </w:r>
                </w:p>
              </w:tc>
              <w:tc>
                <w:tcPr>
                  <w:tcW w:w="615" w:type="dxa"/>
                  <w:tcBorders>
                    <w:tl2br w:val="nil"/>
                    <w:tr2bl w:val="nil"/>
                  </w:tcBorders>
                  <w:shd w:val="clear" w:color="auto" w:fill="auto"/>
                  <w:vAlign w:val="center"/>
                </w:tcPr>
                <w:p w14:paraId="419A02A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555" w:type="dxa"/>
                  <w:tcBorders>
                    <w:tl2br w:val="nil"/>
                    <w:tr2bl w:val="nil"/>
                  </w:tcBorders>
                  <w:shd w:val="clear" w:color="auto" w:fill="auto"/>
                  <w:vAlign w:val="center"/>
                </w:tcPr>
                <w:p w14:paraId="7B1524E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1030" w:type="dxa"/>
                  <w:tcBorders>
                    <w:tl2br w:val="nil"/>
                    <w:tr2bl w:val="nil"/>
                  </w:tcBorders>
                  <w:shd w:val="clear" w:color="auto" w:fill="auto"/>
                  <w:vAlign w:val="center"/>
                </w:tcPr>
                <w:p w14:paraId="16321C37">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0E5472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03889FEF">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16.11</w:t>
                  </w:r>
                </w:p>
              </w:tc>
              <w:tc>
                <w:tcPr>
                  <w:tcW w:w="1983" w:type="dxa"/>
                  <w:tcBorders>
                    <w:tl2br w:val="nil"/>
                    <w:tr2bl w:val="nil"/>
                  </w:tcBorders>
                  <w:shd w:val="clear" w:color="auto" w:fill="auto"/>
                  <w:vAlign w:val="center"/>
                </w:tcPr>
                <w:p w14:paraId="67EDE4A4">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超高压压榨机</w:t>
                  </w:r>
                </w:p>
              </w:tc>
              <w:tc>
                <w:tcPr>
                  <w:tcW w:w="3362" w:type="dxa"/>
                  <w:tcBorders>
                    <w:tl2br w:val="nil"/>
                    <w:tr2bl w:val="nil"/>
                  </w:tcBorders>
                  <w:shd w:val="clear" w:color="auto" w:fill="auto"/>
                  <w:vAlign w:val="center"/>
                </w:tcPr>
                <w:p w14:paraId="1FF4E37F">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过滤面积40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2</w:t>
                  </w:r>
                  <w:r>
                    <w:rPr>
                      <w:rFonts w:hint="default" w:ascii="Times New Roman" w:hAnsi="Times New Roman" w:cs="Times New Roman"/>
                      <w:color w:val="auto"/>
                      <w:sz w:val="21"/>
                      <w:szCs w:val="21"/>
                      <w:lang w:val="en-US" w:eastAsia="zh-CN"/>
                    </w:rPr>
                    <w:t>，7.5+7.5+0.55+0.25kW，带</w:t>
                  </w:r>
                  <w:r>
                    <w:rPr>
                      <w:rFonts w:hint="eastAsia" w:cs="Times New Roman"/>
                      <w:color w:val="auto"/>
                      <w:sz w:val="21"/>
                      <w:szCs w:val="21"/>
                      <w:lang w:val="en-US" w:eastAsia="zh-CN"/>
                    </w:rPr>
                    <w:t>翻板</w:t>
                  </w:r>
                  <w:r>
                    <w:rPr>
                      <w:rFonts w:hint="default" w:ascii="Times New Roman" w:hAnsi="Times New Roman" w:cs="Times New Roman"/>
                      <w:color w:val="auto"/>
                      <w:sz w:val="21"/>
                      <w:szCs w:val="21"/>
                      <w:lang w:val="en-US" w:eastAsia="zh-CN"/>
                    </w:rPr>
                    <w:t>接液、反吹，含电控柜</w:t>
                  </w:r>
                </w:p>
              </w:tc>
              <w:tc>
                <w:tcPr>
                  <w:tcW w:w="615" w:type="dxa"/>
                  <w:tcBorders>
                    <w:tl2br w:val="nil"/>
                    <w:tr2bl w:val="nil"/>
                  </w:tcBorders>
                  <w:shd w:val="clear" w:color="auto" w:fill="auto"/>
                  <w:vAlign w:val="center"/>
                </w:tcPr>
                <w:p w14:paraId="0446AE1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555" w:type="dxa"/>
                  <w:tcBorders>
                    <w:tl2br w:val="nil"/>
                    <w:tr2bl w:val="nil"/>
                  </w:tcBorders>
                  <w:shd w:val="clear" w:color="auto" w:fill="auto"/>
                  <w:vAlign w:val="center"/>
                </w:tcPr>
                <w:p w14:paraId="67689DD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1030" w:type="dxa"/>
                  <w:tcBorders>
                    <w:tl2br w:val="nil"/>
                    <w:tr2bl w:val="nil"/>
                  </w:tcBorders>
                  <w:shd w:val="clear" w:color="auto" w:fill="auto"/>
                  <w:vAlign w:val="center"/>
                </w:tcPr>
                <w:p w14:paraId="2E84461D">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350161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709C8B54">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16.12</w:t>
                  </w:r>
                </w:p>
              </w:tc>
              <w:tc>
                <w:tcPr>
                  <w:tcW w:w="1983" w:type="dxa"/>
                  <w:tcBorders>
                    <w:tl2br w:val="nil"/>
                    <w:tr2bl w:val="nil"/>
                  </w:tcBorders>
                  <w:shd w:val="clear" w:color="auto" w:fill="auto"/>
                  <w:vAlign w:val="center"/>
                </w:tcPr>
                <w:p w14:paraId="1FAE39A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污泥斗</w:t>
                  </w:r>
                </w:p>
              </w:tc>
              <w:tc>
                <w:tcPr>
                  <w:tcW w:w="3362" w:type="dxa"/>
                  <w:tcBorders>
                    <w:tl2br w:val="nil"/>
                    <w:tr2bl w:val="nil"/>
                  </w:tcBorders>
                  <w:shd w:val="clear" w:color="auto" w:fill="auto"/>
                  <w:vAlign w:val="center"/>
                </w:tcPr>
                <w:p w14:paraId="5AE8CD8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单斗结构，有效容积约7</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，功率约2*1.1+1.5kW</w:t>
                  </w:r>
                </w:p>
              </w:tc>
              <w:tc>
                <w:tcPr>
                  <w:tcW w:w="615" w:type="dxa"/>
                  <w:tcBorders>
                    <w:tl2br w:val="nil"/>
                    <w:tr2bl w:val="nil"/>
                  </w:tcBorders>
                  <w:shd w:val="clear" w:color="auto" w:fill="auto"/>
                  <w:vAlign w:val="center"/>
                </w:tcPr>
                <w:p w14:paraId="0B8D18E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555" w:type="dxa"/>
                  <w:tcBorders>
                    <w:tl2br w:val="nil"/>
                    <w:tr2bl w:val="nil"/>
                  </w:tcBorders>
                  <w:shd w:val="clear" w:color="auto" w:fill="auto"/>
                  <w:vAlign w:val="center"/>
                </w:tcPr>
                <w:p w14:paraId="12681BB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1030" w:type="dxa"/>
                  <w:tcBorders>
                    <w:tl2br w:val="nil"/>
                    <w:tr2bl w:val="nil"/>
                  </w:tcBorders>
                  <w:shd w:val="clear" w:color="auto" w:fill="auto"/>
                  <w:vAlign w:val="center"/>
                </w:tcPr>
                <w:p w14:paraId="1B2E57D8">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3DB1B9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2D1CE2D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16.13</w:t>
                  </w:r>
                </w:p>
              </w:tc>
              <w:tc>
                <w:tcPr>
                  <w:tcW w:w="1983" w:type="dxa"/>
                  <w:tcBorders>
                    <w:tl2br w:val="nil"/>
                    <w:tr2bl w:val="nil"/>
                  </w:tcBorders>
                  <w:shd w:val="clear" w:color="auto" w:fill="auto"/>
                  <w:vAlign w:val="center"/>
                </w:tcPr>
                <w:p w14:paraId="001FBE1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手动清洗机</w:t>
                  </w:r>
                </w:p>
              </w:tc>
              <w:tc>
                <w:tcPr>
                  <w:tcW w:w="3362" w:type="dxa"/>
                  <w:tcBorders>
                    <w:tl2br w:val="nil"/>
                    <w:tr2bl w:val="nil"/>
                  </w:tcBorders>
                  <w:shd w:val="clear" w:color="auto" w:fill="auto"/>
                  <w:vAlign w:val="center"/>
                </w:tcPr>
                <w:p w14:paraId="4A59750F">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40L/</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in，4MPa，3kW</w:t>
                  </w:r>
                </w:p>
              </w:tc>
              <w:tc>
                <w:tcPr>
                  <w:tcW w:w="615" w:type="dxa"/>
                  <w:tcBorders>
                    <w:tl2br w:val="nil"/>
                    <w:tr2bl w:val="nil"/>
                  </w:tcBorders>
                  <w:shd w:val="clear" w:color="auto" w:fill="auto"/>
                  <w:vAlign w:val="center"/>
                </w:tcPr>
                <w:p w14:paraId="1C1543CF">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555" w:type="dxa"/>
                  <w:tcBorders>
                    <w:tl2br w:val="nil"/>
                    <w:tr2bl w:val="nil"/>
                  </w:tcBorders>
                  <w:shd w:val="clear" w:color="auto" w:fill="auto"/>
                  <w:vAlign w:val="center"/>
                </w:tcPr>
                <w:p w14:paraId="369B700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1030" w:type="dxa"/>
                  <w:tcBorders>
                    <w:tl2br w:val="nil"/>
                    <w:tr2bl w:val="nil"/>
                  </w:tcBorders>
                  <w:shd w:val="clear" w:color="auto" w:fill="auto"/>
                  <w:vAlign w:val="center"/>
                </w:tcPr>
                <w:p w14:paraId="38394270">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002B6F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1FFBFBC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16.14</w:t>
                  </w:r>
                </w:p>
              </w:tc>
              <w:tc>
                <w:tcPr>
                  <w:tcW w:w="1983" w:type="dxa"/>
                  <w:tcBorders>
                    <w:tl2br w:val="nil"/>
                    <w:tr2bl w:val="nil"/>
                  </w:tcBorders>
                  <w:shd w:val="clear" w:color="auto" w:fill="auto"/>
                  <w:vAlign w:val="center"/>
                </w:tcPr>
                <w:p w14:paraId="6027DEF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清洗水箱</w:t>
                  </w:r>
                </w:p>
              </w:tc>
              <w:tc>
                <w:tcPr>
                  <w:tcW w:w="3362" w:type="dxa"/>
                  <w:tcBorders>
                    <w:tl2br w:val="nil"/>
                    <w:tr2bl w:val="nil"/>
                  </w:tcBorders>
                  <w:shd w:val="clear" w:color="auto" w:fill="auto"/>
                  <w:vAlign w:val="center"/>
                </w:tcPr>
                <w:p w14:paraId="687C8678">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φ1320，2</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，PE材质</w:t>
                  </w:r>
                </w:p>
              </w:tc>
              <w:tc>
                <w:tcPr>
                  <w:tcW w:w="615" w:type="dxa"/>
                  <w:tcBorders>
                    <w:tl2br w:val="nil"/>
                    <w:tr2bl w:val="nil"/>
                  </w:tcBorders>
                  <w:shd w:val="clear" w:color="auto" w:fill="auto"/>
                  <w:vAlign w:val="center"/>
                </w:tcPr>
                <w:p w14:paraId="3FA336D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555" w:type="dxa"/>
                  <w:tcBorders>
                    <w:tl2br w:val="nil"/>
                    <w:tr2bl w:val="nil"/>
                  </w:tcBorders>
                  <w:shd w:val="clear" w:color="auto" w:fill="auto"/>
                  <w:vAlign w:val="center"/>
                </w:tcPr>
                <w:p w14:paraId="16C41E2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1030" w:type="dxa"/>
                  <w:tcBorders>
                    <w:tl2br w:val="nil"/>
                    <w:tr2bl w:val="nil"/>
                  </w:tcBorders>
                  <w:shd w:val="clear" w:color="auto" w:fill="auto"/>
                  <w:vAlign w:val="center"/>
                </w:tcPr>
                <w:p w14:paraId="77D6CBB5">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0E78F0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3674616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16.15</w:t>
                  </w:r>
                </w:p>
              </w:tc>
              <w:tc>
                <w:tcPr>
                  <w:tcW w:w="1983" w:type="dxa"/>
                  <w:tcBorders>
                    <w:tl2br w:val="nil"/>
                    <w:tr2bl w:val="nil"/>
                  </w:tcBorders>
                  <w:shd w:val="clear" w:color="auto" w:fill="auto"/>
                  <w:vAlign w:val="center"/>
                </w:tcPr>
                <w:p w14:paraId="7D70AC0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空压机</w:t>
                  </w:r>
                </w:p>
              </w:tc>
              <w:tc>
                <w:tcPr>
                  <w:tcW w:w="3362" w:type="dxa"/>
                  <w:tcBorders>
                    <w:tl2br w:val="nil"/>
                    <w:tr2bl w:val="nil"/>
                  </w:tcBorders>
                  <w:shd w:val="clear" w:color="auto" w:fill="auto"/>
                  <w:vAlign w:val="center"/>
                </w:tcPr>
                <w:p w14:paraId="65424EC2">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0.95N</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in，1.0MPa，7.5kW</w:t>
                  </w:r>
                </w:p>
              </w:tc>
              <w:tc>
                <w:tcPr>
                  <w:tcW w:w="615" w:type="dxa"/>
                  <w:tcBorders>
                    <w:tl2br w:val="nil"/>
                    <w:tr2bl w:val="nil"/>
                  </w:tcBorders>
                  <w:shd w:val="clear" w:color="auto" w:fill="auto"/>
                  <w:vAlign w:val="center"/>
                </w:tcPr>
                <w:p w14:paraId="57A3FBA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555" w:type="dxa"/>
                  <w:tcBorders>
                    <w:tl2br w:val="nil"/>
                    <w:tr2bl w:val="nil"/>
                  </w:tcBorders>
                  <w:shd w:val="clear" w:color="auto" w:fill="auto"/>
                  <w:vAlign w:val="center"/>
                </w:tcPr>
                <w:p w14:paraId="0267A4A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1030" w:type="dxa"/>
                  <w:tcBorders>
                    <w:tl2br w:val="nil"/>
                    <w:tr2bl w:val="nil"/>
                  </w:tcBorders>
                  <w:shd w:val="clear" w:color="auto" w:fill="auto"/>
                  <w:vAlign w:val="center"/>
                </w:tcPr>
                <w:p w14:paraId="2B32365F">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66D81A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6F06B702">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16.16</w:t>
                  </w:r>
                </w:p>
              </w:tc>
              <w:tc>
                <w:tcPr>
                  <w:tcW w:w="1983" w:type="dxa"/>
                  <w:tcBorders>
                    <w:tl2br w:val="nil"/>
                    <w:tr2bl w:val="nil"/>
                  </w:tcBorders>
                  <w:shd w:val="clear" w:color="auto" w:fill="auto"/>
                  <w:vAlign w:val="center"/>
                </w:tcPr>
                <w:p w14:paraId="2423014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冷干机</w:t>
                  </w:r>
                </w:p>
              </w:tc>
              <w:tc>
                <w:tcPr>
                  <w:tcW w:w="3362" w:type="dxa"/>
                  <w:tcBorders>
                    <w:tl2br w:val="nil"/>
                    <w:tr2bl w:val="nil"/>
                  </w:tcBorders>
                  <w:shd w:val="clear" w:color="auto" w:fill="auto"/>
                  <w:vAlign w:val="center"/>
                </w:tcPr>
                <w:p w14:paraId="135DEEFF">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0.7N</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in，220V，0.63kW，配前后过滤器</w:t>
                  </w:r>
                </w:p>
              </w:tc>
              <w:tc>
                <w:tcPr>
                  <w:tcW w:w="615" w:type="dxa"/>
                  <w:tcBorders>
                    <w:tl2br w:val="nil"/>
                    <w:tr2bl w:val="nil"/>
                  </w:tcBorders>
                  <w:shd w:val="clear" w:color="auto" w:fill="auto"/>
                  <w:vAlign w:val="center"/>
                </w:tcPr>
                <w:p w14:paraId="5323A2D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555" w:type="dxa"/>
                  <w:tcBorders>
                    <w:tl2br w:val="nil"/>
                    <w:tr2bl w:val="nil"/>
                  </w:tcBorders>
                  <w:shd w:val="clear" w:color="auto" w:fill="auto"/>
                  <w:vAlign w:val="center"/>
                </w:tcPr>
                <w:p w14:paraId="759DCE7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1030" w:type="dxa"/>
                  <w:tcBorders>
                    <w:tl2br w:val="nil"/>
                    <w:tr2bl w:val="nil"/>
                  </w:tcBorders>
                  <w:shd w:val="clear" w:color="auto" w:fill="auto"/>
                  <w:vAlign w:val="center"/>
                </w:tcPr>
                <w:p w14:paraId="31FE284F">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7E0F0C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45F9B3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16.17</w:t>
                  </w:r>
                </w:p>
              </w:tc>
              <w:tc>
                <w:tcPr>
                  <w:tcW w:w="1983" w:type="dxa"/>
                  <w:tcBorders>
                    <w:tl2br w:val="nil"/>
                    <w:tr2bl w:val="nil"/>
                  </w:tcBorders>
                  <w:shd w:val="clear" w:color="auto" w:fill="auto"/>
                  <w:vAlign w:val="center"/>
                </w:tcPr>
                <w:p w14:paraId="0633093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反吹储气罐</w:t>
                  </w:r>
                </w:p>
              </w:tc>
              <w:tc>
                <w:tcPr>
                  <w:tcW w:w="3362" w:type="dxa"/>
                  <w:tcBorders>
                    <w:tl2br w:val="nil"/>
                    <w:tr2bl w:val="nil"/>
                  </w:tcBorders>
                  <w:shd w:val="clear" w:color="auto" w:fill="auto"/>
                  <w:vAlign w:val="center"/>
                </w:tcPr>
                <w:p w14:paraId="546DB9E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，1.0MPa</w:t>
                  </w:r>
                </w:p>
              </w:tc>
              <w:tc>
                <w:tcPr>
                  <w:tcW w:w="615" w:type="dxa"/>
                  <w:tcBorders>
                    <w:tl2br w:val="nil"/>
                    <w:tr2bl w:val="nil"/>
                  </w:tcBorders>
                  <w:shd w:val="clear" w:color="auto" w:fill="auto"/>
                  <w:vAlign w:val="center"/>
                </w:tcPr>
                <w:p w14:paraId="60379CA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555" w:type="dxa"/>
                  <w:tcBorders>
                    <w:tl2br w:val="nil"/>
                    <w:tr2bl w:val="nil"/>
                  </w:tcBorders>
                  <w:shd w:val="clear" w:color="auto" w:fill="auto"/>
                  <w:vAlign w:val="center"/>
                </w:tcPr>
                <w:p w14:paraId="2BE7468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1030" w:type="dxa"/>
                  <w:tcBorders>
                    <w:tl2br w:val="nil"/>
                    <w:tr2bl w:val="nil"/>
                  </w:tcBorders>
                  <w:shd w:val="clear" w:color="auto" w:fill="auto"/>
                  <w:vAlign w:val="center"/>
                </w:tcPr>
                <w:p w14:paraId="5D4D34DF">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17588F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528FCC1">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16.18</w:t>
                  </w:r>
                </w:p>
              </w:tc>
              <w:tc>
                <w:tcPr>
                  <w:tcW w:w="1983" w:type="dxa"/>
                  <w:tcBorders>
                    <w:tl2br w:val="nil"/>
                    <w:tr2bl w:val="nil"/>
                  </w:tcBorders>
                  <w:shd w:val="clear" w:color="auto" w:fill="auto"/>
                  <w:vAlign w:val="center"/>
                </w:tcPr>
                <w:p w14:paraId="1F3E796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仪表储气罐</w:t>
                  </w:r>
                </w:p>
              </w:tc>
              <w:tc>
                <w:tcPr>
                  <w:tcW w:w="3362" w:type="dxa"/>
                  <w:tcBorders>
                    <w:tl2br w:val="nil"/>
                    <w:tr2bl w:val="nil"/>
                  </w:tcBorders>
                  <w:shd w:val="clear" w:color="auto" w:fill="auto"/>
                  <w:vAlign w:val="center"/>
                </w:tcPr>
                <w:p w14:paraId="2047B982">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0.3</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，1.0MPa</w:t>
                  </w:r>
                </w:p>
              </w:tc>
              <w:tc>
                <w:tcPr>
                  <w:tcW w:w="615" w:type="dxa"/>
                  <w:tcBorders>
                    <w:tl2br w:val="nil"/>
                    <w:tr2bl w:val="nil"/>
                  </w:tcBorders>
                  <w:shd w:val="clear" w:color="auto" w:fill="auto"/>
                  <w:vAlign w:val="center"/>
                </w:tcPr>
                <w:p w14:paraId="0D8F28E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555" w:type="dxa"/>
                  <w:tcBorders>
                    <w:tl2br w:val="nil"/>
                    <w:tr2bl w:val="nil"/>
                  </w:tcBorders>
                  <w:shd w:val="clear" w:color="auto" w:fill="auto"/>
                  <w:vAlign w:val="center"/>
                </w:tcPr>
                <w:p w14:paraId="24C5E85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1030" w:type="dxa"/>
                  <w:tcBorders>
                    <w:tl2br w:val="nil"/>
                    <w:tr2bl w:val="nil"/>
                  </w:tcBorders>
                  <w:shd w:val="clear" w:color="auto" w:fill="auto"/>
                  <w:vAlign w:val="center"/>
                </w:tcPr>
                <w:p w14:paraId="4C1E7BAA">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1AF0FC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635C354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16.19</w:t>
                  </w:r>
                </w:p>
              </w:tc>
              <w:tc>
                <w:tcPr>
                  <w:tcW w:w="1983" w:type="dxa"/>
                  <w:tcBorders>
                    <w:tl2br w:val="nil"/>
                    <w:tr2bl w:val="nil"/>
                  </w:tcBorders>
                  <w:shd w:val="clear" w:color="auto" w:fill="auto"/>
                  <w:vAlign w:val="center"/>
                </w:tcPr>
                <w:p w14:paraId="43DCE0D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系统PLC控制柜</w:t>
                  </w:r>
                </w:p>
              </w:tc>
              <w:tc>
                <w:tcPr>
                  <w:tcW w:w="3362" w:type="dxa"/>
                  <w:tcBorders>
                    <w:tl2br w:val="nil"/>
                    <w:tr2bl w:val="nil"/>
                  </w:tcBorders>
                  <w:shd w:val="clear" w:color="auto" w:fill="auto"/>
                  <w:vAlign w:val="center"/>
                </w:tcPr>
                <w:p w14:paraId="2D5A20C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柜体材质碳钢喷塑</w:t>
                  </w:r>
                </w:p>
              </w:tc>
              <w:tc>
                <w:tcPr>
                  <w:tcW w:w="615" w:type="dxa"/>
                  <w:tcBorders>
                    <w:tl2br w:val="nil"/>
                    <w:tr2bl w:val="nil"/>
                  </w:tcBorders>
                  <w:shd w:val="clear" w:color="auto" w:fill="auto"/>
                  <w:vAlign w:val="center"/>
                </w:tcPr>
                <w:p w14:paraId="2B95CBA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555" w:type="dxa"/>
                  <w:tcBorders>
                    <w:tl2br w:val="nil"/>
                    <w:tr2bl w:val="nil"/>
                  </w:tcBorders>
                  <w:shd w:val="clear" w:color="auto" w:fill="auto"/>
                  <w:vAlign w:val="center"/>
                </w:tcPr>
                <w:p w14:paraId="6F3BE49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1030" w:type="dxa"/>
                  <w:tcBorders>
                    <w:tl2br w:val="nil"/>
                    <w:tr2bl w:val="nil"/>
                  </w:tcBorders>
                  <w:shd w:val="clear" w:color="auto" w:fill="auto"/>
                  <w:vAlign w:val="center"/>
                </w:tcPr>
                <w:p w14:paraId="42CD4ABA">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4EB70E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293D763D">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17</w:t>
                  </w:r>
                </w:p>
              </w:tc>
              <w:tc>
                <w:tcPr>
                  <w:tcW w:w="7545" w:type="dxa"/>
                  <w:gridSpan w:val="5"/>
                  <w:tcBorders>
                    <w:tl2br w:val="nil"/>
                    <w:tr2bl w:val="nil"/>
                  </w:tcBorders>
                  <w:shd w:val="clear" w:color="auto" w:fill="auto"/>
                  <w:vAlign w:val="center"/>
                </w:tcPr>
                <w:p w14:paraId="39B0DE39">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其他</w:t>
                  </w:r>
                </w:p>
              </w:tc>
            </w:tr>
            <w:tr w14:paraId="7DD333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5A96D83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17.1</w:t>
                  </w:r>
                </w:p>
              </w:tc>
              <w:tc>
                <w:tcPr>
                  <w:tcW w:w="1983" w:type="dxa"/>
                  <w:tcBorders>
                    <w:tl2br w:val="nil"/>
                    <w:tr2bl w:val="nil"/>
                  </w:tcBorders>
                  <w:shd w:val="clear" w:color="auto" w:fill="auto"/>
                  <w:vAlign w:val="center"/>
                </w:tcPr>
                <w:p w14:paraId="3174A4F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超声波液位差计</w:t>
                  </w:r>
                </w:p>
              </w:tc>
              <w:tc>
                <w:tcPr>
                  <w:tcW w:w="3362" w:type="dxa"/>
                  <w:tcBorders>
                    <w:tl2br w:val="nil"/>
                    <w:tr2bl w:val="nil"/>
                  </w:tcBorders>
                  <w:shd w:val="clear" w:color="auto" w:fill="auto"/>
                  <w:vAlign w:val="center"/>
                </w:tcPr>
                <w:p w14:paraId="7E3E8BD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0-10</w:t>
                  </w:r>
                  <w:r>
                    <w:rPr>
                      <w:rFonts w:hint="eastAsia" w:cs="Times New Roman"/>
                      <w:color w:val="auto"/>
                      <w:sz w:val="21"/>
                      <w:szCs w:val="21"/>
                      <w:lang w:val="en-US" w:eastAsia="zh-CN"/>
                    </w:rPr>
                    <w:t>m</w:t>
                  </w:r>
                </w:p>
              </w:tc>
              <w:tc>
                <w:tcPr>
                  <w:tcW w:w="615" w:type="dxa"/>
                  <w:tcBorders>
                    <w:tl2br w:val="nil"/>
                    <w:tr2bl w:val="nil"/>
                  </w:tcBorders>
                  <w:shd w:val="clear" w:color="auto" w:fill="auto"/>
                  <w:vAlign w:val="center"/>
                </w:tcPr>
                <w:p w14:paraId="4E262ED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w:t>
                  </w:r>
                </w:p>
              </w:tc>
              <w:tc>
                <w:tcPr>
                  <w:tcW w:w="555" w:type="dxa"/>
                  <w:tcBorders>
                    <w:tl2br w:val="nil"/>
                    <w:tr2bl w:val="nil"/>
                  </w:tcBorders>
                  <w:shd w:val="clear" w:color="auto" w:fill="auto"/>
                  <w:vAlign w:val="center"/>
                </w:tcPr>
                <w:p w14:paraId="4246742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1BE34259">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411315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158C252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17.2</w:t>
                  </w:r>
                </w:p>
              </w:tc>
              <w:tc>
                <w:tcPr>
                  <w:tcW w:w="1983" w:type="dxa"/>
                  <w:tcBorders>
                    <w:tl2br w:val="nil"/>
                    <w:tr2bl w:val="nil"/>
                  </w:tcBorders>
                  <w:shd w:val="clear" w:color="auto" w:fill="auto"/>
                  <w:vAlign w:val="center"/>
                </w:tcPr>
                <w:p w14:paraId="58AAD06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四合一气体检测仪</w:t>
                  </w:r>
                </w:p>
              </w:tc>
              <w:tc>
                <w:tcPr>
                  <w:tcW w:w="3362" w:type="dxa"/>
                  <w:tcBorders>
                    <w:tl2br w:val="nil"/>
                    <w:tr2bl w:val="nil"/>
                  </w:tcBorders>
                  <w:shd w:val="clear" w:color="auto" w:fill="auto"/>
                  <w:vAlign w:val="center"/>
                </w:tcPr>
                <w:p w14:paraId="591DC5D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可燃气体、氧气、一氧化碳、硫化氢</w:t>
                  </w:r>
                </w:p>
              </w:tc>
              <w:tc>
                <w:tcPr>
                  <w:tcW w:w="615" w:type="dxa"/>
                  <w:tcBorders>
                    <w:tl2br w:val="nil"/>
                    <w:tr2bl w:val="nil"/>
                  </w:tcBorders>
                  <w:shd w:val="clear" w:color="auto" w:fill="auto"/>
                  <w:vAlign w:val="center"/>
                </w:tcPr>
                <w:p w14:paraId="479BDFC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5C7B5CD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3F5A545F">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590803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07DE70D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17.3</w:t>
                  </w:r>
                </w:p>
              </w:tc>
              <w:tc>
                <w:tcPr>
                  <w:tcW w:w="1983" w:type="dxa"/>
                  <w:tcBorders>
                    <w:tl2br w:val="nil"/>
                    <w:tr2bl w:val="nil"/>
                  </w:tcBorders>
                  <w:shd w:val="clear" w:color="auto" w:fill="auto"/>
                  <w:vAlign w:val="center"/>
                </w:tcPr>
                <w:p w14:paraId="2486F10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电磁流量计</w:t>
                  </w:r>
                </w:p>
              </w:tc>
              <w:tc>
                <w:tcPr>
                  <w:tcW w:w="3362" w:type="dxa"/>
                  <w:tcBorders>
                    <w:tl2br w:val="nil"/>
                    <w:tr2bl w:val="nil"/>
                  </w:tcBorders>
                  <w:shd w:val="clear" w:color="auto" w:fill="auto"/>
                  <w:vAlign w:val="center"/>
                </w:tcPr>
                <w:p w14:paraId="3C4002B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DN400，PN1.0MPa</w:t>
                  </w:r>
                </w:p>
              </w:tc>
              <w:tc>
                <w:tcPr>
                  <w:tcW w:w="615" w:type="dxa"/>
                  <w:tcBorders>
                    <w:tl2br w:val="nil"/>
                    <w:tr2bl w:val="nil"/>
                  </w:tcBorders>
                  <w:shd w:val="clear" w:color="auto" w:fill="auto"/>
                  <w:vAlign w:val="center"/>
                </w:tcPr>
                <w:p w14:paraId="6386D00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5B021FC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1A825E03">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748B43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1A8D05C1">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17.4</w:t>
                  </w:r>
                </w:p>
              </w:tc>
              <w:tc>
                <w:tcPr>
                  <w:tcW w:w="1983" w:type="dxa"/>
                  <w:tcBorders>
                    <w:tl2br w:val="nil"/>
                    <w:tr2bl w:val="nil"/>
                  </w:tcBorders>
                  <w:shd w:val="clear" w:color="auto" w:fill="auto"/>
                  <w:vAlign w:val="center"/>
                </w:tcPr>
                <w:p w14:paraId="2371B9E2">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压力变送器</w:t>
                  </w:r>
                </w:p>
              </w:tc>
              <w:tc>
                <w:tcPr>
                  <w:tcW w:w="3362" w:type="dxa"/>
                  <w:tcBorders>
                    <w:tl2br w:val="nil"/>
                    <w:tr2bl w:val="nil"/>
                  </w:tcBorders>
                  <w:shd w:val="clear" w:color="auto" w:fill="auto"/>
                  <w:vAlign w:val="center"/>
                </w:tcPr>
                <w:p w14:paraId="70A9E6B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PN1.0MPa</w:t>
                  </w:r>
                </w:p>
              </w:tc>
              <w:tc>
                <w:tcPr>
                  <w:tcW w:w="615" w:type="dxa"/>
                  <w:tcBorders>
                    <w:tl2br w:val="nil"/>
                    <w:tr2bl w:val="nil"/>
                  </w:tcBorders>
                  <w:shd w:val="clear" w:color="auto" w:fill="auto"/>
                  <w:vAlign w:val="center"/>
                </w:tcPr>
                <w:p w14:paraId="3B62A7F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716E032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2A83ECC0">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726FBB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65901842">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17.5</w:t>
                  </w:r>
                </w:p>
              </w:tc>
              <w:tc>
                <w:tcPr>
                  <w:tcW w:w="1983" w:type="dxa"/>
                  <w:tcBorders>
                    <w:tl2br w:val="nil"/>
                    <w:tr2bl w:val="nil"/>
                  </w:tcBorders>
                  <w:shd w:val="clear" w:color="auto" w:fill="auto"/>
                  <w:vAlign w:val="center"/>
                </w:tcPr>
                <w:p w14:paraId="15E3AF4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SS测量仪</w:t>
                  </w:r>
                </w:p>
              </w:tc>
              <w:tc>
                <w:tcPr>
                  <w:tcW w:w="3362" w:type="dxa"/>
                  <w:tcBorders>
                    <w:tl2br w:val="nil"/>
                    <w:tr2bl w:val="nil"/>
                  </w:tcBorders>
                  <w:shd w:val="clear" w:color="auto" w:fill="auto"/>
                  <w:vAlign w:val="center"/>
                </w:tcPr>
                <w:p w14:paraId="2AB3720A">
                  <w:pPr>
                    <w:pStyle w:val="15"/>
                    <w:bidi w:val="0"/>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w:t>
                  </w:r>
                </w:p>
              </w:tc>
              <w:tc>
                <w:tcPr>
                  <w:tcW w:w="615" w:type="dxa"/>
                  <w:tcBorders>
                    <w:tl2br w:val="nil"/>
                    <w:tr2bl w:val="nil"/>
                  </w:tcBorders>
                  <w:shd w:val="clear" w:color="auto" w:fill="auto"/>
                  <w:vAlign w:val="center"/>
                </w:tcPr>
                <w:p w14:paraId="49E62101">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227448B8">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08D90C5D">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1016B6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2FFC604F">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17.6</w:t>
                  </w:r>
                </w:p>
              </w:tc>
              <w:tc>
                <w:tcPr>
                  <w:tcW w:w="1983" w:type="dxa"/>
                  <w:tcBorders>
                    <w:tl2br w:val="nil"/>
                    <w:tr2bl w:val="nil"/>
                  </w:tcBorders>
                  <w:shd w:val="clear" w:color="auto" w:fill="auto"/>
                  <w:vAlign w:val="center"/>
                </w:tcPr>
                <w:p w14:paraId="721B61A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COD仪</w:t>
                  </w:r>
                </w:p>
              </w:tc>
              <w:tc>
                <w:tcPr>
                  <w:tcW w:w="3362" w:type="dxa"/>
                  <w:tcBorders>
                    <w:tl2br w:val="nil"/>
                    <w:tr2bl w:val="nil"/>
                  </w:tcBorders>
                  <w:shd w:val="clear" w:color="auto" w:fill="auto"/>
                  <w:vAlign w:val="center"/>
                </w:tcPr>
                <w:p w14:paraId="5B7326B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0~500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g/L</w:t>
                  </w:r>
                </w:p>
              </w:tc>
              <w:tc>
                <w:tcPr>
                  <w:tcW w:w="615" w:type="dxa"/>
                  <w:tcBorders>
                    <w:tl2br w:val="nil"/>
                    <w:tr2bl w:val="nil"/>
                  </w:tcBorders>
                  <w:shd w:val="clear" w:color="auto" w:fill="auto"/>
                  <w:vAlign w:val="center"/>
                </w:tcPr>
                <w:p w14:paraId="132BFDB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66A8E72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5478A0A8">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1CDCA7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22A6678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17.7</w:t>
                  </w:r>
                </w:p>
              </w:tc>
              <w:tc>
                <w:tcPr>
                  <w:tcW w:w="1983" w:type="dxa"/>
                  <w:tcBorders>
                    <w:tl2br w:val="nil"/>
                    <w:tr2bl w:val="nil"/>
                  </w:tcBorders>
                  <w:shd w:val="clear" w:color="auto" w:fill="auto"/>
                  <w:vAlign w:val="center"/>
                </w:tcPr>
                <w:p w14:paraId="3BD81C6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PH计</w:t>
                  </w:r>
                </w:p>
              </w:tc>
              <w:tc>
                <w:tcPr>
                  <w:tcW w:w="3362" w:type="dxa"/>
                  <w:tcBorders>
                    <w:tl2br w:val="nil"/>
                    <w:tr2bl w:val="nil"/>
                  </w:tcBorders>
                  <w:shd w:val="clear" w:color="auto" w:fill="auto"/>
                  <w:vAlign w:val="center"/>
                </w:tcPr>
                <w:p w14:paraId="6200248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量程0-14，4</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20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A传输，带温度检测</w:t>
                  </w:r>
                </w:p>
              </w:tc>
              <w:tc>
                <w:tcPr>
                  <w:tcW w:w="615" w:type="dxa"/>
                  <w:tcBorders>
                    <w:tl2br w:val="nil"/>
                    <w:tr2bl w:val="nil"/>
                  </w:tcBorders>
                  <w:shd w:val="clear" w:color="auto" w:fill="auto"/>
                  <w:vAlign w:val="center"/>
                </w:tcPr>
                <w:p w14:paraId="2D64DCEF">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w:t>
                  </w:r>
                </w:p>
              </w:tc>
              <w:tc>
                <w:tcPr>
                  <w:tcW w:w="555" w:type="dxa"/>
                  <w:tcBorders>
                    <w:tl2br w:val="nil"/>
                    <w:tr2bl w:val="nil"/>
                  </w:tcBorders>
                  <w:shd w:val="clear" w:color="auto" w:fill="auto"/>
                  <w:vAlign w:val="center"/>
                </w:tcPr>
                <w:p w14:paraId="1441128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565F1699">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4C08A7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FA6A991">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17.8</w:t>
                  </w:r>
                </w:p>
              </w:tc>
              <w:tc>
                <w:tcPr>
                  <w:tcW w:w="1983" w:type="dxa"/>
                  <w:tcBorders>
                    <w:tl2br w:val="nil"/>
                    <w:tr2bl w:val="nil"/>
                  </w:tcBorders>
                  <w:shd w:val="clear" w:color="auto" w:fill="auto"/>
                  <w:vAlign w:val="center"/>
                </w:tcPr>
                <w:p w14:paraId="69A492D4">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氨氮测定仪</w:t>
                  </w:r>
                </w:p>
              </w:tc>
              <w:tc>
                <w:tcPr>
                  <w:tcW w:w="3362" w:type="dxa"/>
                  <w:tcBorders>
                    <w:tl2br w:val="nil"/>
                    <w:tr2bl w:val="nil"/>
                  </w:tcBorders>
                  <w:shd w:val="clear" w:color="auto" w:fill="auto"/>
                  <w:vAlign w:val="center"/>
                </w:tcPr>
                <w:p w14:paraId="6CE7378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0~100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g/L</w:t>
                  </w:r>
                </w:p>
              </w:tc>
              <w:tc>
                <w:tcPr>
                  <w:tcW w:w="615" w:type="dxa"/>
                  <w:tcBorders>
                    <w:tl2br w:val="nil"/>
                    <w:tr2bl w:val="nil"/>
                  </w:tcBorders>
                  <w:shd w:val="clear" w:color="auto" w:fill="auto"/>
                  <w:vAlign w:val="center"/>
                </w:tcPr>
                <w:p w14:paraId="75F77121">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2243BD5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12C0FDFC">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261362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1302867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17.9</w:t>
                  </w:r>
                </w:p>
              </w:tc>
              <w:tc>
                <w:tcPr>
                  <w:tcW w:w="1983" w:type="dxa"/>
                  <w:tcBorders>
                    <w:tl2br w:val="nil"/>
                    <w:tr2bl w:val="nil"/>
                  </w:tcBorders>
                  <w:shd w:val="clear" w:color="auto" w:fill="auto"/>
                  <w:vAlign w:val="center"/>
                </w:tcPr>
                <w:p w14:paraId="08B6788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BOD测定仪</w:t>
                  </w:r>
                </w:p>
              </w:tc>
              <w:tc>
                <w:tcPr>
                  <w:tcW w:w="3362" w:type="dxa"/>
                  <w:tcBorders>
                    <w:tl2br w:val="nil"/>
                    <w:tr2bl w:val="nil"/>
                  </w:tcBorders>
                  <w:shd w:val="clear" w:color="auto" w:fill="auto"/>
                  <w:vAlign w:val="center"/>
                </w:tcPr>
                <w:p w14:paraId="6EF2127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0~500</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g/L</w:t>
                  </w:r>
                </w:p>
              </w:tc>
              <w:tc>
                <w:tcPr>
                  <w:tcW w:w="615" w:type="dxa"/>
                  <w:tcBorders>
                    <w:tl2br w:val="nil"/>
                    <w:tr2bl w:val="nil"/>
                  </w:tcBorders>
                  <w:shd w:val="clear" w:color="auto" w:fill="auto"/>
                  <w:vAlign w:val="center"/>
                </w:tcPr>
                <w:p w14:paraId="1EF8B55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555" w:type="dxa"/>
                  <w:tcBorders>
                    <w:tl2br w:val="nil"/>
                    <w:tr2bl w:val="nil"/>
                  </w:tcBorders>
                  <w:shd w:val="clear" w:color="auto" w:fill="auto"/>
                  <w:vAlign w:val="center"/>
                </w:tcPr>
                <w:p w14:paraId="1F560AC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7DE2EFA2">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07D70B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011A9F3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17.10</w:t>
                  </w:r>
                </w:p>
              </w:tc>
              <w:tc>
                <w:tcPr>
                  <w:tcW w:w="1983" w:type="dxa"/>
                  <w:tcBorders>
                    <w:tl2br w:val="nil"/>
                    <w:tr2bl w:val="nil"/>
                  </w:tcBorders>
                  <w:shd w:val="clear" w:color="auto" w:fill="auto"/>
                  <w:vAlign w:val="center"/>
                </w:tcPr>
                <w:p w14:paraId="2243A662">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水质采样器</w:t>
                  </w:r>
                </w:p>
              </w:tc>
              <w:tc>
                <w:tcPr>
                  <w:tcW w:w="3362" w:type="dxa"/>
                  <w:tcBorders>
                    <w:tl2br w:val="nil"/>
                    <w:tr2bl w:val="nil"/>
                  </w:tcBorders>
                  <w:shd w:val="clear" w:color="auto" w:fill="auto"/>
                  <w:vAlign w:val="center"/>
                </w:tcPr>
                <w:p w14:paraId="4784090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配套</w:t>
                  </w:r>
                </w:p>
              </w:tc>
              <w:tc>
                <w:tcPr>
                  <w:tcW w:w="615" w:type="dxa"/>
                  <w:tcBorders>
                    <w:tl2br w:val="nil"/>
                    <w:tr2bl w:val="nil"/>
                  </w:tcBorders>
                  <w:shd w:val="clear" w:color="auto" w:fill="auto"/>
                  <w:vAlign w:val="center"/>
                </w:tcPr>
                <w:p w14:paraId="20EB65F8">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1D01201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031B2E01">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78704E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4590714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17.11</w:t>
                  </w:r>
                </w:p>
              </w:tc>
              <w:tc>
                <w:tcPr>
                  <w:tcW w:w="1983" w:type="dxa"/>
                  <w:tcBorders>
                    <w:tl2br w:val="nil"/>
                    <w:tr2bl w:val="nil"/>
                  </w:tcBorders>
                  <w:shd w:val="clear" w:color="auto" w:fill="auto"/>
                  <w:vAlign w:val="center"/>
                </w:tcPr>
                <w:p w14:paraId="7BE5377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数采仪</w:t>
                  </w:r>
                </w:p>
              </w:tc>
              <w:tc>
                <w:tcPr>
                  <w:tcW w:w="3362" w:type="dxa"/>
                  <w:tcBorders>
                    <w:tl2br w:val="nil"/>
                    <w:tr2bl w:val="nil"/>
                  </w:tcBorders>
                  <w:shd w:val="clear" w:color="auto" w:fill="auto"/>
                  <w:vAlign w:val="center"/>
                </w:tcPr>
                <w:p w14:paraId="5677A748">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W5100HB-Ⅲ型</w:t>
                  </w:r>
                </w:p>
              </w:tc>
              <w:tc>
                <w:tcPr>
                  <w:tcW w:w="615" w:type="dxa"/>
                  <w:tcBorders>
                    <w:tl2br w:val="nil"/>
                    <w:tr2bl w:val="nil"/>
                  </w:tcBorders>
                  <w:shd w:val="clear" w:color="auto" w:fill="auto"/>
                  <w:vAlign w:val="center"/>
                </w:tcPr>
                <w:p w14:paraId="396945E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555" w:type="dxa"/>
                  <w:tcBorders>
                    <w:tl2br w:val="nil"/>
                    <w:tr2bl w:val="nil"/>
                  </w:tcBorders>
                  <w:shd w:val="clear" w:color="auto" w:fill="auto"/>
                  <w:vAlign w:val="center"/>
                </w:tcPr>
                <w:p w14:paraId="79C365A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套</w:t>
                  </w:r>
                </w:p>
              </w:tc>
              <w:tc>
                <w:tcPr>
                  <w:tcW w:w="1030" w:type="dxa"/>
                  <w:tcBorders>
                    <w:tl2br w:val="nil"/>
                    <w:tr2bl w:val="nil"/>
                  </w:tcBorders>
                  <w:shd w:val="clear" w:color="auto" w:fill="auto"/>
                  <w:vAlign w:val="center"/>
                </w:tcPr>
                <w:p w14:paraId="199FD16F">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62B312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7A026CF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17.12</w:t>
                  </w:r>
                </w:p>
              </w:tc>
              <w:tc>
                <w:tcPr>
                  <w:tcW w:w="1983" w:type="dxa"/>
                  <w:tcBorders>
                    <w:tl2br w:val="nil"/>
                    <w:tr2bl w:val="nil"/>
                  </w:tcBorders>
                  <w:shd w:val="clear" w:color="auto" w:fill="auto"/>
                  <w:vAlign w:val="center"/>
                </w:tcPr>
                <w:p w14:paraId="0C0E629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污水泵</w:t>
                  </w:r>
                </w:p>
              </w:tc>
              <w:tc>
                <w:tcPr>
                  <w:tcW w:w="3362" w:type="dxa"/>
                  <w:tcBorders>
                    <w:tl2br w:val="nil"/>
                    <w:tr2bl w:val="nil"/>
                  </w:tcBorders>
                  <w:shd w:val="clear" w:color="auto" w:fill="auto"/>
                  <w:vAlign w:val="center"/>
                </w:tcPr>
                <w:p w14:paraId="3B94DD0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Q=30</w:t>
                  </w:r>
                  <w:r>
                    <w:rPr>
                      <w:rFonts w:hint="eastAsia" w:cs="Times New Roman"/>
                      <w:color w:val="auto"/>
                      <w:sz w:val="21"/>
                      <w:szCs w:val="21"/>
                      <w:vertAlign w:val="baseline"/>
                      <w:lang w:val="en-US" w:eastAsia="zh-CN"/>
                    </w:rPr>
                    <w:t>m</w:t>
                  </w:r>
                  <w:r>
                    <w:rPr>
                      <w:rFonts w:hint="eastAsia"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/h，H=15</w:t>
                  </w:r>
                  <w:r>
                    <w:rPr>
                      <w:rFonts w:hint="eastAsia" w:cs="Times New Roman"/>
                      <w:color w:val="auto"/>
                      <w:sz w:val="21"/>
                      <w:szCs w:val="21"/>
                      <w:lang w:val="en-US" w:eastAsia="zh-CN"/>
                    </w:rPr>
                    <w:t>m</w:t>
                  </w:r>
                  <w:r>
                    <w:rPr>
                      <w:rFonts w:hint="default" w:ascii="Times New Roman" w:hAnsi="Times New Roman" w:cs="Times New Roman"/>
                      <w:color w:val="auto"/>
                      <w:sz w:val="21"/>
                      <w:szCs w:val="21"/>
                      <w:lang w:val="en-US" w:eastAsia="zh-CN"/>
                    </w:rPr>
                    <w:t>，N=4.0kW</w:t>
                  </w:r>
                </w:p>
              </w:tc>
              <w:tc>
                <w:tcPr>
                  <w:tcW w:w="615" w:type="dxa"/>
                  <w:tcBorders>
                    <w:tl2br w:val="nil"/>
                    <w:tr2bl w:val="nil"/>
                  </w:tcBorders>
                  <w:shd w:val="clear" w:color="auto" w:fill="auto"/>
                  <w:vAlign w:val="center"/>
                </w:tcPr>
                <w:p w14:paraId="067B84B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w:t>
                  </w:r>
                </w:p>
              </w:tc>
              <w:tc>
                <w:tcPr>
                  <w:tcW w:w="555" w:type="dxa"/>
                  <w:tcBorders>
                    <w:tl2br w:val="nil"/>
                    <w:tr2bl w:val="nil"/>
                  </w:tcBorders>
                  <w:shd w:val="clear" w:color="auto" w:fill="auto"/>
                  <w:vAlign w:val="center"/>
                </w:tcPr>
                <w:p w14:paraId="6DE6DE1F">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台</w:t>
                  </w:r>
                </w:p>
              </w:tc>
              <w:tc>
                <w:tcPr>
                  <w:tcW w:w="1030" w:type="dxa"/>
                  <w:tcBorders>
                    <w:tl2br w:val="nil"/>
                    <w:tr2bl w:val="nil"/>
                  </w:tcBorders>
                  <w:shd w:val="clear" w:color="auto" w:fill="auto"/>
                  <w:vAlign w:val="center"/>
                </w:tcPr>
                <w:p w14:paraId="24C87BFE">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更换</w:t>
                  </w:r>
                </w:p>
              </w:tc>
            </w:tr>
            <w:tr w14:paraId="189466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52588EEF">
                  <w:pPr>
                    <w:pStyle w:val="15"/>
                    <w:bidi w:val="0"/>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18</w:t>
                  </w:r>
                </w:p>
              </w:tc>
              <w:tc>
                <w:tcPr>
                  <w:tcW w:w="7545" w:type="dxa"/>
                  <w:gridSpan w:val="5"/>
                  <w:tcBorders>
                    <w:tl2br w:val="nil"/>
                    <w:tr2bl w:val="nil"/>
                  </w:tcBorders>
                  <w:shd w:val="clear" w:color="auto" w:fill="auto"/>
                  <w:vAlign w:val="center"/>
                </w:tcPr>
                <w:p w14:paraId="062E33F2">
                  <w:pPr>
                    <w:bidi w:val="0"/>
                    <w:jc w:val="center"/>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磁混凝澄清池</w:t>
                  </w:r>
                </w:p>
              </w:tc>
            </w:tr>
            <w:tr w14:paraId="792432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74D45518">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18.</w:t>
                  </w:r>
                  <w:r>
                    <w:rPr>
                      <w:rFonts w:hint="default" w:ascii="Times New Roman" w:hAnsi="Times New Roman" w:cs="Times New Roman"/>
                      <w:color w:val="auto"/>
                      <w:sz w:val="21"/>
                      <w:szCs w:val="21"/>
                    </w:rPr>
                    <w:t>1</w:t>
                  </w:r>
                </w:p>
              </w:tc>
              <w:tc>
                <w:tcPr>
                  <w:tcW w:w="1983" w:type="dxa"/>
                  <w:tcBorders>
                    <w:tl2br w:val="nil"/>
                    <w:tr2bl w:val="nil"/>
                  </w:tcBorders>
                  <w:shd w:val="clear" w:color="auto" w:fill="auto"/>
                  <w:vAlign w:val="center"/>
                </w:tcPr>
                <w:p w14:paraId="001BD0AF">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絮凝搅拌机</w:t>
                  </w:r>
                </w:p>
              </w:tc>
              <w:tc>
                <w:tcPr>
                  <w:tcW w:w="3362" w:type="dxa"/>
                  <w:tcBorders>
                    <w:tl2br w:val="nil"/>
                    <w:tr2bl w:val="nil"/>
                  </w:tcBorders>
                  <w:shd w:val="clear" w:color="auto" w:fill="auto"/>
                  <w:vAlign w:val="center"/>
                </w:tcPr>
                <w:p w14:paraId="573EA891">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N=1.5kW</w:t>
                  </w:r>
                </w:p>
              </w:tc>
              <w:tc>
                <w:tcPr>
                  <w:tcW w:w="615" w:type="dxa"/>
                  <w:tcBorders>
                    <w:tl2br w:val="nil"/>
                    <w:tr2bl w:val="nil"/>
                  </w:tcBorders>
                  <w:shd w:val="clear" w:color="auto" w:fill="auto"/>
                  <w:vAlign w:val="center"/>
                </w:tcPr>
                <w:p w14:paraId="6A850D6F">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6</w:t>
                  </w:r>
                </w:p>
              </w:tc>
              <w:tc>
                <w:tcPr>
                  <w:tcW w:w="555" w:type="dxa"/>
                  <w:tcBorders>
                    <w:tl2br w:val="nil"/>
                    <w:tr2bl w:val="nil"/>
                  </w:tcBorders>
                  <w:shd w:val="clear" w:color="auto" w:fill="auto"/>
                  <w:vAlign w:val="center"/>
                </w:tcPr>
                <w:p w14:paraId="765322D8">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台</w:t>
                  </w:r>
                </w:p>
              </w:tc>
              <w:tc>
                <w:tcPr>
                  <w:tcW w:w="1030" w:type="dxa"/>
                  <w:tcBorders>
                    <w:tl2br w:val="nil"/>
                    <w:tr2bl w:val="nil"/>
                  </w:tcBorders>
                  <w:shd w:val="clear" w:color="auto" w:fill="auto"/>
                  <w:vAlign w:val="center"/>
                </w:tcPr>
                <w:p w14:paraId="5598A75C">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现有</w:t>
                  </w:r>
                </w:p>
              </w:tc>
            </w:tr>
            <w:tr w14:paraId="44A384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6" w:type="dxa"/>
                  <w:tcBorders>
                    <w:tl2br w:val="nil"/>
                    <w:tr2bl w:val="nil"/>
                  </w:tcBorders>
                  <w:shd w:val="clear" w:color="auto" w:fill="auto"/>
                  <w:vAlign w:val="center"/>
                </w:tcPr>
                <w:p w14:paraId="3FCFC8C4">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18.</w:t>
                  </w:r>
                  <w:r>
                    <w:rPr>
                      <w:rFonts w:hint="default" w:ascii="Times New Roman" w:hAnsi="Times New Roman" w:cs="Times New Roman"/>
                      <w:color w:val="auto"/>
                      <w:sz w:val="21"/>
                      <w:szCs w:val="21"/>
                    </w:rPr>
                    <w:t>2</w:t>
                  </w:r>
                </w:p>
              </w:tc>
              <w:tc>
                <w:tcPr>
                  <w:tcW w:w="1983" w:type="dxa"/>
                  <w:tcBorders>
                    <w:tl2br w:val="nil"/>
                    <w:tr2bl w:val="nil"/>
                  </w:tcBorders>
                  <w:shd w:val="clear" w:color="auto" w:fill="auto"/>
                  <w:vAlign w:val="center"/>
                </w:tcPr>
                <w:p w14:paraId="3F00F526">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刮泥机</w:t>
                  </w:r>
                </w:p>
              </w:tc>
              <w:tc>
                <w:tcPr>
                  <w:tcW w:w="3362" w:type="dxa"/>
                  <w:tcBorders>
                    <w:tl2br w:val="nil"/>
                    <w:tr2bl w:val="nil"/>
                  </w:tcBorders>
                  <w:shd w:val="clear" w:color="auto" w:fill="auto"/>
                  <w:vAlign w:val="center"/>
                </w:tcPr>
                <w:p w14:paraId="7E0A040A">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N=1.5kW</w:t>
                  </w:r>
                </w:p>
              </w:tc>
              <w:tc>
                <w:tcPr>
                  <w:tcW w:w="615" w:type="dxa"/>
                  <w:tcBorders>
                    <w:tl2br w:val="nil"/>
                    <w:tr2bl w:val="nil"/>
                  </w:tcBorders>
                  <w:shd w:val="clear" w:color="auto" w:fill="auto"/>
                  <w:vAlign w:val="center"/>
                </w:tcPr>
                <w:p w14:paraId="62BBB87B">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2</w:t>
                  </w:r>
                </w:p>
              </w:tc>
              <w:tc>
                <w:tcPr>
                  <w:tcW w:w="555" w:type="dxa"/>
                  <w:tcBorders>
                    <w:tl2br w:val="nil"/>
                    <w:tr2bl w:val="nil"/>
                  </w:tcBorders>
                  <w:shd w:val="clear" w:color="auto" w:fill="auto"/>
                  <w:vAlign w:val="center"/>
                </w:tcPr>
                <w:p w14:paraId="4AF573A8">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台</w:t>
                  </w:r>
                </w:p>
              </w:tc>
              <w:tc>
                <w:tcPr>
                  <w:tcW w:w="1030" w:type="dxa"/>
                  <w:tcBorders>
                    <w:tl2br w:val="nil"/>
                    <w:tr2bl w:val="nil"/>
                  </w:tcBorders>
                  <w:shd w:val="clear" w:color="auto" w:fill="auto"/>
                  <w:vAlign w:val="center"/>
                </w:tcPr>
                <w:p w14:paraId="2C19AC0E">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现有</w:t>
                  </w:r>
                </w:p>
              </w:tc>
            </w:tr>
            <w:tr w14:paraId="272FDE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shd w:val="clear" w:color="auto" w:fill="auto"/>
                  <w:vAlign w:val="center"/>
                </w:tcPr>
                <w:p w14:paraId="21745D64">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18.</w:t>
                  </w:r>
                  <w:r>
                    <w:rPr>
                      <w:rFonts w:hint="default" w:ascii="Times New Roman" w:hAnsi="Times New Roman" w:cs="Times New Roman"/>
                      <w:color w:val="auto"/>
                      <w:sz w:val="21"/>
                      <w:szCs w:val="21"/>
                    </w:rPr>
                    <w:t>3</w:t>
                  </w:r>
                </w:p>
              </w:tc>
              <w:tc>
                <w:tcPr>
                  <w:tcW w:w="0" w:type="auto"/>
                  <w:shd w:val="clear" w:color="auto" w:fill="auto"/>
                  <w:vAlign w:val="center"/>
                </w:tcPr>
                <w:p w14:paraId="0A89BA0F">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斜管填料</w:t>
                  </w:r>
                </w:p>
              </w:tc>
              <w:tc>
                <w:tcPr>
                  <w:tcW w:w="3362" w:type="dxa"/>
                  <w:shd w:val="clear" w:color="auto" w:fill="auto"/>
                  <w:vAlign w:val="center"/>
                </w:tcPr>
                <w:p w14:paraId="021DFA13">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D80</w:t>
                  </w:r>
                </w:p>
              </w:tc>
              <w:tc>
                <w:tcPr>
                  <w:tcW w:w="615" w:type="dxa"/>
                  <w:shd w:val="clear" w:color="auto" w:fill="auto"/>
                  <w:vAlign w:val="center"/>
                </w:tcPr>
                <w:p w14:paraId="4684F7D0">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40</w:t>
                  </w:r>
                </w:p>
              </w:tc>
              <w:tc>
                <w:tcPr>
                  <w:tcW w:w="555" w:type="dxa"/>
                  <w:shd w:val="clear" w:color="auto" w:fill="auto"/>
                  <w:vAlign w:val="center"/>
                </w:tcPr>
                <w:p w14:paraId="27037A5C">
                  <w:pPr>
                    <w:snapToGrid w:val="0"/>
                    <w:spacing w:before="100" w:beforeAutospacing="1" w:after="100" w:afterAutospacing="1" w:line="240" w:lineRule="auto"/>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vertAlign w:val="baseline"/>
                      <w:lang w:eastAsia="zh-CN"/>
                    </w:rPr>
                    <w:t>m</w:t>
                  </w:r>
                  <w:r>
                    <w:rPr>
                      <w:rFonts w:hint="eastAsia" w:cs="Times New Roman"/>
                      <w:color w:val="auto"/>
                      <w:sz w:val="21"/>
                      <w:szCs w:val="21"/>
                      <w:vertAlign w:val="superscript"/>
                      <w:lang w:eastAsia="zh-CN"/>
                    </w:rPr>
                    <w:t>2</w:t>
                  </w:r>
                </w:p>
              </w:tc>
              <w:tc>
                <w:tcPr>
                  <w:tcW w:w="1030" w:type="dxa"/>
                  <w:shd w:val="clear" w:color="auto" w:fill="auto"/>
                </w:tcPr>
                <w:p w14:paraId="0CB2CD9C">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现有</w:t>
                  </w:r>
                </w:p>
              </w:tc>
            </w:tr>
            <w:tr w14:paraId="646624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shd w:val="clear" w:color="auto" w:fill="auto"/>
                  <w:vAlign w:val="center"/>
                </w:tcPr>
                <w:p w14:paraId="5C735914">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18.</w:t>
                  </w:r>
                  <w:r>
                    <w:rPr>
                      <w:rFonts w:hint="default" w:ascii="Times New Roman" w:hAnsi="Times New Roman" w:cs="Times New Roman"/>
                      <w:color w:val="auto"/>
                      <w:sz w:val="21"/>
                      <w:szCs w:val="21"/>
                    </w:rPr>
                    <w:t>4</w:t>
                  </w:r>
                </w:p>
              </w:tc>
              <w:tc>
                <w:tcPr>
                  <w:tcW w:w="0" w:type="auto"/>
                  <w:shd w:val="clear" w:color="auto" w:fill="auto"/>
                  <w:vAlign w:val="center"/>
                </w:tcPr>
                <w:p w14:paraId="3F2DC1CF">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排泥离心泵</w:t>
                  </w:r>
                </w:p>
              </w:tc>
              <w:tc>
                <w:tcPr>
                  <w:tcW w:w="3362" w:type="dxa"/>
                  <w:shd w:val="clear" w:color="auto" w:fill="auto"/>
                  <w:vAlign w:val="center"/>
                </w:tcPr>
                <w:p w14:paraId="1309D087">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Q=50</w:t>
                  </w:r>
                  <w:r>
                    <w:rPr>
                      <w:rFonts w:hint="eastAsia" w:cs="Times New Roman"/>
                      <w:color w:val="auto"/>
                      <w:sz w:val="21"/>
                      <w:szCs w:val="21"/>
                      <w:vertAlign w:val="baseline"/>
                      <w:lang w:eastAsia="zh-CN"/>
                    </w:rPr>
                    <w:t>m</w:t>
                  </w:r>
                  <w:r>
                    <w:rPr>
                      <w:rFonts w:hint="eastAsia" w:cs="Times New Roman"/>
                      <w:color w:val="auto"/>
                      <w:sz w:val="21"/>
                      <w:szCs w:val="21"/>
                      <w:vertAlign w:val="superscript"/>
                      <w:lang w:eastAsia="zh-CN"/>
                    </w:rPr>
                    <w:t>3</w:t>
                  </w:r>
                  <w:r>
                    <w:rPr>
                      <w:rFonts w:hint="default" w:ascii="Times New Roman" w:hAnsi="Times New Roman" w:cs="Times New Roman"/>
                      <w:color w:val="auto"/>
                      <w:sz w:val="21"/>
                      <w:szCs w:val="21"/>
                    </w:rPr>
                    <w:t>/h，H=20</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，4用2备</w:t>
                  </w:r>
                </w:p>
              </w:tc>
              <w:tc>
                <w:tcPr>
                  <w:tcW w:w="615" w:type="dxa"/>
                  <w:shd w:val="clear" w:color="auto" w:fill="auto"/>
                  <w:vAlign w:val="center"/>
                </w:tcPr>
                <w:p w14:paraId="269F1537">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6</w:t>
                  </w:r>
                </w:p>
              </w:tc>
              <w:tc>
                <w:tcPr>
                  <w:tcW w:w="555" w:type="dxa"/>
                  <w:shd w:val="clear" w:color="auto" w:fill="auto"/>
                  <w:vAlign w:val="center"/>
                </w:tcPr>
                <w:p w14:paraId="53D0F643">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台</w:t>
                  </w:r>
                </w:p>
              </w:tc>
              <w:tc>
                <w:tcPr>
                  <w:tcW w:w="1030" w:type="dxa"/>
                  <w:shd w:val="clear" w:color="auto" w:fill="auto"/>
                </w:tcPr>
                <w:p w14:paraId="48FF89F1">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现有</w:t>
                  </w:r>
                </w:p>
              </w:tc>
            </w:tr>
            <w:tr w14:paraId="50EF53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shd w:val="clear" w:color="auto" w:fill="auto"/>
                  <w:vAlign w:val="center"/>
                </w:tcPr>
                <w:p w14:paraId="3D7A8223">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18.</w:t>
                  </w:r>
                  <w:r>
                    <w:rPr>
                      <w:rFonts w:hint="default" w:ascii="Times New Roman" w:hAnsi="Times New Roman" w:cs="Times New Roman"/>
                      <w:color w:val="auto"/>
                      <w:sz w:val="21"/>
                      <w:szCs w:val="21"/>
                    </w:rPr>
                    <w:t>5</w:t>
                  </w:r>
                </w:p>
              </w:tc>
              <w:tc>
                <w:tcPr>
                  <w:tcW w:w="0" w:type="auto"/>
                  <w:shd w:val="clear" w:color="auto" w:fill="auto"/>
                  <w:vAlign w:val="center"/>
                </w:tcPr>
                <w:p w14:paraId="48519FCD">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剩余污泥离心泵</w:t>
                  </w:r>
                </w:p>
              </w:tc>
              <w:tc>
                <w:tcPr>
                  <w:tcW w:w="3362" w:type="dxa"/>
                  <w:shd w:val="clear" w:color="auto" w:fill="auto"/>
                  <w:vAlign w:val="center"/>
                </w:tcPr>
                <w:p w14:paraId="6B0CD44B">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Q=50</w:t>
                  </w:r>
                  <w:r>
                    <w:rPr>
                      <w:rFonts w:hint="eastAsia" w:cs="Times New Roman"/>
                      <w:color w:val="auto"/>
                      <w:sz w:val="21"/>
                      <w:szCs w:val="21"/>
                      <w:vertAlign w:val="baseline"/>
                      <w:lang w:eastAsia="zh-CN"/>
                    </w:rPr>
                    <w:t>m</w:t>
                  </w:r>
                  <w:r>
                    <w:rPr>
                      <w:rFonts w:hint="eastAsia" w:cs="Times New Roman"/>
                      <w:color w:val="auto"/>
                      <w:sz w:val="21"/>
                      <w:szCs w:val="21"/>
                      <w:vertAlign w:val="superscript"/>
                      <w:lang w:eastAsia="zh-CN"/>
                    </w:rPr>
                    <w:t>3</w:t>
                  </w:r>
                  <w:r>
                    <w:rPr>
                      <w:rFonts w:hint="default" w:ascii="Times New Roman" w:hAnsi="Times New Roman" w:cs="Times New Roman"/>
                      <w:color w:val="auto"/>
                      <w:sz w:val="21"/>
                      <w:szCs w:val="21"/>
                    </w:rPr>
                    <w:t>/h，H=20</w:t>
                  </w:r>
                  <w:r>
                    <w:rPr>
                      <w:rFonts w:hint="eastAsia" w:cs="Times New Roman"/>
                      <w:color w:val="auto"/>
                      <w:sz w:val="21"/>
                      <w:szCs w:val="21"/>
                      <w:lang w:eastAsia="zh-CN"/>
                    </w:rPr>
                    <w:t>m</w:t>
                  </w:r>
                  <w:r>
                    <w:rPr>
                      <w:rFonts w:hint="default" w:ascii="Times New Roman" w:hAnsi="Times New Roman" w:cs="Times New Roman"/>
                      <w:color w:val="auto"/>
                      <w:sz w:val="21"/>
                      <w:szCs w:val="21"/>
                      <w:lang w:eastAsia="zh-CN"/>
                    </w:rPr>
                    <w:t>，1用1备</w:t>
                  </w:r>
                </w:p>
              </w:tc>
              <w:tc>
                <w:tcPr>
                  <w:tcW w:w="615" w:type="dxa"/>
                  <w:shd w:val="clear" w:color="auto" w:fill="auto"/>
                  <w:vAlign w:val="center"/>
                </w:tcPr>
                <w:p w14:paraId="38115DD2">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2</w:t>
                  </w:r>
                </w:p>
              </w:tc>
              <w:tc>
                <w:tcPr>
                  <w:tcW w:w="555" w:type="dxa"/>
                  <w:shd w:val="clear" w:color="auto" w:fill="auto"/>
                  <w:vAlign w:val="center"/>
                </w:tcPr>
                <w:p w14:paraId="28763606">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台</w:t>
                  </w:r>
                </w:p>
              </w:tc>
              <w:tc>
                <w:tcPr>
                  <w:tcW w:w="1030" w:type="dxa"/>
                  <w:shd w:val="clear" w:color="auto" w:fill="auto"/>
                </w:tcPr>
                <w:p w14:paraId="21F3006F">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现有</w:t>
                  </w:r>
                </w:p>
              </w:tc>
            </w:tr>
            <w:tr w14:paraId="29837C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shd w:val="clear" w:color="auto" w:fill="auto"/>
                  <w:vAlign w:val="center"/>
                </w:tcPr>
                <w:p w14:paraId="3464D78B">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18.</w:t>
                  </w:r>
                  <w:r>
                    <w:rPr>
                      <w:rFonts w:hint="default" w:ascii="Times New Roman" w:hAnsi="Times New Roman" w:cs="Times New Roman"/>
                      <w:color w:val="auto"/>
                      <w:sz w:val="21"/>
                      <w:szCs w:val="21"/>
                    </w:rPr>
                    <w:t>6</w:t>
                  </w:r>
                </w:p>
              </w:tc>
              <w:tc>
                <w:tcPr>
                  <w:tcW w:w="0" w:type="auto"/>
                  <w:shd w:val="clear" w:color="auto" w:fill="auto"/>
                  <w:vAlign w:val="center"/>
                </w:tcPr>
                <w:p w14:paraId="5166F2EB">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手动闸阀</w:t>
                  </w:r>
                </w:p>
              </w:tc>
              <w:tc>
                <w:tcPr>
                  <w:tcW w:w="3362" w:type="dxa"/>
                  <w:shd w:val="clear" w:color="auto" w:fill="auto"/>
                  <w:vAlign w:val="center"/>
                </w:tcPr>
                <w:p w14:paraId="72E4BB6C">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DN250</w:t>
                  </w:r>
                </w:p>
              </w:tc>
              <w:tc>
                <w:tcPr>
                  <w:tcW w:w="615" w:type="dxa"/>
                  <w:shd w:val="clear" w:color="auto" w:fill="auto"/>
                  <w:vAlign w:val="center"/>
                </w:tcPr>
                <w:p w14:paraId="4B3603A2">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6</w:t>
                  </w:r>
                </w:p>
              </w:tc>
              <w:tc>
                <w:tcPr>
                  <w:tcW w:w="555" w:type="dxa"/>
                  <w:shd w:val="clear" w:color="auto" w:fill="auto"/>
                  <w:vAlign w:val="center"/>
                </w:tcPr>
                <w:p w14:paraId="42226770">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台</w:t>
                  </w:r>
                </w:p>
              </w:tc>
              <w:tc>
                <w:tcPr>
                  <w:tcW w:w="1030" w:type="dxa"/>
                  <w:shd w:val="clear" w:color="auto" w:fill="auto"/>
                </w:tcPr>
                <w:p w14:paraId="3D6E1FC5">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现有</w:t>
                  </w:r>
                </w:p>
              </w:tc>
            </w:tr>
            <w:tr w14:paraId="6E3431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shd w:val="clear" w:color="auto" w:fill="auto"/>
                  <w:vAlign w:val="center"/>
                </w:tcPr>
                <w:p w14:paraId="61A1C234">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18.7</w:t>
                  </w:r>
                </w:p>
              </w:tc>
              <w:tc>
                <w:tcPr>
                  <w:tcW w:w="0" w:type="auto"/>
                  <w:shd w:val="clear" w:color="auto" w:fill="auto"/>
                  <w:vAlign w:val="center"/>
                </w:tcPr>
                <w:p w14:paraId="269139C7">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集水槽</w:t>
                  </w:r>
                </w:p>
              </w:tc>
              <w:tc>
                <w:tcPr>
                  <w:tcW w:w="3362" w:type="dxa"/>
                  <w:shd w:val="clear" w:color="auto" w:fill="auto"/>
                  <w:vAlign w:val="center"/>
                </w:tcPr>
                <w:p w14:paraId="66EAD634">
                  <w:pPr>
                    <w:snapToGrid w:val="0"/>
                    <w:spacing w:before="100" w:beforeAutospacing="1" w:after="100" w:afterAutospacing="1" w:line="240" w:lineRule="auto"/>
                    <w:ind w:firstLine="0" w:firstLineChars="0"/>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350×450</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L=5.5</w:t>
                  </w:r>
                  <w:r>
                    <w:rPr>
                      <w:rFonts w:hint="eastAsia" w:cs="Times New Roman"/>
                      <w:color w:val="auto"/>
                      <w:sz w:val="21"/>
                      <w:szCs w:val="21"/>
                      <w:lang w:eastAsia="zh-CN"/>
                    </w:rPr>
                    <w:t>m</w:t>
                  </w:r>
                </w:p>
              </w:tc>
              <w:tc>
                <w:tcPr>
                  <w:tcW w:w="615" w:type="dxa"/>
                  <w:shd w:val="clear" w:color="auto" w:fill="auto"/>
                  <w:vAlign w:val="center"/>
                </w:tcPr>
                <w:p w14:paraId="6D665642">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6</w:t>
                  </w:r>
                </w:p>
              </w:tc>
              <w:tc>
                <w:tcPr>
                  <w:tcW w:w="555" w:type="dxa"/>
                  <w:shd w:val="clear" w:color="auto" w:fill="auto"/>
                  <w:vAlign w:val="center"/>
                </w:tcPr>
                <w:p w14:paraId="4EE682FC">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根</w:t>
                  </w:r>
                </w:p>
              </w:tc>
              <w:tc>
                <w:tcPr>
                  <w:tcW w:w="1030" w:type="dxa"/>
                  <w:shd w:val="clear" w:color="auto" w:fill="auto"/>
                </w:tcPr>
                <w:p w14:paraId="67D7BD8A">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现有</w:t>
                  </w:r>
                </w:p>
              </w:tc>
            </w:tr>
            <w:tr w14:paraId="68ACDB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shd w:val="clear" w:color="auto" w:fill="auto"/>
                  <w:vAlign w:val="center"/>
                </w:tcPr>
                <w:p w14:paraId="4DF61900">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18.</w:t>
                  </w:r>
                  <w:r>
                    <w:rPr>
                      <w:rFonts w:hint="default" w:ascii="Times New Roman" w:hAnsi="Times New Roman" w:cs="Times New Roman"/>
                      <w:color w:val="auto"/>
                      <w:sz w:val="21"/>
                      <w:szCs w:val="21"/>
                    </w:rPr>
                    <w:t>8</w:t>
                  </w:r>
                </w:p>
              </w:tc>
              <w:tc>
                <w:tcPr>
                  <w:tcW w:w="0" w:type="auto"/>
                  <w:shd w:val="clear" w:color="auto" w:fill="auto"/>
                  <w:vAlign w:val="center"/>
                </w:tcPr>
                <w:p w14:paraId="08F0FC0E">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铸铁圆闸门</w:t>
                  </w:r>
                </w:p>
              </w:tc>
              <w:tc>
                <w:tcPr>
                  <w:tcW w:w="3362" w:type="dxa"/>
                  <w:shd w:val="clear" w:color="auto" w:fill="auto"/>
                  <w:vAlign w:val="center"/>
                </w:tcPr>
                <w:p w14:paraId="608D3656">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DN400</w:t>
                  </w:r>
                </w:p>
              </w:tc>
              <w:tc>
                <w:tcPr>
                  <w:tcW w:w="615" w:type="dxa"/>
                  <w:shd w:val="clear" w:color="auto" w:fill="auto"/>
                  <w:vAlign w:val="center"/>
                </w:tcPr>
                <w:p w14:paraId="514BFD65">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2</w:t>
                  </w:r>
                </w:p>
              </w:tc>
              <w:tc>
                <w:tcPr>
                  <w:tcW w:w="555" w:type="dxa"/>
                  <w:shd w:val="clear" w:color="auto" w:fill="auto"/>
                  <w:vAlign w:val="center"/>
                </w:tcPr>
                <w:p w14:paraId="1F212DD9">
                  <w:pPr>
                    <w:snapToGrid w:val="0"/>
                    <w:spacing w:before="100" w:beforeAutospacing="1" w:after="100" w:afterAutospacing="1"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套</w:t>
                  </w:r>
                </w:p>
              </w:tc>
              <w:tc>
                <w:tcPr>
                  <w:tcW w:w="1030" w:type="dxa"/>
                  <w:shd w:val="clear" w:color="auto" w:fill="auto"/>
                </w:tcPr>
                <w:p w14:paraId="39762369">
                  <w:pPr>
                    <w:bidi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现有</w:t>
                  </w:r>
                </w:p>
              </w:tc>
            </w:tr>
          </w:tbl>
          <w:p w14:paraId="6DBC9015">
            <w:pPr>
              <w:spacing w:line="360" w:lineRule="auto"/>
              <w:ind w:firstLine="482" w:firstLineChars="200"/>
              <w:jc w:val="lef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5</w:t>
            </w:r>
            <w:r>
              <w:rPr>
                <w:rFonts w:hint="default" w:ascii="Times New Roman" w:hAnsi="Times New Roman" w:eastAsia="宋体" w:cs="Times New Roman"/>
                <w:b/>
                <w:bCs/>
                <w:color w:val="auto"/>
                <w:sz w:val="24"/>
                <w:highlight w:val="none"/>
              </w:rPr>
              <w:t>.原辅材料及动力消耗情况</w:t>
            </w:r>
          </w:p>
          <w:p w14:paraId="7FE7CC70">
            <w:pPr>
              <w:keepNext w:val="0"/>
              <w:keepLines w:val="0"/>
              <w:pageBreakBefore w:val="0"/>
              <w:widowControl w:val="0"/>
              <w:kinsoku/>
              <w:wordWrap/>
              <w:overflowPunct/>
              <w:topLinePunct w:val="0"/>
              <w:autoSpaceDE w:val="0"/>
              <w:autoSpaceDN w:val="0"/>
              <w:bidi w:val="0"/>
              <w:adjustRightInd w:val="0"/>
              <w:snapToGrid w:val="0"/>
              <w:spacing w:line="360" w:lineRule="auto"/>
              <w:ind w:left="0" w:right="0" w:firstLine="480" w:firstLineChars="200"/>
              <w:jc w:val="both"/>
              <w:textAlignment w:val="auto"/>
              <w:rPr>
                <w:rFonts w:hint="default" w:ascii="Times New Roman" w:hAnsi="Times New Roman" w:eastAsia="宋体" w:cs="Times New Roman"/>
                <w:color w:val="auto"/>
                <w:kern w:val="0"/>
                <w:sz w:val="24"/>
                <w:szCs w:val="24"/>
                <w:highlight w:val="none"/>
                <w:lang w:val="zh-CN" w:bidi="zh-CN"/>
              </w:rPr>
            </w:pPr>
            <w:bookmarkStart w:id="3" w:name="_Hlk28814392"/>
            <w:r>
              <w:rPr>
                <w:rFonts w:hint="default" w:ascii="Times New Roman" w:hAnsi="Times New Roman" w:eastAsia="宋体" w:cs="Times New Roman"/>
                <w:color w:val="auto"/>
                <w:kern w:val="0"/>
                <w:sz w:val="24"/>
                <w:szCs w:val="24"/>
                <w:highlight w:val="none"/>
                <w:lang w:val="zh-CN" w:bidi="zh-CN"/>
              </w:rPr>
              <w:t>本项目主要原辅材料及能源消耗情况见</w:t>
            </w:r>
            <w:r>
              <w:rPr>
                <w:rFonts w:hint="default" w:ascii="Times New Roman" w:hAnsi="Times New Roman" w:eastAsia="宋体" w:cs="Times New Roman"/>
                <w:color w:val="auto"/>
                <w:kern w:val="0"/>
                <w:sz w:val="24"/>
                <w:szCs w:val="24"/>
                <w:highlight w:val="none"/>
                <w:lang w:val="en-US" w:bidi="zh-CN"/>
              </w:rPr>
              <w:t>下表</w:t>
            </w:r>
            <w:r>
              <w:rPr>
                <w:rFonts w:hint="default" w:ascii="Times New Roman" w:hAnsi="Times New Roman" w:eastAsia="宋体" w:cs="Times New Roman"/>
                <w:color w:val="auto"/>
                <w:kern w:val="0"/>
                <w:sz w:val="24"/>
                <w:szCs w:val="24"/>
                <w:highlight w:val="none"/>
                <w:lang w:val="zh-CN" w:bidi="zh-CN"/>
              </w:rPr>
              <w:t>。</w:t>
            </w:r>
          </w:p>
          <w:p w14:paraId="3D00ACA5">
            <w:pPr>
              <w:keepNext w:val="0"/>
              <w:keepLines w:val="0"/>
              <w:pageBreakBefore w:val="0"/>
              <w:widowControl w:val="0"/>
              <w:kinsoku/>
              <w:wordWrap/>
              <w:overflowPunct/>
              <w:topLinePunct w:val="0"/>
              <w:autoSpaceDE w:val="0"/>
              <w:autoSpaceDN w:val="0"/>
              <w:bidi w:val="0"/>
              <w:adjustRightInd w:val="0"/>
              <w:snapToGrid w:val="0"/>
              <w:spacing w:line="360" w:lineRule="auto"/>
              <w:ind w:right="0"/>
              <w:jc w:val="center"/>
              <w:textAlignment w:val="auto"/>
              <w:rPr>
                <w:rFonts w:hint="default" w:ascii="Times New Roman" w:hAnsi="Times New Roman" w:eastAsia="宋体" w:cs="Times New Roman"/>
                <w:b/>
                <w:bCs/>
                <w:color w:val="auto"/>
                <w:kern w:val="0"/>
                <w:sz w:val="24"/>
                <w:szCs w:val="24"/>
                <w:lang w:val="en-US" w:bidi="zh-CN"/>
              </w:rPr>
            </w:pPr>
            <w:r>
              <w:rPr>
                <w:rFonts w:hint="default" w:ascii="Times New Roman" w:hAnsi="Times New Roman" w:eastAsia="宋体" w:cs="Times New Roman"/>
                <w:b/>
                <w:bCs/>
                <w:color w:val="auto"/>
                <w:kern w:val="0"/>
                <w:sz w:val="24"/>
                <w:szCs w:val="24"/>
                <w:lang w:val="en-US" w:bidi="zh-CN"/>
              </w:rPr>
              <w:t>表</w:t>
            </w:r>
            <w:r>
              <w:rPr>
                <w:rFonts w:hint="default" w:ascii="Times New Roman" w:hAnsi="Times New Roman" w:eastAsia="宋体" w:cs="Times New Roman"/>
                <w:b/>
                <w:bCs/>
                <w:color w:val="auto"/>
                <w:kern w:val="0"/>
                <w:sz w:val="24"/>
                <w:szCs w:val="24"/>
                <w:lang w:val="en-US" w:eastAsia="zh-CN" w:bidi="zh-CN"/>
              </w:rPr>
              <w:t>2-3</w:t>
            </w:r>
            <w:r>
              <w:rPr>
                <w:rFonts w:hint="eastAsia" w:cs="Times New Roman"/>
                <w:b/>
                <w:bCs/>
                <w:color w:val="auto"/>
                <w:kern w:val="0"/>
                <w:sz w:val="24"/>
                <w:szCs w:val="24"/>
                <w:lang w:val="en-US" w:bidi="zh-CN"/>
              </w:rPr>
              <w:t>：</w:t>
            </w:r>
            <w:r>
              <w:rPr>
                <w:rFonts w:hint="default" w:ascii="Times New Roman" w:hAnsi="Times New Roman" w:eastAsia="宋体" w:cs="Times New Roman"/>
                <w:b/>
                <w:bCs/>
                <w:color w:val="auto"/>
                <w:kern w:val="0"/>
                <w:sz w:val="24"/>
                <w:szCs w:val="24"/>
                <w:lang w:val="en-US" w:bidi="zh-CN"/>
              </w:rPr>
              <w:t>一期改造工程主要原辅材料消耗</w:t>
            </w:r>
            <w:r>
              <w:rPr>
                <w:rFonts w:hint="eastAsia" w:cs="Times New Roman"/>
                <w:b/>
                <w:bCs/>
                <w:color w:val="auto"/>
                <w:kern w:val="0"/>
                <w:sz w:val="24"/>
                <w:szCs w:val="24"/>
                <w:lang w:val="en-US" w:bidi="zh-CN"/>
              </w:rPr>
              <w:t>情况</w:t>
            </w:r>
            <w:r>
              <w:rPr>
                <w:rFonts w:hint="default" w:ascii="Times New Roman" w:hAnsi="Times New Roman" w:eastAsia="宋体" w:cs="Times New Roman"/>
                <w:b/>
                <w:bCs/>
                <w:color w:val="auto"/>
                <w:kern w:val="0"/>
                <w:sz w:val="24"/>
                <w:szCs w:val="24"/>
                <w:lang w:val="en-US" w:bidi="zh-CN"/>
              </w:rPr>
              <w:t>一览表</w:t>
            </w:r>
          </w:p>
          <w:bookmarkEnd w:id="3"/>
          <w:tbl>
            <w:tblPr>
              <w:tblStyle w:val="10"/>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505"/>
              <w:gridCol w:w="1303"/>
              <w:gridCol w:w="1157"/>
              <w:gridCol w:w="799"/>
              <w:gridCol w:w="1185"/>
              <w:gridCol w:w="1095"/>
              <w:gridCol w:w="2095"/>
            </w:tblGrid>
            <w:tr w14:paraId="7D0758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11" w:type="dxa"/>
                  <w:tcBorders>
                    <w:tl2br w:val="nil"/>
                    <w:tr2bl w:val="nil"/>
                  </w:tcBorders>
                  <w:noWrap w:val="0"/>
                  <w:vAlign w:val="center"/>
                </w:tcPr>
                <w:p w14:paraId="1DE2B7E8">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kern w:val="0"/>
                      <w:sz w:val="21"/>
                      <w:szCs w:val="21"/>
                      <w:lang w:val="en-US" w:bidi="ar-SA"/>
                    </w:rPr>
                  </w:pPr>
                  <w:r>
                    <w:rPr>
                      <w:rFonts w:hint="default" w:ascii="Times New Roman" w:hAnsi="Times New Roman" w:eastAsia="宋体" w:cs="Times New Roman"/>
                      <w:b/>
                      <w:bCs/>
                      <w:color w:val="auto"/>
                      <w:spacing w:val="-3"/>
                      <w:kern w:val="0"/>
                      <w:sz w:val="21"/>
                      <w:szCs w:val="21"/>
                      <w:lang w:val="zh-CN" w:bidi="zh-CN"/>
                    </w:rPr>
                    <w:t>序号</w:t>
                  </w:r>
                </w:p>
              </w:tc>
              <w:tc>
                <w:tcPr>
                  <w:tcW w:w="1319" w:type="dxa"/>
                  <w:tcBorders>
                    <w:tl2br w:val="nil"/>
                    <w:tr2bl w:val="nil"/>
                  </w:tcBorders>
                  <w:noWrap w:val="0"/>
                  <w:vAlign w:val="center"/>
                </w:tcPr>
                <w:p w14:paraId="46ED078B">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kern w:val="0"/>
                      <w:sz w:val="21"/>
                      <w:szCs w:val="21"/>
                      <w:lang w:val="en-US" w:bidi="ar-SA"/>
                    </w:rPr>
                  </w:pPr>
                  <w:r>
                    <w:rPr>
                      <w:rFonts w:hint="default" w:ascii="Times New Roman" w:hAnsi="Times New Roman" w:eastAsia="宋体" w:cs="Times New Roman"/>
                      <w:b/>
                      <w:bCs/>
                      <w:color w:val="auto"/>
                      <w:spacing w:val="-3"/>
                      <w:kern w:val="0"/>
                      <w:sz w:val="21"/>
                      <w:szCs w:val="21"/>
                      <w:lang w:val="zh-CN" w:bidi="zh-CN"/>
                    </w:rPr>
                    <w:t>名称</w:t>
                  </w:r>
                </w:p>
              </w:tc>
              <w:tc>
                <w:tcPr>
                  <w:tcW w:w="1172" w:type="dxa"/>
                  <w:tcBorders>
                    <w:tl2br w:val="nil"/>
                    <w:tr2bl w:val="nil"/>
                  </w:tcBorders>
                  <w:shd w:val="clear" w:color="auto" w:fill="auto"/>
                  <w:noWrap w:val="0"/>
                  <w:vAlign w:val="center"/>
                </w:tcPr>
                <w:p w14:paraId="2F24AD35">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spacing w:val="-3"/>
                      <w:kern w:val="0"/>
                      <w:sz w:val="21"/>
                      <w:szCs w:val="21"/>
                      <w:lang w:val="en-US" w:eastAsia="zh-CN" w:bidi="zh-CN"/>
                    </w:rPr>
                  </w:pPr>
                  <w:r>
                    <w:rPr>
                      <w:rFonts w:hint="default" w:ascii="Times New Roman" w:hAnsi="Times New Roman" w:eastAsia="宋体" w:cs="Times New Roman"/>
                      <w:b/>
                      <w:bCs/>
                      <w:color w:val="auto"/>
                      <w:spacing w:val="-3"/>
                      <w:kern w:val="0"/>
                      <w:sz w:val="21"/>
                      <w:szCs w:val="21"/>
                      <w:lang w:val="zh-CN" w:eastAsia="zh-CN" w:bidi="zh-CN"/>
                    </w:rPr>
                    <w:t>主要成分</w:t>
                  </w:r>
                </w:p>
              </w:tc>
              <w:tc>
                <w:tcPr>
                  <w:tcW w:w="809" w:type="dxa"/>
                  <w:tcBorders>
                    <w:tl2br w:val="nil"/>
                    <w:tr2bl w:val="nil"/>
                  </w:tcBorders>
                  <w:shd w:val="clear" w:color="auto" w:fill="auto"/>
                  <w:noWrap w:val="0"/>
                  <w:vAlign w:val="center"/>
                </w:tcPr>
                <w:p w14:paraId="233CF134">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spacing w:val="-3"/>
                      <w:kern w:val="0"/>
                      <w:sz w:val="21"/>
                      <w:szCs w:val="21"/>
                      <w:lang w:val="en-US" w:eastAsia="zh-CN" w:bidi="zh-CN"/>
                    </w:rPr>
                    <w:t>年</w:t>
                  </w:r>
                  <w:r>
                    <w:rPr>
                      <w:rFonts w:hint="default" w:ascii="Times New Roman" w:hAnsi="Times New Roman" w:eastAsia="宋体" w:cs="Times New Roman"/>
                      <w:b/>
                      <w:bCs/>
                      <w:color w:val="auto"/>
                      <w:spacing w:val="-3"/>
                      <w:kern w:val="0"/>
                      <w:sz w:val="21"/>
                      <w:szCs w:val="21"/>
                      <w:lang w:val="zh-CN" w:bidi="zh-CN"/>
                    </w:rPr>
                    <w:t>用量</w:t>
                  </w:r>
                </w:p>
              </w:tc>
              <w:tc>
                <w:tcPr>
                  <w:tcW w:w="1200" w:type="dxa"/>
                  <w:tcBorders>
                    <w:tl2br w:val="nil"/>
                    <w:tr2bl w:val="nil"/>
                  </w:tcBorders>
                  <w:shd w:val="clear" w:color="auto" w:fill="auto"/>
                  <w:noWrap w:val="0"/>
                  <w:vAlign w:val="center"/>
                </w:tcPr>
                <w:p w14:paraId="5584DFBB">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spacing w:val="-3"/>
                      <w:kern w:val="0"/>
                      <w:sz w:val="21"/>
                      <w:szCs w:val="21"/>
                      <w:lang w:val="en-US" w:eastAsia="zh-CN" w:bidi="zh-CN"/>
                    </w:rPr>
                    <w:t>最大储存量</w:t>
                  </w:r>
                </w:p>
              </w:tc>
              <w:tc>
                <w:tcPr>
                  <w:tcW w:w="1109" w:type="dxa"/>
                  <w:tcBorders>
                    <w:tl2br w:val="nil"/>
                    <w:tr2bl w:val="nil"/>
                  </w:tcBorders>
                  <w:noWrap w:val="0"/>
                  <w:vAlign w:val="center"/>
                </w:tcPr>
                <w:p w14:paraId="36C88BB1">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spacing w:val="-3"/>
                      <w:kern w:val="0"/>
                      <w:sz w:val="21"/>
                      <w:szCs w:val="21"/>
                      <w:lang w:val="en-US" w:eastAsia="zh-CN" w:bidi="zh-CN"/>
                    </w:rPr>
                  </w:pPr>
                  <w:r>
                    <w:rPr>
                      <w:rFonts w:hint="default" w:ascii="Times New Roman" w:hAnsi="Times New Roman" w:eastAsia="宋体" w:cs="Times New Roman"/>
                      <w:b/>
                      <w:bCs/>
                      <w:color w:val="auto"/>
                      <w:spacing w:val="-3"/>
                      <w:kern w:val="0"/>
                      <w:sz w:val="21"/>
                      <w:szCs w:val="21"/>
                      <w:lang w:val="en-US" w:eastAsia="zh-CN" w:bidi="zh-CN"/>
                    </w:rPr>
                    <w:t>储存方式</w:t>
                  </w:r>
                </w:p>
              </w:tc>
              <w:tc>
                <w:tcPr>
                  <w:tcW w:w="2121" w:type="dxa"/>
                  <w:tcBorders>
                    <w:tl2br w:val="nil"/>
                    <w:tr2bl w:val="nil"/>
                  </w:tcBorders>
                  <w:noWrap w:val="0"/>
                  <w:vAlign w:val="center"/>
                </w:tcPr>
                <w:p w14:paraId="53952442">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spacing w:val="-3"/>
                      <w:kern w:val="0"/>
                      <w:sz w:val="21"/>
                      <w:szCs w:val="21"/>
                      <w:lang w:val="zh-CN" w:eastAsia="zh-CN" w:bidi="zh-CN"/>
                    </w:rPr>
                  </w:pPr>
                  <w:r>
                    <w:rPr>
                      <w:rFonts w:hint="default" w:ascii="Times New Roman" w:hAnsi="Times New Roman" w:eastAsia="宋体" w:cs="Times New Roman"/>
                      <w:b/>
                      <w:bCs/>
                      <w:color w:val="auto"/>
                      <w:spacing w:val="-3"/>
                      <w:kern w:val="0"/>
                      <w:sz w:val="21"/>
                      <w:szCs w:val="21"/>
                      <w:lang w:val="zh-CN" w:eastAsia="zh-CN" w:bidi="zh-CN"/>
                    </w:rPr>
                    <w:t>备注</w:t>
                  </w:r>
                </w:p>
              </w:tc>
            </w:tr>
            <w:tr w14:paraId="48A7D7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11" w:type="dxa"/>
                  <w:tcBorders>
                    <w:left w:val="single" w:color="auto" w:sz="4" w:space="0"/>
                  </w:tcBorders>
                  <w:noWrap w:val="0"/>
                  <w:vAlign w:val="center"/>
                </w:tcPr>
                <w:p w14:paraId="5B87CC53">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1</w:t>
                  </w:r>
                </w:p>
              </w:tc>
              <w:tc>
                <w:tcPr>
                  <w:tcW w:w="1319" w:type="dxa"/>
                  <w:shd w:val="clear" w:color="auto" w:fill="auto"/>
                  <w:noWrap w:val="0"/>
                  <w:vAlign w:val="center"/>
                </w:tcPr>
                <w:p w14:paraId="4FC09B7D">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zh-CN" w:eastAsia="zh-CN" w:bidi="zh-CN"/>
                    </w:rPr>
                    <w:t>次氯酸钠</w:t>
                  </w:r>
                </w:p>
              </w:tc>
              <w:tc>
                <w:tcPr>
                  <w:tcW w:w="1172" w:type="dxa"/>
                  <w:shd w:val="clear" w:color="auto" w:fill="auto"/>
                  <w:noWrap w:val="0"/>
                  <w:vAlign w:val="center"/>
                </w:tcPr>
                <w:p w14:paraId="6003DB51">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w:t>
                  </w:r>
                </w:p>
              </w:tc>
              <w:tc>
                <w:tcPr>
                  <w:tcW w:w="809" w:type="dxa"/>
                  <w:shd w:val="clear" w:color="auto" w:fill="auto"/>
                  <w:noWrap w:val="0"/>
                  <w:vAlign w:val="center"/>
                </w:tcPr>
                <w:p w14:paraId="2220F781">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547t/a</w:t>
                  </w:r>
                </w:p>
              </w:tc>
              <w:tc>
                <w:tcPr>
                  <w:tcW w:w="1200" w:type="dxa"/>
                  <w:shd w:val="clear" w:color="auto" w:fill="auto"/>
                  <w:noWrap w:val="0"/>
                  <w:vAlign w:val="center"/>
                </w:tcPr>
                <w:p w14:paraId="07086FE4">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color w:val="auto"/>
                      <w:spacing w:val="-4"/>
                      <w:kern w:val="0"/>
                      <w:sz w:val="21"/>
                      <w:szCs w:val="21"/>
                      <w:lang w:val="en-US" w:eastAsia="zh-CN" w:bidi="zh-CN"/>
                    </w:rPr>
                  </w:pPr>
                  <w:r>
                    <w:rPr>
                      <w:rFonts w:hint="default" w:ascii="Times New Roman" w:hAnsi="Times New Roman" w:eastAsia="宋体" w:cs="Times New Roman"/>
                      <w:color w:val="auto"/>
                      <w:spacing w:val="-4"/>
                      <w:kern w:val="0"/>
                      <w:sz w:val="21"/>
                      <w:szCs w:val="21"/>
                      <w:lang w:val="en-US" w:eastAsia="zh-CN" w:bidi="zh-CN"/>
                    </w:rPr>
                    <w:t>10t</w:t>
                  </w:r>
                </w:p>
              </w:tc>
              <w:tc>
                <w:tcPr>
                  <w:tcW w:w="1109" w:type="dxa"/>
                  <w:shd w:val="clear" w:color="auto" w:fill="auto"/>
                  <w:noWrap w:val="0"/>
                  <w:vAlign w:val="center"/>
                </w:tcPr>
                <w:p w14:paraId="732ABF13">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5000L储罐2个</w:t>
                  </w:r>
                </w:p>
              </w:tc>
              <w:tc>
                <w:tcPr>
                  <w:tcW w:w="2121" w:type="dxa"/>
                  <w:tcBorders>
                    <w:right w:val="single" w:color="auto" w:sz="4" w:space="0"/>
                  </w:tcBorders>
                  <w:shd w:val="clear" w:color="auto" w:fill="auto"/>
                  <w:noWrap w:val="0"/>
                  <w:vAlign w:val="center"/>
                </w:tcPr>
                <w:p w14:paraId="366DC53A">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投加量：15</w:t>
                  </w:r>
                  <w:r>
                    <w:rPr>
                      <w:rFonts w:hint="eastAsia" w:cs="Times New Roman"/>
                      <w:color w:val="auto"/>
                      <w:kern w:val="0"/>
                      <w:sz w:val="21"/>
                      <w:szCs w:val="21"/>
                      <w:lang w:val="en-US" w:eastAsia="zh-CN" w:bidi="zh-CN"/>
                    </w:rPr>
                    <w:t>m</w:t>
                  </w:r>
                  <w:r>
                    <w:rPr>
                      <w:rFonts w:hint="default" w:ascii="Times New Roman" w:hAnsi="Times New Roman" w:eastAsia="宋体" w:cs="Times New Roman"/>
                      <w:color w:val="auto"/>
                      <w:kern w:val="0"/>
                      <w:sz w:val="21"/>
                      <w:szCs w:val="21"/>
                      <w:lang w:val="en-US" w:eastAsia="zh-CN" w:bidi="zh-CN"/>
                    </w:rPr>
                    <w:t>g/L</w:t>
                  </w:r>
                  <w:r>
                    <w:rPr>
                      <w:rFonts w:hint="eastAsia" w:cs="Times New Roman"/>
                      <w:color w:val="auto"/>
                      <w:kern w:val="0"/>
                      <w:sz w:val="21"/>
                      <w:szCs w:val="21"/>
                      <w:lang w:val="en-US" w:eastAsia="zh-CN" w:bidi="zh-CN"/>
                    </w:rPr>
                    <w:t>，</w:t>
                  </w:r>
                  <w:r>
                    <w:rPr>
                      <w:rFonts w:hint="default" w:ascii="Times New Roman" w:hAnsi="Times New Roman" w:eastAsia="宋体" w:cs="Times New Roman"/>
                      <w:color w:val="auto"/>
                      <w:kern w:val="0"/>
                      <w:sz w:val="21"/>
                      <w:szCs w:val="21"/>
                      <w:lang w:val="en-US" w:eastAsia="zh-CN" w:bidi="zh-CN"/>
                    </w:rPr>
                    <w:t>投加浓度：5%</w:t>
                  </w:r>
                  <w:r>
                    <w:rPr>
                      <w:rFonts w:hint="eastAsia" w:cs="Times New Roman"/>
                      <w:color w:val="auto"/>
                      <w:kern w:val="0"/>
                      <w:sz w:val="21"/>
                      <w:szCs w:val="21"/>
                      <w:lang w:val="en-US" w:eastAsia="zh-CN" w:bidi="zh-CN"/>
                    </w:rPr>
                    <w:t>。</w:t>
                  </w:r>
                </w:p>
              </w:tc>
            </w:tr>
            <w:tr w14:paraId="560D61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11" w:type="dxa"/>
                  <w:tcBorders>
                    <w:left w:val="single" w:color="auto" w:sz="4" w:space="0"/>
                  </w:tcBorders>
                  <w:noWrap w:val="0"/>
                  <w:vAlign w:val="center"/>
                </w:tcPr>
                <w:p w14:paraId="3A3A9EEE">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2</w:t>
                  </w:r>
                </w:p>
              </w:tc>
              <w:tc>
                <w:tcPr>
                  <w:tcW w:w="1319" w:type="dxa"/>
                  <w:shd w:val="clear" w:color="auto" w:fill="auto"/>
                  <w:noWrap w:val="0"/>
                  <w:vAlign w:val="center"/>
                </w:tcPr>
                <w:p w14:paraId="18BC2B55">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zh-CN" w:eastAsia="zh-CN" w:bidi="zh-CN"/>
                    </w:rPr>
                    <w:t>碳源</w:t>
                  </w:r>
                </w:p>
              </w:tc>
              <w:tc>
                <w:tcPr>
                  <w:tcW w:w="1172" w:type="dxa"/>
                  <w:shd w:val="clear" w:color="auto" w:fill="auto"/>
                  <w:noWrap w:val="0"/>
                  <w:vAlign w:val="center"/>
                </w:tcPr>
                <w:p w14:paraId="2761664E">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醋酸钠粉末</w:t>
                  </w:r>
                </w:p>
              </w:tc>
              <w:tc>
                <w:tcPr>
                  <w:tcW w:w="809" w:type="dxa"/>
                  <w:shd w:val="clear" w:color="auto" w:fill="auto"/>
                  <w:noWrap w:val="0"/>
                  <w:vAlign w:val="center"/>
                </w:tcPr>
                <w:p w14:paraId="11B13896">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12t/a</w:t>
                  </w:r>
                </w:p>
              </w:tc>
              <w:tc>
                <w:tcPr>
                  <w:tcW w:w="1200" w:type="dxa"/>
                  <w:shd w:val="clear" w:color="auto" w:fill="auto"/>
                  <w:noWrap w:val="0"/>
                  <w:vAlign w:val="center"/>
                </w:tcPr>
                <w:p w14:paraId="32D613B7">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color w:val="auto"/>
                      <w:spacing w:val="-4"/>
                      <w:kern w:val="0"/>
                      <w:sz w:val="21"/>
                      <w:szCs w:val="21"/>
                      <w:lang w:val="en-US" w:eastAsia="zh-CN" w:bidi="zh-CN"/>
                    </w:rPr>
                  </w:pPr>
                  <w:r>
                    <w:rPr>
                      <w:rFonts w:hint="default" w:ascii="Times New Roman" w:hAnsi="Times New Roman" w:eastAsia="宋体" w:cs="Times New Roman"/>
                      <w:color w:val="auto"/>
                      <w:spacing w:val="-4"/>
                      <w:kern w:val="0"/>
                      <w:sz w:val="21"/>
                      <w:szCs w:val="21"/>
                      <w:lang w:val="en-US" w:eastAsia="zh-CN" w:bidi="zh-CN"/>
                    </w:rPr>
                    <w:t>2t</w:t>
                  </w:r>
                </w:p>
              </w:tc>
              <w:tc>
                <w:tcPr>
                  <w:tcW w:w="1109" w:type="dxa"/>
                  <w:shd w:val="clear" w:color="auto" w:fill="auto"/>
                  <w:noWrap w:val="0"/>
                  <w:vAlign w:val="center"/>
                </w:tcPr>
                <w:p w14:paraId="41874C2C">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袋装；库房</w:t>
                  </w:r>
                </w:p>
              </w:tc>
              <w:tc>
                <w:tcPr>
                  <w:tcW w:w="2121" w:type="dxa"/>
                  <w:tcBorders>
                    <w:right w:val="single" w:color="auto" w:sz="4" w:space="0"/>
                  </w:tcBorders>
                  <w:shd w:val="clear" w:color="auto" w:fill="auto"/>
                  <w:noWrap w:val="0"/>
                  <w:vAlign w:val="center"/>
                </w:tcPr>
                <w:p w14:paraId="365EDCA2">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缺氧池冬季碳源投加设施，醋酸钠粉末纯度为60%，设计投加量为42</w:t>
                  </w:r>
                  <w:r>
                    <w:rPr>
                      <w:rFonts w:hint="eastAsia" w:cs="Times New Roman"/>
                      <w:color w:val="auto"/>
                      <w:kern w:val="0"/>
                      <w:sz w:val="21"/>
                      <w:szCs w:val="21"/>
                      <w:lang w:val="en-US" w:eastAsia="zh-CN" w:bidi="zh-CN"/>
                    </w:rPr>
                    <w:t>m</w:t>
                  </w:r>
                  <w:r>
                    <w:rPr>
                      <w:rFonts w:hint="default" w:ascii="Times New Roman" w:hAnsi="Times New Roman" w:eastAsia="宋体" w:cs="Times New Roman"/>
                      <w:color w:val="auto"/>
                      <w:kern w:val="0"/>
                      <w:sz w:val="21"/>
                      <w:szCs w:val="21"/>
                      <w:lang w:val="en-US" w:eastAsia="zh-CN" w:bidi="zh-CN"/>
                    </w:rPr>
                    <w:t>g/L</w:t>
                  </w:r>
                  <w:r>
                    <w:rPr>
                      <w:rFonts w:hint="eastAsia" w:cs="Times New Roman"/>
                      <w:color w:val="auto"/>
                      <w:kern w:val="0"/>
                      <w:sz w:val="21"/>
                      <w:szCs w:val="21"/>
                      <w:lang w:val="en-US" w:eastAsia="zh-CN" w:bidi="zh-CN"/>
                    </w:rPr>
                    <w:t>。</w:t>
                  </w:r>
                </w:p>
              </w:tc>
            </w:tr>
            <w:tr w14:paraId="3AEBEF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11" w:type="dxa"/>
                  <w:tcBorders>
                    <w:left w:val="single" w:color="auto" w:sz="4" w:space="0"/>
                  </w:tcBorders>
                  <w:noWrap w:val="0"/>
                  <w:vAlign w:val="center"/>
                </w:tcPr>
                <w:p w14:paraId="5D14FDCE">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zh-CN" w:bidi="zh-CN"/>
                    </w:rPr>
                    <w:t>3</w:t>
                  </w:r>
                </w:p>
              </w:tc>
              <w:tc>
                <w:tcPr>
                  <w:tcW w:w="1319" w:type="dxa"/>
                  <w:shd w:val="clear" w:color="auto" w:fill="auto"/>
                  <w:noWrap w:val="0"/>
                  <w:vAlign w:val="center"/>
                </w:tcPr>
                <w:p w14:paraId="00BE87E5">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bidi="zh-CN"/>
                    </w:rPr>
                    <w:t>PAC溶液</w:t>
                  </w:r>
                </w:p>
              </w:tc>
              <w:tc>
                <w:tcPr>
                  <w:tcW w:w="1172" w:type="dxa"/>
                  <w:shd w:val="clear" w:color="auto" w:fill="auto"/>
                  <w:noWrap w:val="0"/>
                  <w:vAlign w:val="center"/>
                </w:tcPr>
                <w:p w14:paraId="32A37B98">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6"/>
                      <w:kern w:val="0"/>
                      <w:sz w:val="21"/>
                      <w:szCs w:val="21"/>
                      <w:lang w:val="en-US" w:eastAsia="zh-CN" w:bidi="zh-CN"/>
                    </w:rPr>
                  </w:pPr>
                  <w:r>
                    <w:rPr>
                      <w:rFonts w:hint="default" w:ascii="Times New Roman" w:hAnsi="Times New Roman" w:eastAsia="宋体" w:cs="Times New Roman"/>
                      <w:color w:val="auto"/>
                      <w:spacing w:val="-6"/>
                      <w:kern w:val="0"/>
                      <w:sz w:val="21"/>
                      <w:szCs w:val="21"/>
                      <w:lang w:val="en-US" w:eastAsia="zh-CN" w:bidi="zh-CN"/>
                    </w:rPr>
                    <w:t>聚合氯化铝</w:t>
                  </w:r>
                </w:p>
              </w:tc>
              <w:tc>
                <w:tcPr>
                  <w:tcW w:w="809" w:type="dxa"/>
                  <w:shd w:val="clear" w:color="auto" w:fill="auto"/>
                  <w:noWrap w:val="0"/>
                  <w:vAlign w:val="center"/>
                </w:tcPr>
                <w:p w14:paraId="58B35E66">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500t/a</w:t>
                  </w:r>
                </w:p>
              </w:tc>
              <w:tc>
                <w:tcPr>
                  <w:tcW w:w="1200" w:type="dxa"/>
                  <w:shd w:val="clear" w:color="auto" w:fill="auto"/>
                  <w:noWrap w:val="0"/>
                  <w:vAlign w:val="center"/>
                </w:tcPr>
                <w:p w14:paraId="1F395A73">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color w:val="auto"/>
                      <w:spacing w:val="-4"/>
                      <w:kern w:val="0"/>
                      <w:sz w:val="21"/>
                      <w:szCs w:val="21"/>
                      <w:lang w:val="en-US" w:eastAsia="zh-CN" w:bidi="zh-CN"/>
                    </w:rPr>
                  </w:pPr>
                  <w:r>
                    <w:rPr>
                      <w:rFonts w:hint="default" w:ascii="Times New Roman" w:hAnsi="Times New Roman" w:eastAsia="宋体" w:cs="Times New Roman"/>
                      <w:color w:val="auto"/>
                      <w:spacing w:val="-4"/>
                      <w:kern w:val="0"/>
                      <w:sz w:val="21"/>
                      <w:szCs w:val="21"/>
                      <w:lang w:val="en-US" w:eastAsia="zh-CN" w:bidi="zh-CN"/>
                    </w:rPr>
                    <w:t>10t</w:t>
                  </w:r>
                </w:p>
              </w:tc>
              <w:tc>
                <w:tcPr>
                  <w:tcW w:w="1109" w:type="dxa"/>
                  <w:shd w:val="clear" w:color="auto" w:fill="auto"/>
                  <w:noWrap w:val="0"/>
                  <w:vAlign w:val="center"/>
                </w:tcPr>
                <w:p w14:paraId="557ABD95">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30</w:t>
                  </w:r>
                  <w:r>
                    <w:rPr>
                      <w:rFonts w:hint="eastAsia" w:cs="Times New Roman"/>
                      <w:color w:val="auto"/>
                      <w:kern w:val="0"/>
                      <w:sz w:val="21"/>
                      <w:szCs w:val="21"/>
                      <w:vertAlign w:val="baseline"/>
                      <w:lang w:val="en-US" w:eastAsia="zh-CN" w:bidi="zh-CN"/>
                    </w:rPr>
                    <w:t>m</w:t>
                  </w:r>
                  <w:r>
                    <w:rPr>
                      <w:rFonts w:hint="eastAsia" w:cs="Times New Roman"/>
                      <w:color w:val="auto"/>
                      <w:kern w:val="0"/>
                      <w:sz w:val="21"/>
                      <w:szCs w:val="21"/>
                      <w:vertAlign w:val="superscript"/>
                      <w:lang w:val="en-US" w:eastAsia="zh-CN" w:bidi="zh-CN"/>
                    </w:rPr>
                    <w:t>3</w:t>
                  </w:r>
                  <w:r>
                    <w:rPr>
                      <w:rFonts w:hint="default" w:ascii="Times New Roman" w:hAnsi="Times New Roman" w:eastAsia="宋体" w:cs="Times New Roman"/>
                      <w:color w:val="auto"/>
                      <w:kern w:val="0"/>
                      <w:sz w:val="21"/>
                      <w:szCs w:val="21"/>
                      <w:lang w:val="en-US" w:eastAsia="zh-CN" w:bidi="zh-CN"/>
                    </w:rPr>
                    <w:t>储罐1个</w:t>
                  </w:r>
                </w:p>
              </w:tc>
              <w:tc>
                <w:tcPr>
                  <w:tcW w:w="2121" w:type="dxa"/>
                  <w:tcBorders>
                    <w:right w:val="single" w:color="auto" w:sz="4" w:space="0"/>
                  </w:tcBorders>
                  <w:shd w:val="clear" w:color="auto" w:fill="auto"/>
                  <w:noWrap w:val="0"/>
                  <w:vAlign w:val="center"/>
                </w:tcPr>
                <w:p w14:paraId="5FEA2EDA">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spacing w:val="-3"/>
                      <w:kern w:val="0"/>
                      <w:sz w:val="21"/>
                      <w:szCs w:val="21"/>
                      <w:lang w:val="en-US" w:bidi="zh-CN"/>
                    </w:rPr>
                    <w:t>浓度为10%</w:t>
                  </w:r>
                  <w:r>
                    <w:rPr>
                      <w:rFonts w:hint="eastAsia" w:cs="Times New Roman"/>
                      <w:color w:val="auto"/>
                      <w:spacing w:val="-3"/>
                      <w:kern w:val="0"/>
                      <w:sz w:val="21"/>
                      <w:szCs w:val="21"/>
                      <w:lang w:val="en-US" w:bidi="zh-CN"/>
                    </w:rPr>
                    <w:t>。</w:t>
                  </w:r>
                </w:p>
              </w:tc>
            </w:tr>
            <w:tr w14:paraId="6E32D5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11" w:type="dxa"/>
                  <w:tcBorders>
                    <w:left w:val="single" w:color="auto" w:sz="4" w:space="0"/>
                  </w:tcBorders>
                  <w:noWrap w:val="0"/>
                  <w:vAlign w:val="center"/>
                </w:tcPr>
                <w:p w14:paraId="58A9BD29">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4</w:t>
                  </w:r>
                </w:p>
              </w:tc>
              <w:tc>
                <w:tcPr>
                  <w:tcW w:w="1319" w:type="dxa"/>
                  <w:shd w:val="clear" w:color="auto" w:fill="auto"/>
                  <w:noWrap w:val="0"/>
                  <w:vAlign w:val="center"/>
                </w:tcPr>
                <w:p w14:paraId="67973703">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zh-CN" w:eastAsia="zh-CN" w:bidi="zh-CN"/>
                    </w:rPr>
                  </w:pPr>
                  <w:r>
                    <w:rPr>
                      <w:rFonts w:hint="default" w:ascii="Times New Roman" w:hAnsi="Times New Roman" w:eastAsia="宋体" w:cs="Times New Roman"/>
                      <w:color w:val="auto"/>
                      <w:spacing w:val="-3"/>
                      <w:kern w:val="0"/>
                      <w:sz w:val="21"/>
                      <w:szCs w:val="21"/>
                      <w:lang w:val="en-US" w:bidi="zh-CN"/>
                    </w:rPr>
                    <w:t>PAM</w:t>
                  </w:r>
                </w:p>
              </w:tc>
              <w:tc>
                <w:tcPr>
                  <w:tcW w:w="1172" w:type="dxa"/>
                  <w:shd w:val="clear" w:color="auto" w:fill="auto"/>
                  <w:noWrap w:val="0"/>
                  <w:vAlign w:val="center"/>
                </w:tcPr>
                <w:p w14:paraId="69BD52CE">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6"/>
                      <w:kern w:val="0"/>
                      <w:sz w:val="21"/>
                      <w:szCs w:val="21"/>
                      <w:lang w:val="en-US" w:eastAsia="zh-CN" w:bidi="zh-CN"/>
                    </w:rPr>
                  </w:pPr>
                  <w:r>
                    <w:rPr>
                      <w:rFonts w:hint="default" w:ascii="Times New Roman" w:hAnsi="Times New Roman" w:eastAsia="宋体" w:cs="Times New Roman"/>
                      <w:color w:val="auto"/>
                      <w:spacing w:val="-6"/>
                      <w:kern w:val="0"/>
                      <w:sz w:val="21"/>
                      <w:szCs w:val="21"/>
                      <w:lang w:val="en-US" w:eastAsia="zh-CN" w:bidi="zh-CN"/>
                    </w:rPr>
                    <w:fldChar w:fldCharType="begin"/>
                  </w:r>
                  <w:r>
                    <w:rPr>
                      <w:rFonts w:hint="default" w:ascii="Times New Roman" w:hAnsi="Times New Roman" w:eastAsia="宋体" w:cs="Times New Roman"/>
                      <w:color w:val="auto"/>
                      <w:spacing w:val="-6"/>
                      <w:kern w:val="0"/>
                      <w:sz w:val="21"/>
                      <w:szCs w:val="21"/>
                      <w:lang w:val="en-US" w:eastAsia="zh-CN" w:bidi="zh-CN"/>
                    </w:rPr>
                    <w:instrText xml:space="preserve"> HYPERLINK "http://e.so.com/search/eclk?p=946bT0LNuFb3EArbz-Y_lfSkTEn54GDVJ4FzV8MQh_D4sCOvSMoKztI-MG2CT8pcdzmBaFqMTuqjAxWCZB07d3vbfpXzNg_YrUC_WsVN0K8MOnmOuNsDyI9mkAOdxhuISjxjUyAApYp_jeaArEMnzKoFcBvIbsV-DTEdnUF3tpC6fr4F1q50JCZ25mBE0IBp-UPOhH4ehYHBp2-KdYg1lw925SfRbDc19rvDrn564wW8jhk6hTcj-iygPPw3Iw-3oodvy-iLAKFuYr94SPdonUoUyjw9NRRc7LnZJECn6ScxWsmt5rQY6tuzouZ9oNBlW-IaLfWiclqdabsiNi8V4ZXOYLTYxNQuFx2YqLjFogX-bz9OnKp_ItWkmLOLn0annbhjbor3R96FpM6UkIo3GWTP3amigd2jiD5P8sthhMPe90V5EwtiyNW6gOmy2CIqTdcTe7_RdidnfBtfBw9cApqRX09aK7f06t4IS3CPudcWixz-zGPquyMoA038ZC0UJRJlt0H3DRLrWb29Tso2N5srICLLci1K6hpuhdZ-eGsaeL9VjOtOf31T5KrUCNQeyp64M68Hb20C1EetmzgARjIA5h8HOq04Oaiv27D_SOITNOIFXEMvlpBp0-LLQOFLaDBV7AX7CK2-6D5tKHHfPZYveXiUvcmsX5zTvnWkgm_KrBqVbhlprTmih6BM7EWCHIXplKV5W9MOE0FPu8P11R55KOlYMQxMjKd4qp-VQitXlE8S-eTAT_Qf39OXWPsmbHlfdspSGdNWGlh8a-hK5SuwtMRWIZ6fYO-DGU-ClKHRzApPJ6yN1mGgABL46gevpiqSd70PhL1rWOVg7Mql5WpXKmu4am-D_8Ynx10N_J5iF1_oMUkiY3kVVpDAIhQjSCB3E2R0L7mDWjSidProPibnn0q9svCn8z5W8tR3eBWuRlqyfhyNdv0P-uQxgjeNaeqRZgwQ9hEoiWUlawKAUVjQ9nY2E1-opnuY17ibEZ_-2ovX6pIC1MAu-55JftzF2EOBdvwzDvMDj_TfP6OQtNc9n1PKD4jxscMVDpCrWgAHhpaiqHVvN2B-OMOSMsV_Ju6rnRp9WTjYBoHX-GEfLxfOX01pmvsiNeMRAheZKnsoHR8SBY4qLo-caaYcJfEvnmLj5xFdFZLcP7Uw8Vb2_Dq_RpL7fHarV7jXxG4GjGaYxFUT67z9MGen3nUoRtzT6pnqiHy-JvQmQO6j5OELRbyZxcSyxbnISDGiVCt38L6o5pIqHDGTYDPgoVZG940VHV61G5fF2rZvmCw21qqDTbRGs_hi16bj05Qrr7Krv_v_2BjE3tUMgkD_rE8ZgZDuvD6bPXkGrIEBDlWIDmDYaaPDQ4u_KJokRy2jjFsMWSh8Q6gI4eX7WWei6XWBq6aaFurs3iP_19pP8WoMFpxk9BAHNwyHIK1aJSnidsCwdwFcGKkQSiuCklbc7WOoZdwv2yuEr4J02mhiwSEeIIbFrXpxh4iuK3KJU8z7HbJduPsVEhkyOccCsxRF6UEcYDAB7DGFfZFkls4woocLBMBbhqrmObQHhZ0y4ZVS86GxZXT2uQJhUzIieAwlQAn6X6OxRw_Db0NjWaCNEAhI-CkT8QecgzhT-u7Q2-RKy8uZBsiGW4y31QH-5TozH8n_zu0G2ZnJJxBRB0C1ixGsOJ6tzqHQ0I8VyHqCvrQSiKFB_20Xzq4_tWZWVC9BJs5EuQvENW_QIRcSkgX3K1kMwQ4OYq2tKzKDSmsCeVo5KYJEH0GeE0nlfykoBN8FAl6MK8540l_fDBm5hr2rSA&amp;ns=0&amp;v=2&amp;at=AXBhbeiBmuS4meeDr-mFsOiDugI&amp;aurl=aHR0cDovL3d3dy5sbnljaGIuY24&amp;sig=5dff&amp;bt=1&amp;lm_extend=ins:0&amp;posid=0&amp;positionType=0" \t "https://www.so.com/_blank" </w:instrText>
                  </w:r>
                  <w:r>
                    <w:rPr>
                      <w:rFonts w:hint="default" w:ascii="Times New Roman" w:hAnsi="Times New Roman" w:eastAsia="宋体" w:cs="Times New Roman"/>
                      <w:color w:val="auto"/>
                      <w:spacing w:val="-6"/>
                      <w:kern w:val="0"/>
                      <w:sz w:val="21"/>
                      <w:szCs w:val="21"/>
                      <w:lang w:val="en-US" w:eastAsia="zh-CN" w:bidi="zh-CN"/>
                    </w:rPr>
                    <w:fldChar w:fldCharType="separate"/>
                  </w:r>
                  <w:r>
                    <w:rPr>
                      <w:rFonts w:hint="default" w:ascii="Times New Roman" w:hAnsi="Times New Roman" w:eastAsia="宋体" w:cs="Times New Roman"/>
                      <w:color w:val="auto"/>
                      <w:spacing w:val="-6"/>
                      <w:kern w:val="0"/>
                      <w:sz w:val="21"/>
                      <w:szCs w:val="21"/>
                      <w:lang w:val="en-US" w:eastAsia="zh-CN" w:bidi="zh-CN"/>
                    </w:rPr>
                    <w:t>聚丙烯酰胺</w:t>
                  </w:r>
                  <w:r>
                    <w:rPr>
                      <w:rFonts w:hint="default" w:ascii="Times New Roman" w:hAnsi="Times New Roman" w:eastAsia="宋体" w:cs="Times New Roman"/>
                      <w:color w:val="auto"/>
                      <w:spacing w:val="-6"/>
                      <w:kern w:val="0"/>
                      <w:sz w:val="21"/>
                      <w:szCs w:val="21"/>
                      <w:lang w:val="en-US" w:eastAsia="zh-CN" w:bidi="zh-CN"/>
                    </w:rPr>
                    <w:fldChar w:fldCharType="end"/>
                  </w:r>
                </w:p>
              </w:tc>
              <w:tc>
                <w:tcPr>
                  <w:tcW w:w="809" w:type="dxa"/>
                  <w:shd w:val="clear" w:color="auto" w:fill="auto"/>
                  <w:noWrap w:val="0"/>
                  <w:vAlign w:val="center"/>
                </w:tcPr>
                <w:p w14:paraId="28CDFFB2">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3t/a</w:t>
                  </w:r>
                </w:p>
              </w:tc>
              <w:tc>
                <w:tcPr>
                  <w:tcW w:w="1200" w:type="dxa"/>
                  <w:shd w:val="clear" w:color="auto" w:fill="auto"/>
                  <w:noWrap w:val="0"/>
                  <w:vAlign w:val="center"/>
                </w:tcPr>
                <w:p w14:paraId="27326CE4">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color w:val="auto"/>
                      <w:spacing w:val="-4"/>
                      <w:kern w:val="0"/>
                      <w:sz w:val="21"/>
                      <w:szCs w:val="21"/>
                      <w:lang w:val="en-US" w:eastAsia="zh-CN" w:bidi="zh-CN"/>
                    </w:rPr>
                  </w:pPr>
                  <w:r>
                    <w:rPr>
                      <w:rFonts w:hint="default" w:ascii="Times New Roman" w:hAnsi="Times New Roman" w:eastAsia="宋体" w:cs="Times New Roman"/>
                      <w:color w:val="auto"/>
                      <w:spacing w:val="-4"/>
                      <w:kern w:val="0"/>
                      <w:sz w:val="21"/>
                      <w:szCs w:val="21"/>
                      <w:lang w:val="en-US" w:eastAsia="zh-CN" w:bidi="zh-CN"/>
                    </w:rPr>
                    <w:t>1t</w:t>
                  </w:r>
                </w:p>
              </w:tc>
              <w:tc>
                <w:tcPr>
                  <w:tcW w:w="1109" w:type="dxa"/>
                  <w:shd w:val="clear" w:color="auto" w:fill="auto"/>
                  <w:noWrap w:val="0"/>
                  <w:vAlign w:val="center"/>
                </w:tcPr>
                <w:p w14:paraId="583DAE6C">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30</w:t>
                  </w:r>
                  <w:r>
                    <w:rPr>
                      <w:rFonts w:hint="eastAsia" w:cs="Times New Roman"/>
                      <w:color w:val="auto"/>
                      <w:kern w:val="0"/>
                      <w:sz w:val="21"/>
                      <w:szCs w:val="21"/>
                      <w:vertAlign w:val="baseline"/>
                      <w:lang w:val="en-US" w:eastAsia="zh-CN" w:bidi="zh-CN"/>
                    </w:rPr>
                    <w:t>m</w:t>
                  </w:r>
                  <w:r>
                    <w:rPr>
                      <w:rFonts w:hint="eastAsia" w:cs="Times New Roman"/>
                      <w:color w:val="auto"/>
                      <w:kern w:val="0"/>
                      <w:sz w:val="21"/>
                      <w:szCs w:val="21"/>
                      <w:vertAlign w:val="superscript"/>
                      <w:lang w:val="en-US" w:eastAsia="zh-CN" w:bidi="zh-CN"/>
                    </w:rPr>
                    <w:t>3</w:t>
                  </w:r>
                  <w:r>
                    <w:rPr>
                      <w:rFonts w:hint="default" w:ascii="Times New Roman" w:hAnsi="Times New Roman" w:eastAsia="宋体" w:cs="Times New Roman"/>
                      <w:color w:val="auto"/>
                      <w:kern w:val="0"/>
                      <w:sz w:val="21"/>
                      <w:szCs w:val="21"/>
                      <w:lang w:val="en-US" w:eastAsia="zh-CN" w:bidi="zh-CN"/>
                    </w:rPr>
                    <w:t>储罐1个</w:t>
                  </w:r>
                </w:p>
              </w:tc>
              <w:tc>
                <w:tcPr>
                  <w:tcW w:w="2121" w:type="dxa"/>
                  <w:vMerge w:val="restart"/>
                  <w:tcBorders>
                    <w:right w:val="single" w:color="auto" w:sz="4" w:space="0"/>
                  </w:tcBorders>
                  <w:shd w:val="clear" w:color="auto" w:fill="auto"/>
                  <w:noWrap w:val="0"/>
                  <w:vAlign w:val="center"/>
                </w:tcPr>
                <w:p w14:paraId="3D33AB1F">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污泥脱水：PAM投加量4‰，三氯化铁（38%浓度）投加量10</w:t>
                  </w:r>
                  <w:r>
                    <w:rPr>
                      <w:rFonts w:hint="eastAsia" w:cs="Times New Roman"/>
                      <w:color w:val="auto"/>
                      <w:kern w:val="0"/>
                      <w:sz w:val="21"/>
                      <w:szCs w:val="21"/>
                      <w:lang w:val="en-US" w:eastAsia="zh-CN" w:bidi="zh-CN"/>
                    </w:rPr>
                    <w:t>%～</w:t>
                  </w:r>
                  <w:r>
                    <w:rPr>
                      <w:rFonts w:hint="default" w:ascii="Times New Roman" w:hAnsi="Times New Roman" w:eastAsia="宋体" w:cs="Times New Roman"/>
                      <w:color w:val="auto"/>
                      <w:kern w:val="0"/>
                      <w:sz w:val="21"/>
                      <w:szCs w:val="21"/>
                      <w:lang w:val="en-US" w:eastAsia="zh-CN" w:bidi="zh-CN"/>
                    </w:rPr>
                    <w:t>15%，石灰投加比例20</w:t>
                  </w:r>
                  <w:r>
                    <w:rPr>
                      <w:rFonts w:hint="eastAsia" w:cs="Times New Roman"/>
                      <w:color w:val="auto"/>
                      <w:kern w:val="0"/>
                      <w:sz w:val="21"/>
                      <w:szCs w:val="21"/>
                      <w:lang w:val="en-US" w:eastAsia="zh-CN" w:bidi="zh-CN"/>
                    </w:rPr>
                    <w:t>%～</w:t>
                  </w:r>
                  <w:r>
                    <w:rPr>
                      <w:rFonts w:hint="default" w:ascii="Times New Roman" w:hAnsi="Times New Roman" w:eastAsia="宋体" w:cs="Times New Roman"/>
                      <w:color w:val="auto"/>
                      <w:kern w:val="0"/>
                      <w:sz w:val="21"/>
                      <w:szCs w:val="21"/>
                      <w:lang w:val="en-US" w:eastAsia="zh-CN" w:bidi="zh-CN"/>
                    </w:rPr>
                    <w:t>30%</w:t>
                  </w:r>
                  <w:r>
                    <w:rPr>
                      <w:rFonts w:hint="eastAsia" w:cs="Times New Roman"/>
                      <w:color w:val="auto"/>
                      <w:kern w:val="0"/>
                      <w:sz w:val="21"/>
                      <w:szCs w:val="21"/>
                      <w:lang w:val="en-US" w:eastAsia="zh-CN" w:bidi="zh-CN"/>
                    </w:rPr>
                    <w:t>。</w:t>
                  </w:r>
                </w:p>
              </w:tc>
            </w:tr>
            <w:tr w14:paraId="699230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11" w:type="dxa"/>
                  <w:tcBorders>
                    <w:left w:val="single" w:color="auto" w:sz="4" w:space="0"/>
                  </w:tcBorders>
                  <w:noWrap w:val="0"/>
                  <w:vAlign w:val="center"/>
                </w:tcPr>
                <w:p w14:paraId="746C5EEF">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zh-CN" w:eastAsia="zh-CN" w:bidi="zh-CN"/>
                    </w:rPr>
                  </w:pPr>
                  <w:r>
                    <w:rPr>
                      <w:rFonts w:hint="default" w:ascii="Times New Roman" w:hAnsi="Times New Roman" w:eastAsia="宋体" w:cs="Times New Roman"/>
                      <w:color w:val="auto"/>
                      <w:kern w:val="0"/>
                      <w:sz w:val="21"/>
                      <w:szCs w:val="21"/>
                      <w:lang w:val="zh-CN" w:bidi="zh-CN"/>
                    </w:rPr>
                    <w:t>5</w:t>
                  </w:r>
                </w:p>
              </w:tc>
              <w:tc>
                <w:tcPr>
                  <w:tcW w:w="1319" w:type="dxa"/>
                  <w:shd w:val="clear" w:color="auto" w:fill="auto"/>
                  <w:noWrap w:val="0"/>
                  <w:vAlign w:val="center"/>
                </w:tcPr>
                <w:p w14:paraId="21CE1FEF">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zh-CN" w:eastAsia="zh-CN" w:bidi="zh-CN"/>
                    </w:rPr>
                    <w:t>三氯化铁</w:t>
                  </w:r>
                </w:p>
              </w:tc>
              <w:tc>
                <w:tcPr>
                  <w:tcW w:w="1172" w:type="dxa"/>
                  <w:shd w:val="clear" w:color="auto" w:fill="auto"/>
                  <w:noWrap w:val="0"/>
                  <w:vAlign w:val="center"/>
                </w:tcPr>
                <w:p w14:paraId="4D48FCD3">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6"/>
                      <w:kern w:val="0"/>
                      <w:sz w:val="21"/>
                      <w:szCs w:val="21"/>
                      <w:lang w:val="en-US" w:eastAsia="zh-CN" w:bidi="zh-CN"/>
                    </w:rPr>
                  </w:pPr>
                  <w:r>
                    <w:rPr>
                      <w:rFonts w:hint="default" w:ascii="Times New Roman" w:hAnsi="Times New Roman" w:eastAsia="宋体" w:cs="Times New Roman"/>
                      <w:color w:val="auto"/>
                      <w:spacing w:val="-6"/>
                      <w:kern w:val="0"/>
                      <w:sz w:val="21"/>
                      <w:szCs w:val="21"/>
                      <w:lang w:val="en-US" w:eastAsia="zh-CN" w:bidi="zh-CN"/>
                    </w:rPr>
                    <w:t>/</w:t>
                  </w:r>
                </w:p>
              </w:tc>
              <w:tc>
                <w:tcPr>
                  <w:tcW w:w="809" w:type="dxa"/>
                  <w:shd w:val="clear" w:color="auto" w:fill="auto"/>
                  <w:noWrap w:val="0"/>
                  <w:vAlign w:val="center"/>
                </w:tcPr>
                <w:p w14:paraId="2C93FF99">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50t/a</w:t>
                  </w:r>
                </w:p>
              </w:tc>
              <w:tc>
                <w:tcPr>
                  <w:tcW w:w="1200" w:type="dxa"/>
                  <w:shd w:val="clear" w:color="auto" w:fill="auto"/>
                  <w:noWrap w:val="0"/>
                  <w:vAlign w:val="center"/>
                </w:tcPr>
                <w:p w14:paraId="7457F0A8">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color w:val="auto"/>
                      <w:spacing w:val="-4"/>
                      <w:kern w:val="0"/>
                      <w:sz w:val="21"/>
                      <w:szCs w:val="21"/>
                      <w:lang w:val="en-US" w:eastAsia="zh-CN" w:bidi="zh-CN"/>
                    </w:rPr>
                  </w:pPr>
                  <w:r>
                    <w:rPr>
                      <w:rFonts w:hint="default" w:ascii="Times New Roman" w:hAnsi="Times New Roman" w:eastAsia="宋体" w:cs="Times New Roman"/>
                      <w:color w:val="auto"/>
                      <w:spacing w:val="-4"/>
                      <w:kern w:val="0"/>
                      <w:sz w:val="21"/>
                      <w:szCs w:val="21"/>
                      <w:lang w:val="en-US" w:eastAsia="zh-CN" w:bidi="zh-CN"/>
                    </w:rPr>
                    <w:t>5t</w:t>
                  </w:r>
                </w:p>
              </w:tc>
              <w:tc>
                <w:tcPr>
                  <w:tcW w:w="1109" w:type="dxa"/>
                  <w:shd w:val="clear" w:color="auto" w:fill="auto"/>
                  <w:noWrap w:val="0"/>
                  <w:vAlign w:val="center"/>
                </w:tcPr>
                <w:p w14:paraId="2CF8E19A">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袋装；库房</w:t>
                  </w:r>
                </w:p>
              </w:tc>
              <w:tc>
                <w:tcPr>
                  <w:tcW w:w="2121" w:type="dxa"/>
                  <w:vMerge w:val="continue"/>
                  <w:tcBorders>
                    <w:right w:val="single" w:color="auto" w:sz="4" w:space="0"/>
                  </w:tcBorders>
                  <w:noWrap w:val="0"/>
                  <w:vAlign w:val="center"/>
                </w:tcPr>
                <w:p w14:paraId="2A043D5E">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p>
              </w:tc>
            </w:tr>
            <w:tr w14:paraId="6FFCAA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11" w:type="dxa"/>
                  <w:tcBorders>
                    <w:left w:val="single" w:color="auto" w:sz="4" w:space="0"/>
                  </w:tcBorders>
                  <w:shd w:val="clear" w:color="auto" w:fill="auto"/>
                  <w:noWrap w:val="0"/>
                  <w:vAlign w:val="center"/>
                </w:tcPr>
                <w:p w14:paraId="46FC1694">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zh-CN" w:eastAsia="zh-CN" w:bidi="zh-CN"/>
                    </w:rPr>
                  </w:pPr>
                  <w:r>
                    <w:rPr>
                      <w:rFonts w:hint="default" w:ascii="Times New Roman" w:hAnsi="Times New Roman" w:eastAsia="宋体" w:cs="Times New Roman"/>
                      <w:color w:val="auto"/>
                      <w:kern w:val="0"/>
                      <w:sz w:val="21"/>
                      <w:szCs w:val="21"/>
                      <w:lang w:val="zh-CN" w:bidi="zh-CN"/>
                    </w:rPr>
                    <w:t>6</w:t>
                  </w:r>
                </w:p>
              </w:tc>
              <w:tc>
                <w:tcPr>
                  <w:tcW w:w="1319" w:type="dxa"/>
                  <w:shd w:val="clear" w:color="auto" w:fill="auto"/>
                  <w:noWrap w:val="0"/>
                  <w:vAlign w:val="center"/>
                </w:tcPr>
                <w:p w14:paraId="627172AA">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zh-CN" w:eastAsia="zh-CN" w:bidi="zh-CN"/>
                    </w:rPr>
                  </w:pPr>
                  <w:r>
                    <w:rPr>
                      <w:rFonts w:hint="default" w:ascii="Times New Roman" w:hAnsi="Times New Roman" w:eastAsia="宋体" w:cs="Times New Roman"/>
                      <w:color w:val="auto"/>
                      <w:spacing w:val="-3"/>
                      <w:kern w:val="0"/>
                      <w:sz w:val="21"/>
                      <w:szCs w:val="21"/>
                      <w:lang w:val="zh-CN" w:eastAsia="zh-CN" w:bidi="zh-CN"/>
                    </w:rPr>
                    <w:t>石灰</w:t>
                  </w:r>
                </w:p>
              </w:tc>
              <w:tc>
                <w:tcPr>
                  <w:tcW w:w="1172" w:type="dxa"/>
                  <w:shd w:val="clear" w:color="auto" w:fill="auto"/>
                  <w:noWrap w:val="0"/>
                  <w:vAlign w:val="center"/>
                </w:tcPr>
                <w:p w14:paraId="00A36BA4">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6"/>
                      <w:kern w:val="0"/>
                      <w:sz w:val="21"/>
                      <w:szCs w:val="21"/>
                      <w:lang w:val="en-US" w:eastAsia="zh-CN" w:bidi="zh-CN"/>
                    </w:rPr>
                  </w:pPr>
                  <w:r>
                    <w:rPr>
                      <w:rFonts w:hint="default" w:ascii="Times New Roman" w:hAnsi="Times New Roman" w:eastAsia="宋体" w:cs="Times New Roman"/>
                      <w:color w:val="auto"/>
                      <w:spacing w:val="-6"/>
                      <w:kern w:val="0"/>
                      <w:sz w:val="21"/>
                      <w:szCs w:val="21"/>
                      <w:lang w:val="en-US" w:eastAsia="zh-CN" w:bidi="zh-CN"/>
                    </w:rPr>
                    <w:t>氧化钙</w:t>
                  </w:r>
                </w:p>
              </w:tc>
              <w:tc>
                <w:tcPr>
                  <w:tcW w:w="809" w:type="dxa"/>
                  <w:shd w:val="clear" w:color="auto" w:fill="auto"/>
                  <w:noWrap w:val="0"/>
                  <w:vAlign w:val="center"/>
                </w:tcPr>
                <w:p w14:paraId="45195B38">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100t/a</w:t>
                  </w:r>
                </w:p>
              </w:tc>
              <w:tc>
                <w:tcPr>
                  <w:tcW w:w="1200" w:type="dxa"/>
                  <w:shd w:val="clear" w:color="auto" w:fill="auto"/>
                  <w:noWrap w:val="0"/>
                  <w:vAlign w:val="center"/>
                </w:tcPr>
                <w:p w14:paraId="3BB5E7CE">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color w:val="auto"/>
                      <w:spacing w:val="-4"/>
                      <w:kern w:val="0"/>
                      <w:sz w:val="21"/>
                      <w:szCs w:val="21"/>
                      <w:lang w:val="en-US" w:eastAsia="zh-CN" w:bidi="zh-CN"/>
                    </w:rPr>
                  </w:pPr>
                  <w:r>
                    <w:rPr>
                      <w:rFonts w:hint="default" w:ascii="Times New Roman" w:hAnsi="Times New Roman" w:eastAsia="宋体" w:cs="Times New Roman"/>
                      <w:color w:val="auto"/>
                      <w:spacing w:val="-4"/>
                      <w:kern w:val="0"/>
                      <w:sz w:val="21"/>
                      <w:szCs w:val="21"/>
                      <w:lang w:val="en-US" w:eastAsia="zh-CN" w:bidi="zh-CN"/>
                    </w:rPr>
                    <w:t>10t</w:t>
                  </w:r>
                </w:p>
              </w:tc>
              <w:tc>
                <w:tcPr>
                  <w:tcW w:w="1109" w:type="dxa"/>
                  <w:shd w:val="clear" w:color="auto" w:fill="auto"/>
                  <w:noWrap w:val="0"/>
                  <w:vAlign w:val="center"/>
                </w:tcPr>
                <w:p w14:paraId="18E478C4">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石灰料仓</w:t>
                  </w:r>
                </w:p>
              </w:tc>
              <w:tc>
                <w:tcPr>
                  <w:tcW w:w="2121" w:type="dxa"/>
                  <w:vMerge w:val="continue"/>
                  <w:tcBorders>
                    <w:right w:val="single" w:color="auto" w:sz="4" w:space="0"/>
                  </w:tcBorders>
                  <w:noWrap w:val="0"/>
                  <w:vAlign w:val="center"/>
                </w:tcPr>
                <w:p w14:paraId="6B9BA9D5">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p>
              </w:tc>
            </w:tr>
            <w:tr w14:paraId="6501B8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11" w:type="dxa"/>
                  <w:tcBorders>
                    <w:left w:val="single" w:color="auto" w:sz="4" w:space="0"/>
                    <w:bottom w:val="single" w:color="auto" w:sz="4" w:space="0"/>
                  </w:tcBorders>
                  <w:noWrap w:val="0"/>
                  <w:vAlign w:val="center"/>
                </w:tcPr>
                <w:p w14:paraId="734F44F3">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bidi="zh-CN"/>
                    </w:rPr>
                  </w:pPr>
                  <w:r>
                    <w:rPr>
                      <w:rFonts w:hint="default" w:ascii="Times New Roman" w:hAnsi="Times New Roman" w:eastAsia="宋体" w:cs="Times New Roman"/>
                      <w:color w:val="auto"/>
                      <w:kern w:val="0"/>
                      <w:sz w:val="21"/>
                      <w:szCs w:val="21"/>
                      <w:lang w:val="en-US" w:bidi="zh-CN"/>
                    </w:rPr>
                    <w:t>7</w:t>
                  </w:r>
                </w:p>
              </w:tc>
              <w:tc>
                <w:tcPr>
                  <w:tcW w:w="1319" w:type="dxa"/>
                  <w:tcBorders>
                    <w:bottom w:val="single" w:color="auto" w:sz="4" w:space="0"/>
                  </w:tcBorders>
                  <w:shd w:val="clear" w:color="auto" w:fill="auto"/>
                  <w:noWrap w:val="0"/>
                  <w:vAlign w:val="center"/>
                </w:tcPr>
                <w:p w14:paraId="3C8EB3AE">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6"/>
                      <w:kern w:val="0"/>
                      <w:sz w:val="21"/>
                      <w:szCs w:val="21"/>
                      <w:lang w:val="en-US" w:eastAsia="zh-CN" w:bidi="zh-CN"/>
                    </w:rPr>
                    <w:t>硫自养滤料</w:t>
                  </w:r>
                </w:p>
              </w:tc>
              <w:tc>
                <w:tcPr>
                  <w:tcW w:w="1172" w:type="dxa"/>
                  <w:tcBorders>
                    <w:bottom w:val="single" w:color="auto" w:sz="4" w:space="0"/>
                  </w:tcBorders>
                  <w:shd w:val="clear" w:color="auto" w:fill="auto"/>
                  <w:noWrap w:val="0"/>
                  <w:vAlign w:val="center"/>
                </w:tcPr>
                <w:p w14:paraId="4E71A300">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6"/>
                      <w:kern w:val="0"/>
                      <w:sz w:val="21"/>
                      <w:szCs w:val="21"/>
                      <w:lang w:val="en-US" w:eastAsia="zh-CN" w:bidi="zh-CN"/>
                    </w:rPr>
                  </w:pPr>
                  <w:r>
                    <w:rPr>
                      <w:rFonts w:hint="default" w:ascii="Times New Roman" w:hAnsi="Times New Roman" w:eastAsia="宋体" w:cs="Times New Roman"/>
                      <w:color w:val="auto"/>
                      <w:spacing w:val="-6"/>
                      <w:kern w:val="0"/>
                      <w:sz w:val="21"/>
                      <w:szCs w:val="21"/>
                      <w:lang w:val="en-US" w:eastAsia="zh-CN" w:bidi="zh-CN"/>
                    </w:rPr>
                    <w:t>/</w:t>
                  </w:r>
                </w:p>
              </w:tc>
              <w:tc>
                <w:tcPr>
                  <w:tcW w:w="809" w:type="dxa"/>
                  <w:tcBorders>
                    <w:bottom w:val="single" w:color="auto" w:sz="4" w:space="0"/>
                  </w:tcBorders>
                  <w:shd w:val="clear" w:color="auto" w:fill="auto"/>
                  <w:noWrap w:val="0"/>
                  <w:vAlign w:val="center"/>
                </w:tcPr>
                <w:p w14:paraId="47115BC0">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50</w:t>
                  </w:r>
                  <w:r>
                    <w:rPr>
                      <w:rFonts w:hint="eastAsia" w:cs="Times New Roman"/>
                      <w:i w:val="0"/>
                      <w:iCs w:val="0"/>
                      <w:snapToGrid w:val="0"/>
                      <w:color w:val="auto"/>
                      <w:kern w:val="0"/>
                      <w:sz w:val="21"/>
                      <w:szCs w:val="21"/>
                      <w:u w:val="none"/>
                      <w:vertAlign w:val="baseline"/>
                      <w:lang w:val="en-US" w:eastAsia="zh-CN" w:bidi="ar"/>
                    </w:rPr>
                    <w:t>m</w:t>
                  </w:r>
                  <w:r>
                    <w:rPr>
                      <w:rFonts w:hint="eastAsia" w:cs="Times New Roman"/>
                      <w:i w:val="0"/>
                      <w:iCs w:val="0"/>
                      <w:snapToGrid w:val="0"/>
                      <w:color w:val="auto"/>
                      <w:kern w:val="0"/>
                      <w:sz w:val="21"/>
                      <w:szCs w:val="21"/>
                      <w:u w:val="none"/>
                      <w:vertAlign w:val="superscript"/>
                      <w:lang w:val="en-US" w:eastAsia="zh-CN" w:bidi="ar"/>
                    </w:rPr>
                    <w:t>3</w:t>
                  </w:r>
                  <w:r>
                    <w:rPr>
                      <w:rFonts w:hint="default" w:ascii="Times New Roman" w:hAnsi="Times New Roman" w:eastAsia="宋体" w:cs="Times New Roman"/>
                      <w:i w:val="0"/>
                      <w:iCs w:val="0"/>
                      <w:snapToGrid w:val="0"/>
                      <w:color w:val="auto"/>
                      <w:kern w:val="0"/>
                      <w:sz w:val="21"/>
                      <w:szCs w:val="21"/>
                      <w:u w:val="none"/>
                      <w:lang w:val="en-US" w:eastAsia="zh-CN" w:bidi="ar"/>
                    </w:rPr>
                    <w:t>/a</w:t>
                  </w:r>
                </w:p>
              </w:tc>
              <w:tc>
                <w:tcPr>
                  <w:tcW w:w="1200" w:type="dxa"/>
                  <w:tcBorders>
                    <w:bottom w:val="single" w:color="auto" w:sz="4" w:space="0"/>
                  </w:tcBorders>
                  <w:shd w:val="clear" w:color="auto" w:fill="auto"/>
                  <w:noWrap w:val="0"/>
                  <w:vAlign w:val="center"/>
                </w:tcPr>
                <w:p w14:paraId="1D9D098C">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color w:val="auto"/>
                      <w:spacing w:val="-4"/>
                      <w:kern w:val="0"/>
                      <w:sz w:val="21"/>
                      <w:szCs w:val="21"/>
                      <w:lang w:val="en-US" w:eastAsia="zh-CN" w:bidi="zh-CN"/>
                    </w:rPr>
                  </w:pPr>
                  <w:r>
                    <w:rPr>
                      <w:rFonts w:hint="default" w:ascii="Times New Roman" w:hAnsi="Times New Roman" w:eastAsia="宋体" w:cs="Times New Roman"/>
                      <w:color w:val="auto"/>
                      <w:spacing w:val="-4"/>
                      <w:kern w:val="0"/>
                      <w:sz w:val="21"/>
                      <w:szCs w:val="21"/>
                      <w:lang w:val="en-US" w:eastAsia="zh-CN" w:bidi="zh-CN"/>
                    </w:rPr>
                    <w:t>50</w:t>
                  </w:r>
                  <w:r>
                    <w:rPr>
                      <w:rFonts w:hint="eastAsia" w:cs="Times New Roman"/>
                      <w:color w:val="auto"/>
                      <w:spacing w:val="-4"/>
                      <w:kern w:val="0"/>
                      <w:sz w:val="21"/>
                      <w:szCs w:val="21"/>
                      <w:vertAlign w:val="baseline"/>
                      <w:lang w:val="en-US" w:eastAsia="zh-CN" w:bidi="zh-CN"/>
                    </w:rPr>
                    <w:t>m</w:t>
                  </w:r>
                  <w:r>
                    <w:rPr>
                      <w:rFonts w:hint="eastAsia" w:cs="Times New Roman"/>
                      <w:color w:val="auto"/>
                      <w:spacing w:val="-4"/>
                      <w:kern w:val="0"/>
                      <w:sz w:val="21"/>
                      <w:szCs w:val="21"/>
                      <w:vertAlign w:val="superscript"/>
                      <w:lang w:val="en-US" w:eastAsia="zh-CN" w:bidi="zh-CN"/>
                    </w:rPr>
                    <w:t>3</w:t>
                  </w:r>
                  <w:r>
                    <w:rPr>
                      <w:rFonts w:hint="default" w:ascii="Times New Roman" w:hAnsi="Times New Roman" w:eastAsia="宋体" w:cs="Times New Roman"/>
                      <w:color w:val="auto"/>
                      <w:spacing w:val="-4"/>
                      <w:kern w:val="0"/>
                      <w:sz w:val="21"/>
                      <w:szCs w:val="21"/>
                      <w:lang w:val="en-US" w:eastAsia="zh-CN" w:bidi="zh-CN"/>
                    </w:rPr>
                    <w:t>/a</w:t>
                  </w:r>
                </w:p>
              </w:tc>
              <w:tc>
                <w:tcPr>
                  <w:tcW w:w="1109" w:type="dxa"/>
                  <w:tcBorders>
                    <w:bottom w:val="single" w:color="auto" w:sz="4" w:space="0"/>
                  </w:tcBorders>
                  <w:shd w:val="clear" w:color="auto" w:fill="auto"/>
                  <w:noWrap w:val="0"/>
                  <w:vAlign w:val="center"/>
                </w:tcPr>
                <w:p w14:paraId="722EF255">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袋装；库房</w:t>
                  </w:r>
                </w:p>
              </w:tc>
              <w:tc>
                <w:tcPr>
                  <w:tcW w:w="2121" w:type="dxa"/>
                  <w:tcBorders>
                    <w:bottom w:val="single" w:color="auto" w:sz="4" w:space="0"/>
                    <w:right w:val="single" w:color="auto" w:sz="4" w:space="0"/>
                  </w:tcBorders>
                  <w:noWrap w:val="0"/>
                  <w:vAlign w:val="center"/>
                </w:tcPr>
                <w:p w14:paraId="4AAAC788">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spacing w:val="-3"/>
                      <w:kern w:val="0"/>
                      <w:sz w:val="21"/>
                      <w:szCs w:val="21"/>
                      <w:lang w:val="zh-CN" w:eastAsia="zh-CN" w:bidi="zh-CN"/>
                    </w:rPr>
                    <w:t>深度脱氮反硝化滤池过滤介质，消耗性，有效粒径4</w:t>
                  </w:r>
                  <w:r>
                    <w:rPr>
                      <w:rFonts w:hint="eastAsia" w:cs="Times New Roman"/>
                      <w:color w:val="auto"/>
                      <w:spacing w:val="-3"/>
                      <w:kern w:val="0"/>
                      <w:sz w:val="21"/>
                      <w:szCs w:val="21"/>
                      <w:lang w:val="zh-CN" w:eastAsia="zh-CN" w:bidi="zh-CN"/>
                    </w:rPr>
                    <w:t>mm</w:t>
                  </w:r>
                  <w:r>
                    <w:rPr>
                      <w:rFonts w:hint="default" w:ascii="Times New Roman" w:hAnsi="Times New Roman" w:eastAsia="宋体" w:cs="Times New Roman"/>
                      <w:color w:val="auto"/>
                      <w:spacing w:val="-3"/>
                      <w:kern w:val="0"/>
                      <w:sz w:val="21"/>
                      <w:szCs w:val="21"/>
                      <w:lang w:val="zh-CN" w:eastAsia="zh-CN" w:bidi="zh-CN"/>
                    </w:rPr>
                    <w:t>~6</w:t>
                  </w:r>
                  <w:r>
                    <w:rPr>
                      <w:rFonts w:hint="eastAsia" w:cs="Times New Roman"/>
                      <w:color w:val="auto"/>
                      <w:spacing w:val="-3"/>
                      <w:kern w:val="0"/>
                      <w:sz w:val="21"/>
                      <w:szCs w:val="21"/>
                      <w:lang w:val="zh-CN" w:eastAsia="zh-CN" w:bidi="zh-CN"/>
                    </w:rPr>
                    <w:t>mm</w:t>
                  </w:r>
                  <w:r>
                    <w:rPr>
                      <w:rFonts w:hint="default" w:ascii="Times New Roman" w:hAnsi="Times New Roman" w:eastAsia="宋体" w:cs="Times New Roman"/>
                      <w:color w:val="auto"/>
                      <w:spacing w:val="-3"/>
                      <w:kern w:val="0"/>
                      <w:sz w:val="21"/>
                      <w:szCs w:val="21"/>
                      <w:lang w:val="zh-CN" w:eastAsia="zh-CN" w:bidi="zh-CN"/>
                    </w:rPr>
                    <w:t>，年补充率</w:t>
                  </w:r>
                  <w:r>
                    <w:rPr>
                      <w:rFonts w:hint="default" w:ascii="Times New Roman" w:hAnsi="Times New Roman" w:eastAsia="宋体" w:cs="Times New Roman"/>
                      <w:color w:val="auto"/>
                      <w:spacing w:val="-3"/>
                      <w:kern w:val="0"/>
                      <w:sz w:val="21"/>
                      <w:szCs w:val="21"/>
                      <w:lang w:val="en-US" w:eastAsia="zh-CN" w:bidi="zh-CN"/>
                    </w:rPr>
                    <w:t>约</w:t>
                  </w:r>
                  <w:r>
                    <w:rPr>
                      <w:rFonts w:hint="default" w:ascii="Times New Roman" w:hAnsi="Times New Roman" w:eastAsia="宋体" w:cs="Times New Roman"/>
                      <w:color w:val="auto"/>
                      <w:spacing w:val="-3"/>
                      <w:kern w:val="0"/>
                      <w:sz w:val="21"/>
                      <w:szCs w:val="21"/>
                      <w:lang w:val="zh-CN" w:eastAsia="zh-CN" w:bidi="zh-CN"/>
                    </w:rPr>
                    <w:t>为20%</w:t>
                  </w:r>
                  <w:r>
                    <w:rPr>
                      <w:rFonts w:hint="eastAsia" w:cs="Times New Roman"/>
                      <w:color w:val="auto"/>
                      <w:spacing w:val="-3"/>
                      <w:kern w:val="0"/>
                      <w:sz w:val="21"/>
                      <w:szCs w:val="21"/>
                      <w:lang w:val="zh-CN" w:eastAsia="zh-CN" w:bidi="zh-CN"/>
                    </w:rPr>
                    <w:t>。</w:t>
                  </w:r>
                </w:p>
              </w:tc>
            </w:tr>
          </w:tbl>
          <w:p w14:paraId="6E16E6BA">
            <w:pPr>
              <w:keepNext w:val="0"/>
              <w:keepLines w:val="0"/>
              <w:pageBreakBefore w:val="0"/>
              <w:widowControl w:val="0"/>
              <w:kinsoku/>
              <w:wordWrap/>
              <w:overflowPunct/>
              <w:topLinePunct w:val="0"/>
              <w:autoSpaceDE w:val="0"/>
              <w:autoSpaceDN w:val="0"/>
              <w:bidi w:val="0"/>
              <w:adjustRightInd w:val="0"/>
              <w:snapToGrid w:val="0"/>
              <w:spacing w:line="360" w:lineRule="auto"/>
              <w:ind w:right="0"/>
              <w:jc w:val="center"/>
              <w:textAlignment w:val="auto"/>
              <w:rPr>
                <w:rFonts w:hint="default" w:ascii="Times New Roman" w:hAnsi="Times New Roman" w:eastAsia="宋体" w:cs="Times New Roman"/>
                <w:b/>
                <w:bCs/>
                <w:color w:val="auto"/>
                <w:kern w:val="0"/>
                <w:sz w:val="24"/>
                <w:szCs w:val="24"/>
                <w:lang w:val="en-US" w:bidi="zh-CN"/>
              </w:rPr>
            </w:pPr>
            <w:r>
              <w:rPr>
                <w:rFonts w:hint="default" w:ascii="Times New Roman" w:hAnsi="Times New Roman" w:eastAsia="宋体" w:cs="Times New Roman"/>
                <w:b/>
                <w:bCs/>
                <w:color w:val="auto"/>
                <w:kern w:val="0"/>
                <w:sz w:val="24"/>
                <w:szCs w:val="24"/>
                <w:lang w:val="en-US" w:bidi="zh-CN"/>
              </w:rPr>
              <w:t>表</w:t>
            </w:r>
            <w:r>
              <w:rPr>
                <w:rFonts w:hint="default" w:ascii="Times New Roman" w:hAnsi="Times New Roman" w:eastAsia="宋体" w:cs="Times New Roman"/>
                <w:b/>
                <w:bCs/>
                <w:color w:val="auto"/>
                <w:kern w:val="0"/>
                <w:sz w:val="24"/>
                <w:szCs w:val="24"/>
                <w:lang w:val="en-US" w:eastAsia="zh-CN" w:bidi="zh-CN"/>
              </w:rPr>
              <w:t>2-4</w:t>
            </w:r>
            <w:r>
              <w:rPr>
                <w:rFonts w:hint="default" w:ascii="Times New Roman" w:hAnsi="Times New Roman" w:eastAsia="宋体" w:cs="Times New Roman"/>
                <w:b/>
                <w:bCs/>
                <w:color w:val="auto"/>
                <w:kern w:val="0"/>
                <w:sz w:val="24"/>
                <w:szCs w:val="24"/>
                <w:lang w:val="en-US" w:bidi="zh-CN"/>
              </w:rPr>
              <w:t xml:space="preserve"> 全厂主要原辅材料消耗一览表</w:t>
            </w:r>
          </w:p>
          <w:tbl>
            <w:tblPr>
              <w:tblStyle w:val="10"/>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630"/>
              <w:gridCol w:w="1625"/>
              <w:gridCol w:w="1260"/>
              <w:gridCol w:w="1180"/>
              <w:gridCol w:w="1478"/>
              <w:gridCol w:w="1966"/>
            </w:tblGrid>
            <w:tr w14:paraId="7B0E84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93" w:hRule="atLeast"/>
                <w:jc w:val="center"/>
              </w:trPr>
              <w:tc>
                <w:tcPr>
                  <w:tcW w:w="505" w:type="dxa"/>
                  <w:vMerge w:val="restart"/>
                  <w:tcBorders>
                    <w:left w:val="single" w:color="auto" w:sz="0" w:space="0"/>
                    <w:bottom w:val="single" w:color="auto" w:sz="12" w:space="0"/>
                    <w:right w:val="single" w:color="auto" w:sz="12" w:space="0"/>
                  </w:tcBorders>
                  <w:noWrap w:val="0"/>
                  <w:vAlign w:val="center"/>
                </w:tcPr>
                <w:p w14:paraId="626739E4">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kern w:val="0"/>
                      <w:sz w:val="21"/>
                      <w:szCs w:val="21"/>
                      <w:lang w:val="en-US" w:bidi="ar-SA"/>
                    </w:rPr>
                  </w:pPr>
                  <w:r>
                    <w:rPr>
                      <w:rFonts w:hint="default" w:ascii="Times New Roman" w:hAnsi="Times New Roman" w:eastAsia="宋体" w:cs="Times New Roman"/>
                      <w:b/>
                      <w:bCs/>
                      <w:color w:val="auto"/>
                      <w:spacing w:val="-3"/>
                      <w:kern w:val="0"/>
                      <w:sz w:val="21"/>
                      <w:szCs w:val="21"/>
                      <w:lang w:val="zh-CN" w:bidi="zh-CN"/>
                    </w:rPr>
                    <w:t>序号</w:t>
                  </w:r>
                </w:p>
              </w:tc>
              <w:tc>
                <w:tcPr>
                  <w:tcW w:w="1303" w:type="dxa"/>
                  <w:vMerge w:val="restart"/>
                  <w:tcBorders>
                    <w:left w:val="single" w:color="auto" w:sz="12" w:space="0"/>
                    <w:bottom w:val="single" w:color="auto" w:sz="12" w:space="0"/>
                    <w:right w:val="single" w:color="auto" w:sz="12" w:space="0"/>
                  </w:tcBorders>
                  <w:noWrap w:val="0"/>
                  <w:vAlign w:val="center"/>
                </w:tcPr>
                <w:p w14:paraId="2EB790A8">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kern w:val="0"/>
                      <w:sz w:val="21"/>
                      <w:szCs w:val="21"/>
                      <w:lang w:val="en-US" w:bidi="ar-SA"/>
                    </w:rPr>
                  </w:pPr>
                  <w:r>
                    <w:rPr>
                      <w:rFonts w:hint="default" w:ascii="Times New Roman" w:hAnsi="Times New Roman" w:eastAsia="宋体" w:cs="Times New Roman"/>
                      <w:b/>
                      <w:bCs/>
                      <w:color w:val="auto"/>
                      <w:spacing w:val="-3"/>
                      <w:kern w:val="0"/>
                      <w:sz w:val="21"/>
                      <w:szCs w:val="21"/>
                      <w:lang w:val="zh-CN" w:bidi="zh-CN"/>
                    </w:rPr>
                    <w:t>名称</w:t>
                  </w:r>
                </w:p>
              </w:tc>
              <w:tc>
                <w:tcPr>
                  <w:tcW w:w="1956" w:type="dxa"/>
                  <w:gridSpan w:val="2"/>
                  <w:tcBorders>
                    <w:left w:val="single" w:color="auto" w:sz="12" w:space="0"/>
                    <w:bottom w:val="single" w:color="auto" w:sz="12" w:space="0"/>
                    <w:right w:val="single" w:color="auto" w:sz="12" w:space="0"/>
                  </w:tcBorders>
                  <w:shd w:val="clear" w:color="auto" w:fill="auto"/>
                  <w:noWrap w:val="0"/>
                  <w:vAlign w:val="center"/>
                </w:tcPr>
                <w:p w14:paraId="733CDBE8">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0"/>
                    <w:jc w:val="center"/>
                    <w:textAlignment w:val="baseline"/>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spacing w:val="-3"/>
                      <w:kern w:val="0"/>
                      <w:sz w:val="21"/>
                      <w:szCs w:val="21"/>
                      <w:lang w:val="en-US" w:eastAsia="zh-CN" w:bidi="zh-CN"/>
                    </w:rPr>
                    <w:t>现有工程年用量</w:t>
                  </w:r>
                </w:p>
              </w:tc>
              <w:tc>
                <w:tcPr>
                  <w:tcW w:w="1185" w:type="dxa"/>
                  <w:vMerge w:val="restart"/>
                  <w:tcBorders>
                    <w:left w:val="single" w:color="auto" w:sz="12" w:space="0"/>
                    <w:bottom w:val="single" w:color="auto" w:sz="12" w:space="0"/>
                    <w:right w:val="single" w:color="auto" w:sz="12" w:space="0"/>
                  </w:tcBorders>
                  <w:shd w:val="clear" w:color="auto" w:fill="auto"/>
                  <w:noWrap w:val="0"/>
                  <w:vAlign w:val="center"/>
                </w:tcPr>
                <w:p w14:paraId="558E564F">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一期更新改造后年用量</w:t>
                  </w:r>
                </w:p>
              </w:tc>
              <w:tc>
                <w:tcPr>
                  <w:tcW w:w="1576" w:type="dxa"/>
                  <w:vMerge w:val="restart"/>
                  <w:tcBorders>
                    <w:left w:val="single" w:color="auto" w:sz="12" w:space="0"/>
                    <w:bottom w:val="single" w:color="auto" w:sz="12" w:space="0"/>
                    <w:right w:val="single" w:color="auto" w:sz="12" w:space="0"/>
                  </w:tcBorders>
                  <w:noWrap w:val="0"/>
                  <w:vAlign w:val="center"/>
                </w:tcPr>
                <w:p w14:paraId="70904799">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spacing w:val="-3"/>
                      <w:kern w:val="0"/>
                      <w:sz w:val="21"/>
                      <w:szCs w:val="21"/>
                      <w:lang w:val="en-US" w:eastAsia="zh-CN" w:bidi="zh-CN"/>
                    </w:rPr>
                  </w:pPr>
                  <w:r>
                    <w:rPr>
                      <w:rFonts w:hint="default" w:ascii="Times New Roman" w:hAnsi="Times New Roman" w:eastAsia="宋体" w:cs="Times New Roman"/>
                      <w:b/>
                      <w:bCs/>
                      <w:color w:val="auto"/>
                      <w:spacing w:val="-3"/>
                      <w:kern w:val="0"/>
                      <w:sz w:val="21"/>
                      <w:szCs w:val="21"/>
                      <w:lang w:val="en-US" w:eastAsia="zh-CN" w:bidi="zh-CN"/>
                    </w:rPr>
                    <w:t>一期更新改造后全厂年用量</w:t>
                  </w:r>
                </w:p>
              </w:tc>
            </w:tr>
            <w:tr w14:paraId="5B6CF6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93" w:hRule="atLeast"/>
                <w:jc w:val="center"/>
              </w:trPr>
              <w:tc>
                <w:tcPr>
                  <w:tcW w:w="505" w:type="dxa"/>
                  <w:vMerge w:val="continue"/>
                  <w:tcBorders>
                    <w:top w:val="single" w:color="auto" w:sz="12" w:space="0"/>
                    <w:left w:val="single" w:color="auto" w:sz="4" w:space="0"/>
                    <w:bottom w:val="single" w:color="auto" w:sz="12" w:space="0"/>
                    <w:right w:val="single" w:color="auto" w:sz="12" w:space="0"/>
                  </w:tcBorders>
                  <w:noWrap w:val="0"/>
                  <w:vAlign w:val="center"/>
                </w:tcPr>
                <w:p w14:paraId="6B30627F">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cs="Times New Roman"/>
                      <w:color w:val="auto"/>
                      <w:sz w:val="21"/>
                      <w:szCs w:val="21"/>
                    </w:rPr>
                  </w:pPr>
                </w:p>
              </w:tc>
              <w:tc>
                <w:tcPr>
                  <w:tcW w:w="1303" w:type="dxa"/>
                  <w:vMerge w:val="continue"/>
                  <w:tcBorders>
                    <w:top w:val="single" w:color="auto" w:sz="12" w:space="0"/>
                    <w:left w:val="single" w:color="auto" w:sz="12" w:space="0"/>
                    <w:bottom w:val="single" w:color="auto" w:sz="12" w:space="0"/>
                    <w:right w:val="single" w:color="auto" w:sz="12" w:space="0"/>
                  </w:tcBorders>
                  <w:noWrap w:val="0"/>
                  <w:vAlign w:val="center"/>
                </w:tcPr>
                <w:p w14:paraId="1DAA252C">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cs="Times New Roman"/>
                      <w:color w:val="auto"/>
                      <w:sz w:val="21"/>
                      <w:szCs w:val="21"/>
                    </w:rPr>
                  </w:pPr>
                </w:p>
              </w:tc>
              <w:tc>
                <w:tcPr>
                  <w:tcW w:w="1010"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69CA1903">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一期</w:t>
                  </w:r>
                </w:p>
              </w:tc>
              <w:tc>
                <w:tcPr>
                  <w:tcW w:w="946"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218A5DD3">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二期</w:t>
                  </w:r>
                </w:p>
              </w:tc>
              <w:tc>
                <w:tcPr>
                  <w:tcW w:w="1185" w:type="dxa"/>
                  <w:vMerge w:val="continue"/>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1176FBA2">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spacing w:val="-3"/>
                      <w:kern w:val="0"/>
                      <w:sz w:val="21"/>
                      <w:szCs w:val="21"/>
                      <w:lang w:val="en-US" w:eastAsia="zh-CN" w:bidi="zh-CN"/>
                    </w:rPr>
                  </w:pPr>
                </w:p>
              </w:tc>
              <w:tc>
                <w:tcPr>
                  <w:tcW w:w="1576" w:type="dxa"/>
                  <w:vMerge w:val="continue"/>
                  <w:tcBorders>
                    <w:top w:val="single" w:color="auto" w:sz="12" w:space="0"/>
                    <w:left w:val="single" w:color="auto" w:sz="12" w:space="0"/>
                    <w:bottom w:val="single" w:color="auto" w:sz="12" w:space="0"/>
                    <w:right w:val="single" w:color="auto" w:sz="12" w:space="0"/>
                  </w:tcBorders>
                  <w:noWrap w:val="0"/>
                  <w:vAlign w:val="center"/>
                </w:tcPr>
                <w:p w14:paraId="15BA31DA">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b/>
                      <w:bCs/>
                      <w:color w:val="auto"/>
                      <w:spacing w:val="-3"/>
                      <w:kern w:val="0"/>
                      <w:sz w:val="21"/>
                      <w:szCs w:val="21"/>
                      <w:lang w:val="en-US" w:eastAsia="zh-CN" w:bidi="zh-CN"/>
                    </w:rPr>
                  </w:pPr>
                </w:p>
              </w:tc>
            </w:tr>
            <w:tr w14:paraId="6D334A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5" w:type="dxa"/>
                  <w:tcBorders>
                    <w:top w:val="single" w:color="auto" w:sz="12" w:space="0"/>
                    <w:left w:val="single" w:color="auto" w:sz="4" w:space="0"/>
                    <w:bottom w:val="single" w:color="auto" w:sz="12" w:space="0"/>
                    <w:right w:val="single" w:color="auto" w:sz="12" w:space="0"/>
                  </w:tcBorders>
                  <w:noWrap w:val="0"/>
                  <w:vAlign w:val="center"/>
                </w:tcPr>
                <w:p w14:paraId="55882438">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eastAsia="zh-CN" w:bidi="zh-CN"/>
                    </w:rPr>
                    <w:t>1</w:t>
                  </w:r>
                </w:p>
              </w:tc>
              <w:tc>
                <w:tcPr>
                  <w:tcW w:w="1303"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61221759">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zh-CN" w:eastAsia="zh-CN" w:bidi="zh-CN"/>
                    </w:rPr>
                    <w:t>次氯酸钠</w:t>
                  </w:r>
                </w:p>
              </w:tc>
              <w:tc>
                <w:tcPr>
                  <w:tcW w:w="1010"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18AAC457">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w:t>
                  </w:r>
                </w:p>
              </w:tc>
              <w:tc>
                <w:tcPr>
                  <w:tcW w:w="946"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417F83B6">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711t/a</w:t>
                  </w:r>
                </w:p>
              </w:tc>
              <w:tc>
                <w:tcPr>
                  <w:tcW w:w="1185"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71C48F1E">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547t/a</w:t>
                  </w:r>
                </w:p>
              </w:tc>
              <w:tc>
                <w:tcPr>
                  <w:tcW w:w="1576"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39FE8F01">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1258t/a</w:t>
                  </w:r>
                </w:p>
              </w:tc>
            </w:tr>
            <w:tr w14:paraId="2B7603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5" w:type="dxa"/>
                  <w:tcBorders>
                    <w:top w:val="single" w:color="auto" w:sz="12" w:space="0"/>
                    <w:left w:val="single" w:color="auto" w:sz="4" w:space="0"/>
                    <w:bottom w:val="single" w:color="auto" w:sz="12" w:space="0"/>
                    <w:right w:val="single" w:color="auto" w:sz="12" w:space="0"/>
                  </w:tcBorders>
                  <w:noWrap w:val="0"/>
                  <w:vAlign w:val="center"/>
                </w:tcPr>
                <w:p w14:paraId="385F82C0">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2</w:t>
                  </w:r>
                </w:p>
              </w:tc>
              <w:tc>
                <w:tcPr>
                  <w:tcW w:w="1303"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61297B2D">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zh-CN" w:eastAsia="zh-CN" w:bidi="zh-CN"/>
                    </w:rPr>
                    <w:t>碳源</w:t>
                  </w:r>
                </w:p>
              </w:tc>
              <w:tc>
                <w:tcPr>
                  <w:tcW w:w="1010"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5E066128">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w:t>
                  </w:r>
                </w:p>
              </w:tc>
              <w:tc>
                <w:tcPr>
                  <w:tcW w:w="946"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7DA05BC6">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15t/a</w:t>
                  </w:r>
                </w:p>
              </w:tc>
              <w:tc>
                <w:tcPr>
                  <w:tcW w:w="1185"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21E87788">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12t/a</w:t>
                  </w:r>
                </w:p>
              </w:tc>
              <w:tc>
                <w:tcPr>
                  <w:tcW w:w="1576"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7DE88540">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27t/a</w:t>
                  </w:r>
                </w:p>
              </w:tc>
            </w:tr>
            <w:tr w14:paraId="2395AD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5" w:type="dxa"/>
                  <w:tcBorders>
                    <w:top w:val="single" w:color="auto" w:sz="12" w:space="0"/>
                    <w:left w:val="single" w:color="auto" w:sz="4" w:space="0"/>
                    <w:bottom w:val="single" w:color="auto" w:sz="12" w:space="0"/>
                    <w:right w:val="single" w:color="auto" w:sz="12" w:space="0"/>
                  </w:tcBorders>
                  <w:noWrap w:val="0"/>
                  <w:vAlign w:val="center"/>
                </w:tcPr>
                <w:p w14:paraId="6D46053D">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zh-CN" w:bidi="zh-CN"/>
                    </w:rPr>
                    <w:t>3</w:t>
                  </w:r>
                </w:p>
              </w:tc>
              <w:tc>
                <w:tcPr>
                  <w:tcW w:w="1303"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6B568211">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en-US" w:bidi="zh-CN"/>
                    </w:rPr>
                    <w:t>PAC溶液</w:t>
                  </w:r>
                </w:p>
              </w:tc>
              <w:tc>
                <w:tcPr>
                  <w:tcW w:w="1010"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1E61A6C9">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6"/>
                      <w:kern w:val="0"/>
                      <w:sz w:val="21"/>
                      <w:szCs w:val="21"/>
                      <w:lang w:val="en-US" w:eastAsia="zh-CN" w:bidi="zh-CN"/>
                    </w:rPr>
                  </w:pPr>
                  <w:r>
                    <w:rPr>
                      <w:rFonts w:hint="default" w:ascii="Times New Roman" w:hAnsi="Times New Roman" w:eastAsia="宋体" w:cs="Times New Roman"/>
                      <w:color w:val="auto"/>
                      <w:spacing w:val="-6"/>
                      <w:kern w:val="0"/>
                      <w:sz w:val="21"/>
                      <w:szCs w:val="21"/>
                      <w:lang w:val="en-US" w:eastAsia="zh-CN" w:bidi="zh-CN"/>
                    </w:rPr>
                    <w:t>200t/a</w:t>
                  </w:r>
                </w:p>
              </w:tc>
              <w:tc>
                <w:tcPr>
                  <w:tcW w:w="946"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11088EDE">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650t/a</w:t>
                  </w:r>
                </w:p>
              </w:tc>
              <w:tc>
                <w:tcPr>
                  <w:tcW w:w="1185"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19D02E58">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500t/a</w:t>
                  </w:r>
                </w:p>
              </w:tc>
              <w:tc>
                <w:tcPr>
                  <w:tcW w:w="1576"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5934153B">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1150t/a</w:t>
                  </w:r>
                </w:p>
              </w:tc>
            </w:tr>
            <w:tr w14:paraId="4C2B6E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5" w:type="dxa"/>
                  <w:tcBorders>
                    <w:top w:val="single" w:color="auto" w:sz="12" w:space="0"/>
                    <w:left w:val="single" w:color="auto" w:sz="4" w:space="0"/>
                    <w:bottom w:val="single" w:color="auto" w:sz="12" w:space="0"/>
                    <w:right w:val="single" w:color="auto" w:sz="12" w:space="0"/>
                  </w:tcBorders>
                  <w:noWrap w:val="0"/>
                  <w:vAlign w:val="center"/>
                </w:tcPr>
                <w:p w14:paraId="59F6468B">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4</w:t>
                  </w:r>
                </w:p>
              </w:tc>
              <w:tc>
                <w:tcPr>
                  <w:tcW w:w="1303"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01F11C52">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zh-CN" w:eastAsia="zh-CN" w:bidi="zh-CN"/>
                    </w:rPr>
                  </w:pPr>
                  <w:r>
                    <w:rPr>
                      <w:rFonts w:hint="default" w:ascii="Times New Roman" w:hAnsi="Times New Roman" w:eastAsia="宋体" w:cs="Times New Roman"/>
                      <w:color w:val="auto"/>
                      <w:spacing w:val="-3"/>
                      <w:kern w:val="0"/>
                      <w:sz w:val="21"/>
                      <w:szCs w:val="21"/>
                      <w:lang w:val="en-US" w:bidi="zh-CN"/>
                    </w:rPr>
                    <w:t>PAM</w:t>
                  </w:r>
                </w:p>
              </w:tc>
              <w:tc>
                <w:tcPr>
                  <w:tcW w:w="1010"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5F489CBF">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6"/>
                      <w:kern w:val="0"/>
                      <w:sz w:val="21"/>
                      <w:szCs w:val="21"/>
                      <w:lang w:val="en-US" w:eastAsia="zh-CN" w:bidi="zh-CN"/>
                    </w:rPr>
                  </w:pPr>
                  <w:r>
                    <w:rPr>
                      <w:rFonts w:hint="default" w:ascii="Times New Roman" w:hAnsi="Times New Roman" w:eastAsia="宋体" w:cs="Times New Roman"/>
                      <w:color w:val="auto"/>
                      <w:spacing w:val="-6"/>
                      <w:kern w:val="0"/>
                      <w:sz w:val="21"/>
                      <w:szCs w:val="21"/>
                      <w:lang w:val="en-US" w:eastAsia="zh-CN" w:bidi="zh-CN"/>
                    </w:rPr>
                    <w:t>1.2t/a</w:t>
                  </w:r>
                </w:p>
              </w:tc>
              <w:tc>
                <w:tcPr>
                  <w:tcW w:w="946"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556CFD32">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4t/a</w:t>
                  </w:r>
                </w:p>
              </w:tc>
              <w:tc>
                <w:tcPr>
                  <w:tcW w:w="1185"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15EA0861">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3t/a</w:t>
                  </w:r>
                </w:p>
              </w:tc>
              <w:tc>
                <w:tcPr>
                  <w:tcW w:w="1576"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48110DAB">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eastAsia="zh-CN" w:bidi="zh-CN"/>
                    </w:rPr>
                  </w:pPr>
                  <w:r>
                    <w:rPr>
                      <w:rFonts w:hint="default" w:ascii="Times New Roman" w:hAnsi="Times New Roman" w:eastAsia="宋体" w:cs="Times New Roman"/>
                      <w:color w:val="auto"/>
                      <w:kern w:val="0"/>
                      <w:sz w:val="21"/>
                      <w:szCs w:val="21"/>
                      <w:lang w:val="en-US" w:eastAsia="zh-CN" w:bidi="zh-CN"/>
                    </w:rPr>
                    <w:t>7t/a</w:t>
                  </w:r>
                </w:p>
              </w:tc>
            </w:tr>
            <w:tr w14:paraId="044CB5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5" w:type="dxa"/>
                  <w:tcBorders>
                    <w:top w:val="single" w:color="auto" w:sz="12" w:space="0"/>
                    <w:left w:val="single" w:color="auto" w:sz="4" w:space="0"/>
                    <w:bottom w:val="single" w:color="auto" w:sz="12" w:space="0"/>
                    <w:right w:val="single" w:color="auto" w:sz="12" w:space="0"/>
                  </w:tcBorders>
                  <w:noWrap w:val="0"/>
                  <w:vAlign w:val="center"/>
                </w:tcPr>
                <w:p w14:paraId="1CDE4AA6">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zh-CN" w:eastAsia="zh-CN" w:bidi="zh-CN"/>
                    </w:rPr>
                  </w:pPr>
                  <w:r>
                    <w:rPr>
                      <w:rFonts w:hint="default" w:ascii="Times New Roman" w:hAnsi="Times New Roman" w:eastAsia="宋体" w:cs="Times New Roman"/>
                      <w:color w:val="auto"/>
                      <w:kern w:val="0"/>
                      <w:sz w:val="21"/>
                      <w:szCs w:val="21"/>
                      <w:lang w:val="zh-CN" w:bidi="zh-CN"/>
                    </w:rPr>
                    <w:t>5</w:t>
                  </w:r>
                </w:p>
              </w:tc>
              <w:tc>
                <w:tcPr>
                  <w:tcW w:w="1303"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79E7766A">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3"/>
                      <w:kern w:val="0"/>
                      <w:sz w:val="21"/>
                      <w:szCs w:val="21"/>
                      <w:lang w:val="zh-CN" w:eastAsia="zh-CN" w:bidi="zh-CN"/>
                    </w:rPr>
                    <w:t>三氯化铁</w:t>
                  </w:r>
                </w:p>
              </w:tc>
              <w:tc>
                <w:tcPr>
                  <w:tcW w:w="1010"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375D1FF3">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6"/>
                      <w:kern w:val="0"/>
                      <w:sz w:val="21"/>
                      <w:szCs w:val="21"/>
                      <w:lang w:val="en-US" w:eastAsia="zh-CN" w:bidi="zh-CN"/>
                    </w:rPr>
                  </w:pPr>
                  <w:r>
                    <w:rPr>
                      <w:rFonts w:hint="default" w:ascii="Times New Roman" w:hAnsi="Times New Roman" w:eastAsia="宋体" w:cs="Times New Roman"/>
                      <w:color w:val="auto"/>
                      <w:spacing w:val="-6"/>
                      <w:kern w:val="0"/>
                      <w:sz w:val="21"/>
                      <w:szCs w:val="21"/>
                      <w:lang w:val="en-US" w:eastAsia="zh-CN" w:bidi="zh-CN"/>
                    </w:rPr>
                    <w:t>/</w:t>
                  </w:r>
                </w:p>
              </w:tc>
              <w:tc>
                <w:tcPr>
                  <w:tcW w:w="946"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714E7AF2">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w:t>
                  </w:r>
                </w:p>
              </w:tc>
              <w:tc>
                <w:tcPr>
                  <w:tcW w:w="1185"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2A03C1C8">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50t/a</w:t>
                  </w:r>
                </w:p>
              </w:tc>
              <w:tc>
                <w:tcPr>
                  <w:tcW w:w="1576"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629BDAEF">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50t/at</w:t>
                  </w:r>
                </w:p>
              </w:tc>
            </w:tr>
            <w:tr w14:paraId="45486E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5" w:type="dxa"/>
                  <w:tcBorders>
                    <w:top w:val="single" w:color="auto" w:sz="12" w:space="0"/>
                    <w:left w:val="single" w:color="auto" w:sz="4" w:space="0"/>
                    <w:bottom w:val="single" w:color="auto" w:sz="12" w:space="0"/>
                    <w:right w:val="single" w:color="auto" w:sz="12" w:space="0"/>
                  </w:tcBorders>
                  <w:shd w:val="clear" w:color="auto" w:fill="auto"/>
                  <w:noWrap w:val="0"/>
                  <w:vAlign w:val="center"/>
                </w:tcPr>
                <w:p w14:paraId="4DE1FBB0">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zh-CN" w:eastAsia="zh-CN" w:bidi="zh-CN"/>
                    </w:rPr>
                  </w:pPr>
                  <w:r>
                    <w:rPr>
                      <w:rFonts w:hint="default" w:ascii="Times New Roman" w:hAnsi="Times New Roman" w:eastAsia="宋体" w:cs="Times New Roman"/>
                      <w:color w:val="auto"/>
                      <w:kern w:val="0"/>
                      <w:sz w:val="21"/>
                      <w:szCs w:val="21"/>
                      <w:lang w:val="zh-CN" w:bidi="zh-CN"/>
                    </w:rPr>
                    <w:t>6</w:t>
                  </w:r>
                </w:p>
              </w:tc>
              <w:tc>
                <w:tcPr>
                  <w:tcW w:w="1303"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20973593">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zh-CN" w:eastAsia="zh-CN" w:bidi="zh-CN"/>
                    </w:rPr>
                  </w:pPr>
                  <w:r>
                    <w:rPr>
                      <w:rFonts w:hint="default" w:ascii="Times New Roman" w:hAnsi="Times New Roman" w:eastAsia="宋体" w:cs="Times New Roman"/>
                      <w:color w:val="auto"/>
                      <w:spacing w:val="-3"/>
                      <w:kern w:val="0"/>
                      <w:sz w:val="21"/>
                      <w:szCs w:val="21"/>
                      <w:lang w:val="zh-CN" w:eastAsia="zh-CN" w:bidi="zh-CN"/>
                    </w:rPr>
                    <w:t>石灰</w:t>
                  </w:r>
                </w:p>
              </w:tc>
              <w:tc>
                <w:tcPr>
                  <w:tcW w:w="1010"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6A5B5A6F">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6"/>
                      <w:kern w:val="0"/>
                      <w:sz w:val="21"/>
                      <w:szCs w:val="21"/>
                      <w:lang w:val="en-US" w:eastAsia="zh-CN" w:bidi="zh-CN"/>
                    </w:rPr>
                  </w:pPr>
                  <w:r>
                    <w:rPr>
                      <w:rFonts w:hint="default" w:ascii="Times New Roman" w:hAnsi="Times New Roman" w:eastAsia="宋体" w:cs="Times New Roman"/>
                      <w:color w:val="auto"/>
                      <w:spacing w:val="-6"/>
                      <w:kern w:val="0"/>
                      <w:sz w:val="21"/>
                      <w:szCs w:val="21"/>
                      <w:lang w:val="en-US" w:eastAsia="zh-CN" w:bidi="zh-CN"/>
                    </w:rPr>
                    <w:t>/</w:t>
                  </w:r>
                </w:p>
              </w:tc>
              <w:tc>
                <w:tcPr>
                  <w:tcW w:w="946"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1517408E">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w:t>
                  </w:r>
                </w:p>
              </w:tc>
              <w:tc>
                <w:tcPr>
                  <w:tcW w:w="1185"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56352A94">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100t/a</w:t>
                  </w:r>
                </w:p>
              </w:tc>
              <w:tc>
                <w:tcPr>
                  <w:tcW w:w="1576" w:type="dxa"/>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712F728D">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100t/at</w:t>
                  </w:r>
                </w:p>
              </w:tc>
            </w:tr>
            <w:tr w14:paraId="048944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5" w:type="dxa"/>
                  <w:tcBorders>
                    <w:top w:val="single" w:color="auto" w:sz="12" w:space="0"/>
                    <w:left w:val="single" w:color="auto" w:sz="4" w:space="0"/>
                    <w:right w:val="single" w:color="auto" w:sz="12" w:space="0"/>
                  </w:tcBorders>
                  <w:noWrap w:val="0"/>
                  <w:vAlign w:val="center"/>
                </w:tcPr>
                <w:p w14:paraId="49338375">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kern w:val="0"/>
                      <w:sz w:val="21"/>
                      <w:szCs w:val="21"/>
                      <w:lang w:val="en-US" w:bidi="zh-CN"/>
                    </w:rPr>
                  </w:pPr>
                  <w:r>
                    <w:rPr>
                      <w:rFonts w:hint="default" w:ascii="Times New Roman" w:hAnsi="Times New Roman" w:eastAsia="宋体" w:cs="Times New Roman"/>
                      <w:color w:val="auto"/>
                      <w:kern w:val="0"/>
                      <w:sz w:val="21"/>
                      <w:szCs w:val="21"/>
                      <w:lang w:val="en-US" w:bidi="zh-CN"/>
                    </w:rPr>
                    <w:t>7</w:t>
                  </w:r>
                </w:p>
              </w:tc>
              <w:tc>
                <w:tcPr>
                  <w:tcW w:w="1303" w:type="dxa"/>
                  <w:tcBorders>
                    <w:top w:val="single" w:color="auto" w:sz="12" w:space="0"/>
                    <w:left w:val="single" w:color="auto" w:sz="12" w:space="0"/>
                    <w:right w:val="single" w:color="auto" w:sz="12" w:space="0"/>
                  </w:tcBorders>
                  <w:shd w:val="clear" w:color="auto" w:fill="auto"/>
                  <w:noWrap w:val="0"/>
                  <w:vAlign w:val="center"/>
                </w:tcPr>
                <w:p w14:paraId="797EA257">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3"/>
                      <w:kern w:val="0"/>
                      <w:sz w:val="21"/>
                      <w:szCs w:val="21"/>
                      <w:lang w:val="en-US" w:eastAsia="zh-CN" w:bidi="zh-CN"/>
                    </w:rPr>
                  </w:pPr>
                  <w:r>
                    <w:rPr>
                      <w:rFonts w:hint="default" w:ascii="Times New Roman" w:hAnsi="Times New Roman" w:eastAsia="宋体" w:cs="Times New Roman"/>
                      <w:color w:val="auto"/>
                      <w:spacing w:val="-6"/>
                      <w:kern w:val="0"/>
                      <w:sz w:val="21"/>
                      <w:szCs w:val="21"/>
                      <w:lang w:val="en-US" w:eastAsia="zh-CN" w:bidi="zh-CN"/>
                    </w:rPr>
                    <w:t>硫自养滤料</w:t>
                  </w:r>
                </w:p>
              </w:tc>
              <w:tc>
                <w:tcPr>
                  <w:tcW w:w="1010" w:type="dxa"/>
                  <w:tcBorders>
                    <w:top w:val="single" w:color="auto" w:sz="12" w:space="0"/>
                    <w:left w:val="single" w:color="auto" w:sz="12" w:space="0"/>
                    <w:right w:val="single" w:color="auto" w:sz="12" w:space="0"/>
                  </w:tcBorders>
                  <w:shd w:val="clear" w:color="auto" w:fill="auto"/>
                  <w:noWrap w:val="0"/>
                  <w:vAlign w:val="center"/>
                </w:tcPr>
                <w:p w14:paraId="06A8718E">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宋体" w:cs="Times New Roman"/>
                      <w:color w:val="auto"/>
                      <w:spacing w:val="-6"/>
                      <w:kern w:val="0"/>
                      <w:sz w:val="21"/>
                      <w:szCs w:val="21"/>
                      <w:lang w:val="en-US" w:eastAsia="zh-CN" w:bidi="zh-CN"/>
                    </w:rPr>
                  </w:pPr>
                  <w:r>
                    <w:rPr>
                      <w:rFonts w:hint="default" w:ascii="Times New Roman" w:hAnsi="Times New Roman" w:eastAsia="宋体" w:cs="Times New Roman"/>
                      <w:color w:val="auto"/>
                      <w:spacing w:val="-6"/>
                      <w:kern w:val="0"/>
                      <w:sz w:val="21"/>
                      <w:szCs w:val="21"/>
                      <w:lang w:val="en-US" w:eastAsia="zh-CN" w:bidi="zh-CN"/>
                    </w:rPr>
                    <w:t>/</w:t>
                  </w:r>
                </w:p>
              </w:tc>
              <w:tc>
                <w:tcPr>
                  <w:tcW w:w="946" w:type="dxa"/>
                  <w:tcBorders>
                    <w:top w:val="single" w:color="auto" w:sz="12" w:space="0"/>
                    <w:left w:val="single" w:color="auto" w:sz="12" w:space="0"/>
                    <w:right w:val="single" w:color="auto" w:sz="12" w:space="0"/>
                  </w:tcBorders>
                  <w:shd w:val="clear" w:color="auto" w:fill="auto"/>
                  <w:noWrap w:val="0"/>
                  <w:vAlign w:val="center"/>
                </w:tcPr>
                <w:p w14:paraId="0DBCC255">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w:t>
                  </w:r>
                </w:p>
              </w:tc>
              <w:tc>
                <w:tcPr>
                  <w:tcW w:w="1185" w:type="dxa"/>
                  <w:tcBorders>
                    <w:top w:val="single" w:color="auto" w:sz="12" w:space="0"/>
                    <w:left w:val="single" w:color="auto" w:sz="12" w:space="0"/>
                    <w:right w:val="single" w:color="auto" w:sz="12" w:space="0"/>
                  </w:tcBorders>
                  <w:shd w:val="clear" w:color="auto" w:fill="auto"/>
                  <w:noWrap w:val="0"/>
                  <w:vAlign w:val="center"/>
                </w:tcPr>
                <w:p w14:paraId="591C1EE8">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50</w:t>
                  </w:r>
                  <w:r>
                    <w:rPr>
                      <w:rFonts w:hint="eastAsia" w:cs="Times New Roman"/>
                      <w:i w:val="0"/>
                      <w:iCs w:val="0"/>
                      <w:snapToGrid w:val="0"/>
                      <w:color w:val="auto"/>
                      <w:kern w:val="0"/>
                      <w:sz w:val="21"/>
                      <w:szCs w:val="21"/>
                      <w:u w:val="none"/>
                      <w:vertAlign w:val="baseline"/>
                      <w:lang w:val="en-US" w:eastAsia="zh-CN" w:bidi="ar"/>
                    </w:rPr>
                    <w:t>m</w:t>
                  </w:r>
                  <w:r>
                    <w:rPr>
                      <w:rFonts w:hint="eastAsia" w:cs="Times New Roman"/>
                      <w:i w:val="0"/>
                      <w:iCs w:val="0"/>
                      <w:snapToGrid w:val="0"/>
                      <w:color w:val="auto"/>
                      <w:kern w:val="0"/>
                      <w:sz w:val="21"/>
                      <w:szCs w:val="21"/>
                      <w:u w:val="none"/>
                      <w:vertAlign w:val="superscript"/>
                      <w:lang w:val="en-US" w:eastAsia="zh-CN" w:bidi="ar"/>
                    </w:rPr>
                    <w:t>3</w:t>
                  </w:r>
                  <w:r>
                    <w:rPr>
                      <w:rFonts w:hint="default" w:ascii="Times New Roman" w:hAnsi="Times New Roman" w:eastAsia="宋体" w:cs="Times New Roman"/>
                      <w:i w:val="0"/>
                      <w:iCs w:val="0"/>
                      <w:snapToGrid w:val="0"/>
                      <w:color w:val="auto"/>
                      <w:kern w:val="0"/>
                      <w:sz w:val="21"/>
                      <w:szCs w:val="21"/>
                      <w:u w:val="none"/>
                      <w:lang w:val="en-US" w:eastAsia="zh-CN" w:bidi="ar"/>
                    </w:rPr>
                    <w:t>/a</w:t>
                  </w:r>
                </w:p>
              </w:tc>
              <w:tc>
                <w:tcPr>
                  <w:tcW w:w="1576" w:type="dxa"/>
                  <w:tcBorders>
                    <w:top w:val="single" w:color="auto" w:sz="12" w:space="0"/>
                    <w:left w:val="single" w:color="auto" w:sz="12" w:space="0"/>
                    <w:right w:val="single" w:color="auto" w:sz="12" w:space="0"/>
                  </w:tcBorders>
                  <w:shd w:val="clear" w:color="auto" w:fill="auto"/>
                  <w:noWrap w:val="0"/>
                  <w:vAlign w:val="center"/>
                </w:tcPr>
                <w:p w14:paraId="4964623C">
                  <w:pPr>
                    <w:keepNext w:val="0"/>
                    <w:keepLines w:val="0"/>
                    <w:pageBreakBefore w:val="0"/>
                    <w:widowControl/>
                    <w:suppressLineNumbers w:val="0"/>
                    <w:wordWrap/>
                    <w:overflowPunct/>
                    <w:topLinePunct w:val="0"/>
                    <w:autoSpaceDE w:val="0"/>
                    <w:autoSpaceDN w:val="0"/>
                    <w:bidi w:val="0"/>
                    <w:spacing w:line="360" w:lineRule="exact"/>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50</w:t>
                  </w:r>
                  <w:r>
                    <w:rPr>
                      <w:rFonts w:hint="eastAsia" w:cs="Times New Roman"/>
                      <w:i w:val="0"/>
                      <w:iCs w:val="0"/>
                      <w:snapToGrid w:val="0"/>
                      <w:color w:val="auto"/>
                      <w:kern w:val="0"/>
                      <w:sz w:val="21"/>
                      <w:szCs w:val="21"/>
                      <w:u w:val="none"/>
                      <w:vertAlign w:val="baseline"/>
                      <w:lang w:val="en-US" w:eastAsia="zh-CN" w:bidi="ar"/>
                    </w:rPr>
                    <w:t>m</w:t>
                  </w:r>
                  <w:r>
                    <w:rPr>
                      <w:rFonts w:hint="eastAsia" w:cs="Times New Roman"/>
                      <w:i w:val="0"/>
                      <w:iCs w:val="0"/>
                      <w:snapToGrid w:val="0"/>
                      <w:color w:val="auto"/>
                      <w:kern w:val="0"/>
                      <w:sz w:val="21"/>
                      <w:szCs w:val="21"/>
                      <w:u w:val="none"/>
                      <w:vertAlign w:val="superscript"/>
                      <w:lang w:val="en-US" w:eastAsia="zh-CN" w:bidi="ar"/>
                    </w:rPr>
                    <w:t>3</w:t>
                  </w:r>
                  <w:r>
                    <w:rPr>
                      <w:rFonts w:hint="default" w:ascii="Times New Roman" w:hAnsi="Times New Roman" w:eastAsia="宋体" w:cs="Times New Roman"/>
                      <w:i w:val="0"/>
                      <w:iCs w:val="0"/>
                      <w:snapToGrid w:val="0"/>
                      <w:color w:val="auto"/>
                      <w:kern w:val="0"/>
                      <w:sz w:val="21"/>
                      <w:szCs w:val="21"/>
                      <w:u w:val="none"/>
                      <w:lang w:val="en-US" w:eastAsia="zh-CN" w:bidi="ar"/>
                    </w:rPr>
                    <w:t>/a</w:t>
                  </w:r>
                </w:p>
              </w:tc>
            </w:tr>
          </w:tbl>
          <w:p w14:paraId="74D79746">
            <w:pPr>
              <w:autoSpaceDE w:val="0"/>
              <w:autoSpaceDN w:val="0"/>
              <w:adjustRightInd w:val="0"/>
              <w:snapToGrid w:val="0"/>
              <w:spacing w:before="240"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本项目动力消耗见表2-</w:t>
            </w:r>
            <w:r>
              <w:rPr>
                <w:rFonts w:hint="default" w:ascii="Times New Roman" w:hAnsi="Times New Roman" w:eastAsia="宋体" w:cs="Times New Roman"/>
                <w:color w:val="auto"/>
                <w:kern w:val="0"/>
                <w:sz w:val="24"/>
                <w:highlight w:val="none"/>
                <w:lang w:val="en-US" w:eastAsia="zh-CN"/>
              </w:rPr>
              <w:t>5</w:t>
            </w:r>
            <w:r>
              <w:rPr>
                <w:rFonts w:hint="default" w:ascii="Times New Roman" w:hAnsi="Times New Roman" w:eastAsia="宋体" w:cs="Times New Roman"/>
                <w:color w:val="auto"/>
                <w:kern w:val="0"/>
                <w:sz w:val="24"/>
                <w:highlight w:val="none"/>
              </w:rPr>
              <w:t>：</w:t>
            </w:r>
          </w:p>
          <w:p w14:paraId="26B34F92">
            <w:pPr>
              <w:pStyle w:val="16"/>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表2-</w:t>
            </w:r>
            <w:r>
              <w:rPr>
                <w:rFonts w:hint="default"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rPr>
              <w:t xml:space="preserve"> 主要动力消耗情况表</w:t>
            </w:r>
          </w:p>
          <w:tbl>
            <w:tblPr>
              <w:tblStyle w:val="10"/>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109"/>
              <w:gridCol w:w="1852"/>
              <w:gridCol w:w="3116"/>
              <w:gridCol w:w="965"/>
            </w:tblGrid>
            <w:tr w14:paraId="66669E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tcBorders>
                    <w:left w:val="single" w:color="auto" w:sz="0" w:space="0"/>
                    <w:bottom w:val="single" w:color="auto" w:sz="12" w:space="0"/>
                    <w:right w:val="single" w:color="auto" w:sz="12" w:space="0"/>
                  </w:tcBorders>
                  <w:vAlign w:val="center"/>
                </w:tcPr>
                <w:p w14:paraId="26038D6B">
                  <w:pPr>
                    <w:autoSpaceDE w:val="0"/>
                    <w:autoSpaceDN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类别</w:t>
                  </w:r>
                </w:p>
              </w:tc>
              <w:tc>
                <w:tcPr>
                  <w:tcW w:w="681" w:type="pct"/>
                  <w:tcBorders>
                    <w:left w:val="single" w:color="auto" w:sz="12" w:space="0"/>
                    <w:bottom w:val="single" w:color="auto" w:sz="12" w:space="0"/>
                    <w:right w:val="single" w:color="auto" w:sz="12" w:space="0"/>
                  </w:tcBorders>
                  <w:vAlign w:val="center"/>
                </w:tcPr>
                <w:p w14:paraId="1E41007F">
                  <w:pPr>
                    <w:autoSpaceDE w:val="0"/>
                    <w:autoSpaceDN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名称</w:t>
                  </w:r>
                </w:p>
              </w:tc>
              <w:tc>
                <w:tcPr>
                  <w:tcW w:w="1137" w:type="pct"/>
                  <w:tcBorders>
                    <w:left w:val="single" w:color="auto" w:sz="12" w:space="0"/>
                    <w:bottom w:val="single" w:color="auto" w:sz="12" w:space="0"/>
                    <w:right w:val="single" w:color="auto" w:sz="12" w:space="0"/>
                  </w:tcBorders>
                  <w:vAlign w:val="center"/>
                </w:tcPr>
                <w:p w14:paraId="0790512C">
                  <w:pPr>
                    <w:autoSpaceDE w:val="0"/>
                    <w:autoSpaceDN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年耗量（单位）</w:t>
                  </w:r>
                </w:p>
              </w:tc>
              <w:tc>
                <w:tcPr>
                  <w:tcW w:w="1914" w:type="pct"/>
                  <w:tcBorders>
                    <w:left w:val="single" w:color="auto" w:sz="12" w:space="0"/>
                    <w:bottom w:val="single" w:color="auto" w:sz="12" w:space="0"/>
                    <w:right w:val="single" w:color="auto" w:sz="12" w:space="0"/>
                  </w:tcBorders>
                  <w:vAlign w:val="center"/>
                </w:tcPr>
                <w:p w14:paraId="79475661">
                  <w:pPr>
                    <w:autoSpaceDE w:val="0"/>
                    <w:autoSpaceDN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来源</w:t>
                  </w:r>
                </w:p>
              </w:tc>
              <w:tc>
                <w:tcPr>
                  <w:tcW w:w="592" w:type="pct"/>
                  <w:tcBorders>
                    <w:left w:val="single" w:color="auto" w:sz="12" w:space="0"/>
                    <w:bottom w:val="single" w:color="auto" w:sz="12" w:space="0"/>
                    <w:right w:val="single" w:color="auto" w:sz="12" w:space="0"/>
                  </w:tcBorders>
                  <w:vAlign w:val="center"/>
                </w:tcPr>
                <w:p w14:paraId="34A46C74">
                  <w:pPr>
                    <w:autoSpaceDE w:val="0"/>
                    <w:autoSpaceDN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备注</w:t>
                  </w:r>
                </w:p>
              </w:tc>
            </w:tr>
            <w:tr w14:paraId="2E6E0F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Merge w:val="restart"/>
                  <w:tcBorders>
                    <w:top w:val="single" w:color="auto" w:sz="12" w:space="0"/>
                    <w:left w:val="single" w:color="auto" w:sz="4" w:space="0"/>
                    <w:bottom w:val="single" w:color="auto" w:sz="12" w:space="0"/>
                    <w:right w:val="single" w:color="auto" w:sz="12" w:space="0"/>
                  </w:tcBorders>
                  <w:vAlign w:val="center"/>
                </w:tcPr>
                <w:p w14:paraId="0B70A311">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动力消耗</w:t>
                  </w:r>
                </w:p>
              </w:tc>
              <w:tc>
                <w:tcPr>
                  <w:tcW w:w="681" w:type="pct"/>
                  <w:tcBorders>
                    <w:top w:val="single" w:color="auto" w:sz="12" w:space="0"/>
                    <w:left w:val="single" w:color="auto" w:sz="12" w:space="0"/>
                    <w:bottom w:val="single" w:color="auto" w:sz="12" w:space="0"/>
                    <w:right w:val="single" w:color="auto" w:sz="12" w:space="0"/>
                  </w:tcBorders>
                  <w:vAlign w:val="center"/>
                </w:tcPr>
                <w:p w14:paraId="3B9B92DE">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电</w:t>
                  </w:r>
                </w:p>
              </w:tc>
              <w:tc>
                <w:tcPr>
                  <w:tcW w:w="1137" w:type="pct"/>
                  <w:tcBorders>
                    <w:top w:val="single" w:color="auto" w:sz="12" w:space="0"/>
                    <w:left w:val="single" w:color="auto" w:sz="12" w:space="0"/>
                    <w:bottom w:val="single" w:color="auto" w:sz="12" w:space="0"/>
                    <w:right w:val="single" w:color="auto" w:sz="12" w:space="0"/>
                  </w:tcBorders>
                  <w:vAlign w:val="center"/>
                </w:tcPr>
                <w:p w14:paraId="46DF0820">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50000</w:t>
                  </w:r>
                  <w:r>
                    <w:rPr>
                      <w:rFonts w:hint="default" w:ascii="Times New Roman" w:hAnsi="Times New Roman" w:eastAsia="宋体" w:cs="Times New Roman"/>
                      <w:color w:val="auto"/>
                      <w:kern w:val="0"/>
                      <w:sz w:val="21"/>
                      <w:szCs w:val="21"/>
                      <w:highlight w:val="none"/>
                      <w:lang w:val="en-US" w:eastAsia="zh-CN"/>
                    </w:rPr>
                    <w:t>k</w:t>
                  </w:r>
                  <w:r>
                    <w:rPr>
                      <w:rFonts w:hint="default" w:ascii="Times New Roman" w:hAnsi="Times New Roman" w:eastAsia="宋体" w:cs="Times New Roman"/>
                      <w:color w:val="auto"/>
                      <w:kern w:val="0"/>
                      <w:sz w:val="21"/>
                      <w:szCs w:val="21"/>
                      <w:highlight w:val="none"/>
                    </w:rPr>
                    <w:t>W</w:t>
                  </w:r>
                  <w:r>
                    <w:rPr>
                      <w:rFonts w:hint="default" w:ascii="Times New Roman" w:hAnsi="Times New Roman" w:eastAsia="宋体" w:cs="Times New Roman"/>
                      <w:color w:val="auto"/>
                      <w:kern w:val="0"/>
                      <w:sz w:val="21"/>
                      <w:szCs w:val="21"/>
                      <w:highlight w:val="none"/>
                      <w:lang w:val="en-US" w:eastAsia="zh-CN"/>
                    </w:rPr>
                    <w:t>·</w:t>
                  </w:r>
                  <w:r>
                    <w:rPr>
                      <w:rFonts w:hint="default" w:ascii="Times New Roman" w:hAnsi="Times New Roman" w:eastAsia="宋体" w:cs="Times New Roman"/>
                      <w:color w:val="auto"/>
                      <w:kern w:val="0"/>
                      <w:sz w:val="21"/>
                      <w:szCs w:val="21"/>
                      <w:highlight w:val="none"/>
                    </w:rPr>
                    <w:t>h</w:t>
                  </w:r>
                </w:p>
              </w:tc>
              <w:tc>
                <w:tcPr>
                  <w:tcW w:w="1914" w:type="pct"/>
                  <w:tcBorders>
                    <w:top w:val="single" w:color="auto" w:sz="12" w:space="0"/>
                    <w:left w:val="single" w:color="auto" w:sz="12" w:space="0"/>
                    <w:bottom w:val="single" w:color="auto" w:sz="12" w:space="0"/>
                    <w:right w:val="single" w:color="auto" w:sz="12" w:space="0"/>
                  </w:tcBorders>
                  <w:vAlign w:val="center"/>
                </w:tcPr>
                <w:p w14:paraId="447E248D">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污水厂</w:t>
                  </w:r>
                  <w:r>
                    <w:rPr>
                      <w:rFonts w:hint="default" w:ascii="Times New Roman" w:hAnsi="Times New Roman" w:eastAsia="宋体" w:cs="Times New Roman"/>
                      <w:color w:val="auto"/>
                      <w:kern w:val="0"/>
                      <w:sz w:val="21"/>
                      <w:szCs w:val="21"/>
                      <w:highlight w:val="none"/>
                    </w:rPr>
                    <w:t>电网供给</w:t>
                  </w:r>
                </w:p>
              </w:tc>
              <w:tc>
                <w:tcPr>
                  <w:tcW w:w="592" w:type="pct"/>
                  <w:tcBorders>
                    <w:top w:val="single" w:color="auto" w:sz="12" w:space="0"/>
                    <w:left w:val="single" w:color="auto" w:sz="12" w:space="0"/>
                    <w:bottom w:val="single" w:color="auto" w:sz="12" w:space="0"/>
                    <w:right w:val="single" w:color="auto" w:sz="12" w:space="0"/>
                  </w:tcBorders>
                  <w:vAlign w:val="center"/>
                </w:tcPr>
                <w:p w14:paraId="08A99F4F">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w:t>
                  </w:r>
                </w:p>
              </w:tc>
            </w:tr>
            <w:tr w14:paraId="2FD53F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Merge w:val="continue"/>
                  <w:tcBorders>
                    <w:top w:val="single" w:color="auto" w:sz="12" w:space="0"/>
                    <w:left w:val="single" w:color="auto" w:sz="4" w:space="0"/>
                    <w:right w:val="single" w:color="auto" w:sz="12" w:space="0"/>
                  </w:tcBorders>
                  <w:vAlign w:val="center"/>
                </w:tcPr>
                <w:p w14:paraId="5F0FCEEA">
                  <w:pPr>
                    <w:autoSpaceDE w:val="0"/>
                    <w:autoSpaceDN w:val="0"/>
                    <w:jc w:val="center"/>
                    <w:rPr>
                      <w:rFonts w:hint="default" w:ascii="Times New Roman" w:hAnsi="Times New Roman" w:eastAsia="宋体" w:cs="Times New Roman"/>
                      <w:color w:val="auto"/>
                      <w:kern w:val="0"/>
                      <w:sz w:val="21"/>
                      <w:szCs w:val="21"/>
                      <w:highlight w:val="none"/>
                    </w:rPr>
                  </w:pPr>
                </w:p>
              </w:tc>
              <w:tc>
                <w:tcPr>
                  <w:tcW w:w="681" w:type="pct"/>
                  <w:tcBorders>
                    <w:top w:val="single" w:color="auto" w:sz="12" w:space="0"/>
                    <w:left w:val="single" w:color="auto" w:sz="12" w:space="0"/>
                    <w:right w:val="single" w:color="auto" w:sz="12" w:space="0"/>
                  </w:tcBorders>
                  <w:vAlign w:val="center"/>
                </w:tcPr>
                <w:p w14:paraId="42F2146E">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水</w:t>
                  </w:r>
                </w:p>
              </w:tc>
              <w:tc>
                <w:tcPr>
                  <w:tcW w:w="1137" w:type="pct"/>
                  <w:tcBorders>
                    <w:top w:val="single" w:color="auto" w:sz="12" w:space="0"/>
                    <w:left w:val="single" w:color="auto" w:sz="12" w:space="0"/>
                    <w:right w:val="single" w:color="auto" w:sz="12" w:space="0"/>
                  </w:tcBorders>
                  <w:vAlign w:val="center"/>
                </w:tcPr>
                <w:p w14:paraId="160CEF03">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4650t</w:t>
                  </w:r>
                  <w:r>
                    <w:rPr>
                      <w:rFonts w:hint="default" w:ascii="Times New Roman" w:hAnsi="Times New Roman" w:eastAsia="宋体" w:cs="Times New Roman"/>
                      <w:color w:val="auto"/>
                      <w:kern w:val="0"/>
                      <w:sz w:val="21"/>
                      <w:szCs w:val="21"/>
                      <w:highlight w:val="none"/>
                    </w:rPr>
                    <w:t>/a</w:t>
                  </w:r>
                </w:p>
              </w:tc>
              <w:tc>
                <w:tcPr>
                  <w:tcW w:w="1914" w:type="pct"/>
                  <w:tcBorders>
                    <w:top w:val="single" w:color="auto" w:sz="12" w:space="0"/>
                    <w:left w:val="single" w:color="auto" w:sz="12" w:space="0"/>
                    <w:right w:val="single" w:color="auto" w:sz="12" w:space="0"/>
                  </w:tcBorders>
                  <w:vAlign w:val="center"/>
                </w:tcPr>
                <w:p w14:paraId="7839B2D1">
                  <w:pPr>
                    <w:autoSpaceDE w:val="0"/>
                    <w:autoSpaceDN w:val="0"/>
                    <w:jc w:val="center"/>
                    <w:rPr>
                      <w:rFonts w:hint="default" w:ascii="Times New Roman" w:hAnsi="Times New Roman" w:eastAsia="宋体" w:cs="Times New Roman"/>
                      <w:color w:val="auto"/>
                      <w:kern w:val="0"/>
                      <w:sz w:val="21"/>
                      <w:szCs w:val="21"/>
                      <w:highlight w:val="none"/>
                      <w:lang w:val="en-US"/>
                    </w:rPr>
                  </w:pPr>
                  <w:r>
                    <w:rPr>
                      <w:rFonts w:hint="default" w:ascii="Times New Roman" w:hAnsi="Times New Roman" w:eastAsia="宋体" w:cs="Times New Roman"/>
                      <w:color w:val="auto"/>
                      <w:kern w:val="0"/>
                      <w:sz w:val="21"/>
                      <w:szCs w:val="21"/>
                      <w:highlight w:val="none"/>
                      <w:lang w:val="en-US" w:eastAsia="zh-CN"/>
                    </w:rPr>
                    <w:t>污水厂处理后的中水</w:t>
                  </w:r>
                </w:p>
              </w:tc>
              <w:tc>
                <w:tcPr>
                  <w:tcW w:w="592" w:type="pct"/>
                  <w:tcBorders>
                    <w:top w:val="single" w:color="auto" w:sz="12" w:space="0"/>
                    <w:left w:val="single" w:color="auto" w:sz="12" w:space="0"/>
                    <w:right w:val="single" w:color="auto" w:sz="12" w:space="0"/>
                  </w:tcBorders>
                  <w:vAlign w:val="center"/>
                </w:tcPr>
                <w:p w14:paraId="6FE2FA60">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w:t>
                  </w:r>
                </w:p>
              </w:tc>
            </w:tr>
          </w:tbl>
          <w:p w14:paraId="0946572B">
            <w:pPr>
              <w:adjustRightInd w:val="0"/>
              <w:snapToGrid w:val="0"/>
              <w:spacing w:before="240" w:line="360" w:lineRule="auto"/>
              <w:ind w:firstLine="482" w:firstLineChars="200"/>
              <w:jc w:val="lef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6</w:t>
            </w:r>
            <w:r>
              <w:rPr>
                <w:rFonts w:hint="default" w:ascii="Times New Roman" w:hAnsi="Times New Roman" w:eastAsia="宋体" w:cs="Times New Roman"/>
                <w:b/>
                <w:bCs/>
                <w:color w:val="auto"/>
                <w:sz w:val="24"/>
                <w:highlight w:val="none"/>
              </w:rPr>
              <w:t>.</w:t>
            </w:r>
            <w:r>
              <w:rPr>
                <w:rFonts w:hint="default" w:ascii="Times New Roman" w:hAnsi="Times New Roman" w:eastAsia="宋体" w:cs="Times New Roman"/>
                <w:b/>
                <w:bCs/>
                <w:color w:val="auto"/>
                <w:sz w:val="24"/>
                <w:highlight w:val="none"/>
                <w:lang w:val="en-US" w:eastAsia="zh-CN"/>
              </w:rPr>
              <w:t>进出水水质设计标准</w:t>
            </w:r>
          </w:p>
          <w:p w14:paraId="4304B93D">
            <w:pPr>
              <w:spacing w:line="360" w:lineRule="auto"/>
              <w:ind w:firstLine="480" w:firstLineChars="200"/>
              <w:rPr>
                <w:rFonts w:hint="default" w:ascii="Times New Roman" w:hAnsi="Times New Roman" w:eastAsia="宋体" w:cs="Times New Roman"/>
                <w:color w:val="auto"/>
                <w:sz w:val="24"/>
                <w:szCs w:val="20"/>
                <w:lang w:val="en-US" w:eastAsia="zh-CN"/>
              </w:rPr>
            </w:pPr>
            <w:r>
              <w:rPr>
                <w:rFonts w:hint="default" w:ascii="Times New Roman" w:hAnsi="Times New Roman" w:eastAsia="宋体" w:cs="Times New Roman"/>
                <w:color w:val="auto"/>
                <w:sz w:val="24"/>
                <w:szCs w:val="20"/>
                <w:lang w:val="en-US" w:eastAsia="zh-CN"/>
              </w:rPr>
              <w:t>城镇生活污水主要污染物为CODcr、</w:t>
            </w:r>
            <w:r>
              <w:rPr>
                <w:rFonts w:hint="default" w:ascii="Times New Roman" w:hAnsi="Times New Roman" w:eastAsia="宋体" w:cs="Times New Roman"/>
                <w:color w:val="auto"/>
                <w:sz w:val="24"/>
                <w:szCs w:val="20"/>
                <w:vertAlign w:val="baseline"/>
                <w:lang w:val="en-US" w:eastAsia="zh-CN"/>
              </w:rPr>
              <w:t>BOD</w:t>
            </w:r>
            <w:r>
              <w:rPr>
                <w:rFonts w:hint="default" w:ascii="Times New Roman" w:hAnsi="Times New Roman" w:eastAsia="宋体" w:cs="Times New Roman"/>
                <w:color w:val="auto"/>
                <w:sz w:val="24"/>
                <w:szCs w:val="20"/>
                <w:vertAlign w:val="subscript"/>
                <w:lang w:val="en-US" w:eastAsia="zh-CN"/>
              </w:rPr>
              <w:t>5</w:t>
            </w:r>
            <w:r>
              <w:rPr>
                <w:rFonts w:hint="default" w:ascii="Times New Roman" w:hAnsi="Times New Roman" w:eastAsia="宋体" w:cs="Times New Roman"/>
                <w:color w:val="auto"/>
                <w:sz w:val="24"/>
                <w:szCs w:val="20"/>
                <w:lang w:val="en-US" w:eastAsia="zh-CN"/>
              </w:rPr>
              <w:t>、SS、氨氮、总氮、总磷等，根据杭锦旗锡尼镇污水厂2024年度在线监测系统运行记录，2024年度平均处理水量</w:t>
            </w:r>
            <w:r>
              <w:rPr>
                <w:rFonts w:hint="eastAsia" w:cs="Times New Roman"/>
                <w:color w:val="auto"/>
                <w:sz w:val="24"/>
                <w:szCs w:val="20"/>
                <w:lang w:val="en-US" w:eastAsia="zh-CN"/>
              </w:rPr>
              <w:t>为</w:t>
            </w:r>
            <w:r>
              <w:rPr>
                <w:rFonts w:hint="default" w:ascii="Times New Roman" w:hAnsi="Times New Roman" w:eastAsia="宋体" w:cs="Times New Roman"/>
                <w:color w:val="auto"/>
                <w:sz w:val="24"/>
                <w:szCs w:val="20"/>
                <w:lang w:val="en-US" w:eastAsia="zh-CN"/>
              </w:rPr>
              <w:t>7260t/d，进水水质平均值如下：</w:t>
            </w:r>
          </w:p>
          <w:p w14:paraId="14CBABCE">
            <w:pPr>
              <w:spacing w:line="360" w:lineRule="auto"/>
              <w:jc w:val="center"/>
              <w:rPr>
                <w:rFonts w:hint="default" w:ascii="Times New Roman" w:hAnsi="Times New Roman" w:eastAsia="宋体" w:cs="Times New Roman"/>
                <w:color w:val="auto"/>
                <w:sz w:val="24"/>
                <w:szCs w:val="20"/>
                <w:lang w:val="en-US" w:eastAsia="zh-CN"/>
              </w:rPr>
            </w:pPr>
            <w:r>
              <w:rPr>
                <w:rFonts w:hint="default" w:ascii="Times New Roman" w:hAnsi="Times New Roman" w:eastAsia="宋体" w:cs="Times New Roman"/>
                <w:b/>
                <w:bCs/>
                <w:color w:val="auto"/>
                <w:sz w:val="24"/>
                <w:szCs w:val="20"/>
                <w:lang w:val="en-US" w:eastAsia="zh-CN"/>
              </w:rPr>
              <w:t>表2-</w:t>
            </w:r>
            <w:r>
              <w:rPr>
                <w:rFonts w:hint="default" w:ascii="Times New Roman" w:hAnsi="Times New Roman" w:cs="Times New Roman"/>
                <w:b/>
                <w:bCs/>
                <w:color w:val="auto"/>
                <w:sz w:val="24"/>
                <w:szCs w:val="20"/>
                <w:lang w:val="en-US" w:eastAsia="zh-CN"/>
              </w:rPr>
              <w:t>6</w:t>
            </w:r>
            <w:r>
              <w:rPr>
                <w:rFonts w:hint="default" w:ascii="Times New Roman" w:hAnsi="Times New Roman" w:eastAsia="宋体" w:cs="Times New Roman"/>
                <w:b/>
                <w:bCs/>
                <w:color w:val="auto"/>
                <w:sz w:val="24"/>
                <w:szCs w:val="20"/>
                <w:lang w:val="en-US" w:eastAsia="zh-CN"/>
              </w:rPr>
              <w:t xml:space="preserve">  杭锦旗锡尼镇污水处理厂2024年度进出水水质均值表</w:t>
            </w:r>
          </w:p>
          <w:tbl>
            <w:tblPr>
              <w:tblStyle w:val="10"/>
              <w:tblW w:w="8229"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91"/>
              <w:gridCol w:w="1390"/>
              <w:gridCol w:w="1389"/>
              <w:gridCol w:w="1430"/>
              <w:gridCol w:w="1394"/>
              <w:gridCol w:w="1235"/>
            </w:tblGrid>
            <w:tr w14:paraId="0FE12F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5" w:type="pct"/>
                  <w:tcBorders>
                    <w:left w:val="single" w:color="auto" w:sz="0" w:space="0"/>
                    <w:bottom w:val="single" w:color="auto" w:sz="12" w:space="0"/>
                    <w:right w:val="single" w:color="auto" w:sz="12" w:space="0"/>
                  </w:tcBorders>
                  <w:noWrap w:val="0"/>
                  <w:vAlign w:val="center"/>
                </w:tcPr>
                <w:p w14:paraId="641253EE">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污染物</w:t>
                  </w:r>
                </w:p>
              </w:tc>
              <w:tc>
                <w:tcPr>
                  <w:tcW w:w="844" w:type="pct"/>
                  <w:tcBorders>
                    <w:left w:val="single" w:color="auto" w:sz="12" w:space="0"/>
                    <w:bottom w:val="single" w:color="auto" w:sz="12" w:space="0"/>
                    <w:right w:val="single" w:color="auto" w:sz="12" w:space="0"/>
                  </w:tcBorders>
                  <w:shd w:val="clear" w:color="auto" w:fill="auto"/>
                  <w:noWrap w:val="0"/>
                  <w:vAlign w:val="center"/>
                </w:tcPr>
                <w:p w14:paraId="41A40588">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CODcr</w:t>
                  </w:r>
                </w:p>
                <w:p w14:paraId="5CE49858">
                  <w:pPr>
                    <w:snapToGrid w:val="0"/>
                    <w:spacing w:line="240" w:lineRule="auto"/>
                    <w:ind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rPr>
                    <w:t>（</w:t>
                  </w:r>
                  <w:r>
                    <w:rPr>
                      <w:rFonts w:hint="eastAsia" w:cs="Times New Roman"/>
                      <w:b/>
                      <w:bCs/>
                      <w:color w:val="auto"/>
                      <w:sz w:val="21"/>
                      <w:szCs w:val="21"/>
                      <w:lang w:eastAsia="zh-CN"/>
                    </w:rPr>
                    <w:t>m</w:t>
                  </w:r>
                  <w:r>
                    <w:rPr>
                      <w:rFonts w:hint="default" w:ascii="Times New Roman" w:hAnsi="Times New Roman" w:eastAsia="宋体" w:cs="Times New Roman"/>
                      <w:b/>
                      <w:bCs/>
                      <w:color w:val="auto"/>
                      <w:sz w:val="21"/>
                      <w:szCs w:val="21"/>
                    </w:rPr>
                    <w:t>g/L）</w:t>
                  </w:r>
                </w:p>
              </w:tc>
              <w:tc>
                <w:tcPr>
                  <w:tcW w:w="843" w:type="pct"/>
                  <w:tcBorders>
                    <w:left w:val="single" w:color="auto" w:sz="12" w:space="0"/>
                    <w:bottom w:val="single" w:color="auto" w:sz="12" w:space="0"/>
                    <w:right w:val="single" w:color="auto" w:sz="12" w:space="0"/>
                  </w:tcBorders>
                  <w:shd w:val="clear" w:color="auto" w:fill="auto"/>
                  <w:noWrap w:val="0"/>
                  <w:vAlign w:val="center"/>
                </w:tcPr>
                <w:p w14:paraId="7839A545">
                  <w:pPr>
                    <w:snapToGrid w:val="0"/>
                    <w:spacing w:line="240" w:lineRule="auto"/>
                    <w:ind w:firstLine="0" w:firstLineChars="0"/>
                    <w:jc w:val="center"/>
                    <w:rPr>
                      <w:rFonts w:hint="default" w:ascii="Times New Roman" w:hAnsi="Times New Roman" w:eastAsia="宋体" w:cs="Times New Roman"/>
                      <w:b/>
                      <w:bCs/>
                      <w:color w:val="auto"/>
                      <w:sz w:val="21"/>
                      <w:szCs w:val="21"/>
                      <w:vertAlign w:val="subscript"/>
                      <w:lang w:eastAsia="zh-CN"/>
                    </w:rPr>
                  </w:pPr>
                  <w:r>
                    <w:rPr>
                      <w:rFonts w:hint="default" w:ascii="Times New Roman" w:hAnsi="Times New Roman" w:eastAsia="宋体" w:cs="Times New Roman"/>
                      <w:b/>
                      <w:bCs/>
                      <w:color w:val="auto"/>
                      <w:sz w:val="21"/>
                      <w:szCs w:val="21"/>
                      <w:vertAlign w:val="baseline"/>
                      <w:lang w:eastAsia="zh-CN"/>
                    </w:rPr>
                    <w:t>BOD</w:t>
                  </w:r>
                  <w:r>
                    <w:rPr>
                      <w:rFonts w:hint="default" w:ascii="Times New Roman" w:hAnsi="Times New Roman" w:eastAsia="宋体" w:cs="Times New Roman"/>
                      <w:b/>
                      <w:bCs/>
                      <w:color w:val="auto"/>
                      <w:sz w:val="21"/>
                      <w:szCs w:val="21"/>
                      <w:vertAlign w:val="subscript"/>
                      <w:lang w:eastAsia="zh-CN"/>
                    </w:rPr>
                    <w:t>5</w:t>
                  </w:r>
                </w:p>
                <w:p w14:paraId="7035992C">
                  <w:pPr>
                    <w:snapToGrid w:val="0"/>
                    <w:spacing w:line="240" w:lineRule="auto"/>
                    <w:ind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rPr>
                    <w:t>（</w:t>
                  </w:r>
                  <w:r>
                    <w:rPr>
                      <w:rFonts w:hint="eastAsia" w:cs="Times New Roman"/>
                      <w:b/>
                      <w:bCs/>
                      <w:color w:val="auto"/>
                      <w:sz w:val="21"/>
                      <w:szCs w:val="21"/>
                      <w:lang w:eastAsia="zh-CN"/>
                    </w:rPr>
                    <w:t>m</w:t>
                  </w:r>
                  <w:r>
                    <w:rPr>
                      <w:rFonts w:hint="default" w:ascii="Times New Roman" w:hAnsi="Times New Roman" w:eastAsia="宋体" w:cs="Times New Roman"/>
                      <w:b/>
                      <w:bCs/>
                      <w:color w:val="auto"/>
                      <w:sz w:val="21"/>
                      <w:szCs w:val="21"/>
                    </w:rPr>
                    <w:t>g/L）</w:t>
                  </w:r>
                </w:p>
              </w:tc>
              <w:tc>
                <w:tcPr>
                  <w:tcW w:w="868" w:type="pct"/>
                  <w:tcBorders>
                    <w:left w:val="single" w:color="auto" w:sz="12" w:space="0"/>
                    <w:bottom w:val="single" w:color="auto" w:sz="12" w:space="0"/>
                    <w:right w:val="single" w:color="auto" w:sz="12" w:space="0"/>
                  </w:tcBorders>
                  <w:shd w:val="clear" w:color="auto" w:fill="auto"/>
                  <w:noWrap w:val="0"/>
                  <w:vAlign w:val="center"/>
                </w:tcPr>
                <w:p w14:paraId="0BDF6F12">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N</w:t>
                  </w:r>
                  <w:r>
                    <w:rPr>
                      <w:rFonts w:hint="default" w:ascii="Times New Roman" w:hAnsi="Times New Roman" w:eastAsia="宋体" w:cs="Times New Roman"/>
                      <w:b/>
                      <w:bCs/>
                      <w:color w:val="auto"/>
                      <w:sz w:val="21"/>
                      <w:szCs w:val="21"/>
                      <w:lang w:eastAsia="zh-CN"/>
                    </w:rPr>
                    <w:t>H</w:t>
                  </w:r>
                  <w:r>
                    <w:rPr>
                      <w:rFonts w:hint="default" w:ascii="Times New Roman" w:hAnsi="Times New Roman" w:eastAsia="宋体" w:cs="Times New Roman"/>
                      <w:b/>
                      <w:bCs/>
                      <w:color w:val="auto"/>
                      <w:sz w:val="21"/>
                      <w:szCs w:val="21"/>
                      <w:vertAlign w:val="subscript"/>
                    </w:rPr>
                    <w:t>4</w:t>
                  </w:r>
                  <w:r>
                    <w:rPr>
                      <w:rFonts w:hint="default" w:ascii="Times New Roman" w:hAnsi="Times New Roman" w:eastAsia="宋体" w:cs="Times New Roman"/>
                      <w:b/>
                      <w:bCs/>
                      <w:color w:val="auto"/>
                      <w:sz w:val="21"/>
                      <w:szCs w:val="21"/>
                      <w:vertAlign w:val="superscript"/>
                    </w:rPr>
                    <w:t>+</w:t>
                  </w:r>
                  <w:r>
                    <w:rPr>
                      <w:rFonts w:hint="default" w:ascii="Times New Roman" w:hAnsi="Times New Roman" w:eastAsia="宋体" w:cs="Times New Roman"/>
                      <w:b/>
                      <w:bCs/>
                      <w:color w:val="auto"/>
                      <w:sz w:val="21"/>
                      <w:szCs w:val="21"/>
                    </w:rPr>
                    <w:t>-N</w:t>
                  </w:r>
                </w:p>
                <w:p w14:paraId="2D890982">
                  <w:pPr>
                    <w:snapToGrid w:val="0"/>
                    <w:spacing w:line="240" w:lineRule="auto"/>
                    <w:ind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rPr>
                    <w:t>（</w:t>
                  </w:r>
                  <w:r>
                    <w:rPr>
                      <w:rFonts w:hint="eastAsia" w:cs="Times New Roman"/>
                      <w:b/>
                      <w:bCs/>
                      <w:color w:val="auto"/>
                      <w:sz w:val="21"/>
                      <w:szCs w:val="21"/>
                      <w:lang w:eastAsia="zh-CN"/>
                    </w:rPr>
                    <w:t>m</w:t>
                  </w:r>
                  <w:r>
                    <w:rPr>
                      <w:rFonts w:hint="default" w:ascii="Times New Roman" w:hAnsi="Times New Roman" w:eastAsia="宋体" w:cs="Times New Roman"/>
                      <w:b/>
                      <w:bCs/>
                      <w:color w:val="auto"/>
                      <w:sz w:val="21"/>
                      <w:szCs w:val="21"/>
                    </w:rPr>
                    <w:t>g/L）</w:t>
                  </w:r>
                </w:p>
              </w:tc>
              <w:tc>
                <w:tcPr>
                  <w:tcW w:w="847" w:type="pct"/>
                  <w:tcBorders>
                    <w:left w:val="single" w:color="auto" w:sz="12" w:space="0"/>
                    <w:bottom w:val="single" w:color="auto" w:sz="12" w:space="0"/>
                    <w:right w:val="single" w:color="auto" w:sz="12" w:space="0"/>
                  </w:tcBorders>
                  <w:shd w:val="clear" w:color="auto" w:fill="auto"/>
                  <w:noWrap w:val="0"/>
                  <w:vAlign w:val="center"/>
                </w:tcPr>
                <w:p w14:paraId="01A0D373">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TN</w:t>
                  </w:r>
                </w:p>
                <w:p w14:paraId="2A1C4918">
                  <w:pPr>
                    <w:snapToGrid w:val="0"/>
                    <w:spacing w:line="240" w:lineRule="auto"/>
                    <w:ind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rPr>
                    <w:t>（</w:t>
                  </w:r>
                  <w:r>
                    <w:rPr>
                      <w:rFonts w:hint="eastAsia" w:cs="Times New Roman"/>
                      <w:b/>
                      <w:bCs/>
                      <w:color w:val="auto"/>
                      <w:sz w:val="21"/>
                      <w:szCs w:val="21"/>
                      <w:lang w:eastAsia="zh-CN"/>
                    </w:rPr>
                    <w:t>m</w:t>
                  </w:r>
                  <w:r>
                    <w:rPr>
                      <w:rFonts w:hint="default" w:ascii="Times New Roman" w:hAnsi="Times New Roman" w:eastAsia="宋体" w:cs="Times New Roman"/>
                      <w:b/>
                      <w:bCs/>
                      <w:color w:val="auto"/>
                      <w:sz w:val="21"/>
                      <w:szCs w:val="21"/>
                    </w:rPr>
                    <w:t>g/L）</w:t>
                  </w:r>
                </w:p>
              </w:tc>
              <w:tc>
                <w:tcPr>
                  <w:tcW w:w="750" w:type="pct"/>
                  <w:tcBorders>
                    <w:left w:val="single" w:color="auto" w:sz="12" w:space="0"/>
                    <w:bottom w:val="single" w:color="auto" w:sz="12" w:space="0"/>
                    <w:right w:val="single" w:color="auto" w:sz="12" w:space="0"/>
                  </w:tcBorders>
                  <w:shd w:val="clear" w:color="auto" w:fill="auto"/>
                  <w:noWrap w:val="0"/>
                  <w:vAlign w:val="center"/>
                </w:tcPr>
                <w:p w14:paraId="4A563E15">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TP</w:t>
                  </w:r>
                </w:p>
                <w:p w14:paraId="09780F33">
                  <w:pPr>
                    <w:snapToGrid w:val="0"/>
                    <w:spacing w:line="240" w:lineRule="auto"/>
                    <w:ind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rPr>
                    <w:t>（</w:t>
                  </w:r>
                  <w:r>
                    <w:rPr>
                      <w:rFonts w:hint="eastAsia" w:cs="Times New Roman"/>
                      <w:b/>
                      <w:bCs/>
                      <w:color w:val="auto"/>
                      <w:sz w:val="21"/>
                      <w:szCs w:val="21"/>
                      <w:lang w:eastAsia="zh-CN"/>
                    </w:rPr>
                    <w:t>m</w:t>
                  </w:r>
                  <w:r>
                    <w:rPr>
                      <w:rFonts w:hint="default" w:ascii="Times New Roman" w:hAnsi="Times New Roman" w:eastAsia="宋体" w:cs="Times New Roman"/>
                      <w:b/>
                      <w:bCs/>
                      <w:color w:val="auto"/>
                      <w:sz w:val="21"/>
                      <w:szCs w:val="21"/>
                    </w:rPr>
                    <w:t>g/L）</w:t>
                  </w:r>
                </w:p>
              </w:tc>
            </w:tr>
            <w:tr w14:paraId="1DED7A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5" w:type="pct"/>
                  <w:tcBorders>
                    <w:top w:val="single" w:color="auto" w:sz="12" w:space="0"/>
                    <w:left w:val="single" w:color="auto" w:sz="4" w:space="0"/>
                    <w:bottom w:val="single" w:color="auto" w:sz="12" w:space="0"/>
                    <w:right w:val="single" w:color="auto" w:sz="12" w:space="0"/>
                  </w:tcBorders>
                  <w:noWrap w:val="0"/>
                  <w:vAlign w:val="center"/>
                </w:tcPr>
                <w:p w14:paraId="7EDFFE1C">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进水水质</w:t>
                  </w:r>
                </w:p>
              </w:tc>
              <w:tc>
                <w:tcPr>
                  <w:tcW w:w="844"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1434FC87">
                  <w:pPr>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287</w:t>
                  </w:r>
                </w:p>
              </w:tc>
              <w:tc>
                <w:tcPr>
                  <w:tcW w:w="843"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215A4EF0">
                  <w:pPr>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182</w:t>
                  </w:r>
                </w:p>
              </w:tc>
              <w:tc>
                <w:tcPr>
                  <w:tcW w:w="86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4ABB72BD">
                  <w:pPr>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47.1</w:t>
                  </w:r>
                </w:p>
              </w:tc>
              <w:tc>
                <w:tcPr>
                  <w:tcW w:w="847"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1BC1C99A">
                  <w:pPr>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65.9</w:t>
                  </w:r>
                </w:p>
              </w:tc>
              <w:tc>
                <w:tcPr>
                  <w:tcW w:w="750"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5A1E0538">
                  <w:pPr>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9.3</w:t>
                  </w:r>
                </w:p>
              </w:tc>
            </w:tr>
            <w:tr w14:paraId="5E2054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5" w:type="pct"/>
                  <w:tcBorders>
                    <w:top w:val="single" w:color="auto" w:sz="12" w:space="0"/>
                    <w:left w:val="single" w:color="auto" w:sz="4" w:space="0"/>
                    <w:right w:val="single" w:color="auto" w:sz="12" w:space="0"/>
                  </w:tcBorders>
                  <w:noWrap w:val="0"/>
                  <w:vAlign w:val="center"/>
                </w:tcPr>
                <w:p w14:paraId="588A914F">
                  <w:pPr>
                    <w:snapToGrid w:val="0"/>
                    <w:spacing w:line="240" w:lineRule="auto"/>
                    <w:ind w:firstLine="0" w:firstLineChars="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出水水质</w:t>
                  </w:r>
                </w:p>
              </w:tc>
              <w:tc>
                <w:tcPr>
                  <w:tcW w:w="844" w:type="pct"/>
                  <w:tcBorders>
                    <w:top w:val="single" w:color="auto" w:sz="12" w:space="0"/>
                    <w:left w:val="single" w:color="auto" w:sz="12" w:space="0"/>
                    <w:right w:val="single" w:color="auto" w:sz="12" w:space="0"/>
                  </w:tcBorders>
                  <w:shd w:val="clear" w:color="auto" w:fill="auto"/>
                  <w:noWrap w:val="0"/>
                  <w:vAlign w:val="center"/>
                </w:tcPr>
                <w:p w14:paraId="409827DB">
                  <w:pPr>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17.15</w:t>
                  </w:r>
                </w:p>
              </w:tc>
              <w:tc>
                <w:tcPr>
                  <w:tcW w:w="843" w:type="pct"/>
                  <w:tcBorders>
                    <w:top w:val="single" w:color="auto" w:sz="12" w:space="0"/>
                    <w:left w:val="single" w:color="auto" w:sz="12" w:space="0"/>
                    <w:right w:val="single" w:color="auto" w:sz="12" w:space="0"/>
                  </w:tcBorders>
                  <w:shd w:val="clear" w:color="auto" w:fill="auto"/>
                  <w:noWrap w:val="0"/>
                  <w:vAlign w:val="center"/>
                </w:tcPr>
                <w:p w14:paraId="5E84E52F">
                  <w:pPr>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5.69</w:t>
                  </w:r>
                </w:p>
              </w:tc>
              <w:tc>
                <w:tcPr>
                  <w:tcW w:w="868" w:type="pct"/>
                  <w:tcBorders>
                    <w:top w:val="single" w:color="auto" w:sz="12" w:space="0"/>
                    <w:left w:val="single" w:color="auto" w:sz="12" w:space="0"/>
                    <w:right w:val="single" w:color="auto" w:sz="12" w:space="0"/>
                  </w:tcBorders>
                  <w:shd w:val="clear" w:color="auto" w:fill="auto"/>
                  <w:noWrap w:val="0"/>
                  <w:vAlign w:val="center"/>
                </w:tcPr>
                <w:p w14:paraId="323E1DA1">
                  <w:pPr>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0.24</w:t>
                  </w:r>
                </w:p>
              </w:tc>
              <w:tc>
                <w:tcPr>
                  <w:tcW w:w="847" w:type="pct"/>
                  <w:tcBorders>
                    <w:top w:val="single" w:color="auto" w:sz="12" w:space="0"/>
                    <w:left w:val="single" w:color="auto" w:sz="12" w:space="0"/>
                    <w:right w:val="single" w:color="auto" w:sz="12" w:space="0"/>
                  </w:tcBorders>
                  <w:shd w:val="clear" w:color="auto" w:fill="auto"/>
                  <w:noWrap w:val="0"/>
                  <w:vAlign w:val="center"/>
                </w:tcPr>
                <w:p w14:paraId="64501709">
                  <w:pPr>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9.68</w:t>
                  </w:r>
                </w:p>
              </w:tc>
              <w:tc>
                <w:tcPr>
                  <w:tcW w:w="750" w:type="pct"/>
                  <w:tcBorders>
                    <w:top w:val="single" w:color="auto" w:sz="12" w:space="0"/>
                    <w:left w:val="single" w:color="auto" w:sz="12" w:space="0"/>
                    <w:right w:val="single" w:color="auto" w:sz="12" w:space="0"/>
                  </w:tcBorders>
                  <w:shd w:val="clear" w:color="auto" w:fill="auto"/>
                  <w:noWrap w:val="0"/>
                  <w:vAlign w:val="center"/>
                </w:tcPr>
                <w:p w14:paraId="026B6DC2">
                  <w:pPr>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0.17</w:t>
                  </w:r>
                </w:p>
              </w:tc>
            </w:tr>
          </w:tbl>
          <w:p w14:paraId="1C279511">
            <w:pPr>
              <w:spacing w:line="360" w:lineRule="auto"/>
              <w:ind w:firstLine="482" w:firstLineChars="200"/>
              <w:rPr>
                <w:rFonts w:hint="default" w:ascii="Times New Roman" w:hAnsi="Times New Roman" w:eastAsia="宋体" w:cs="Times New Roman"/>
                <w:b/>
                <w:bCs/>
                <w:color w:val="auto"/>
                <w:sz w:val="24"/>
                <w:szCs w:val="20"/>
                <w:lang w:val="en-US" w:eastAsia="zh-CN"/>
              </w:rPr>
            </w:pPr>
            <w:r>
              <w:rPr>
                <w:rFonts w:hint="default" w:ascii="Times New Roman" w:hAnsi="Times New Roman" w:eastAsia="宋体" w:cs="Times New Roman"/>
                <w:b/>
                <w:bCs/>
                <w:color w:val="auto"/>
                <w:sz w:val="24"/>
                <w:szCs w:val="20"/>
                <w:lang w:val="en-US" w:eastAsia="zh-CN"/>
              </w:rPr>
              <w:t>6.1进水水质</w:t>
            </w:r>
          </w:p>
          <w:p w14:paraId="09F3851B">
            <w:pPr>
              <w:spacing w:line="360" w:lineRule="auto"/>
              <w:ind w:firstLine="480" w:firstLineChars="200"/>
              <w:rPr>
                <w:rFonts w:hint="default" w:ascii="Times New Roman" w:hAnsi="Times New Roman" w:eastAsia="宋体" w:cs="Times New Roman"/>
                <w:color w:val="auto"/>
                <w:sz w:val="24"/>
                <w:szCs w:val="20"/>
                <w:lang w:val="en-US" w:eastAsia="zh-CN"/>
              </w:rPr>
            </w:pPr>
            <w:r>
              <w:rPr>
                <w:rFonts w:hint="default" w:ascii="Times New Roman" w:hAnsi="Times New Roman" w:eastAsia="宋体" w:cs="Times New Roman"/>
                <w:color w:val="auto"/>
                <w:sz w:val="24"/>
                <w:szCs w:val="20"/>
                <w:lang w:val="en-US" w:eastAsia="zh-CN"/>
              </w:rPr>
              <w:t>根据2024年度在线监测系统进水水质运行记录，并考虑一定的余量，确定本项目进水水质指标如下：</w:t>
            </w:r>
          </w:p>
          <w:p w14:paraId="5434247D">
            <w:pPr>
              <w:spacing w:line="360" w:lineRule="auto"/>
              <w:ind w:firstLine="0" w:firstLineChars="0"/>
              <w:jc w:val="center"/>
              <w:rPr>
                <w:rFonts w:hint="default" w:ascii="Times New Roman" w:hAnsi="Times New Roman" w:eastAsia="宋体" w:cs="Times New Roman"/>
                <w:b/>
                <w:bCs/>
                <w:color w:val="auto"/>
                <w:sz w:val="24"/>
                <w:szCs w:val="20"/>
              </w:rPr>
            </w:pPr>
            <w:r>
              <w:rPr>
                <w:rFonts w:hint="default" w:ascii="Times New Roman" w:hAnsi="Times New Roman" w:eastAsia="宋体" w:cs="Times New Roman"/>
                <w:b/>
                <w:bCs/>
                <w:color w:val="auto"/>
                <w:sz w:val="24"/>
                <w:szCs w:val="20"/>
              </w:rPr>
              <w:t>表</w:t>
            </w:r>
            <w:r>
              <w:rPr>
                <w:rFonts w:hint="default" w:ascii="Times New Roman" w:hAnsi="Times New Roman" w:eastAsia="宋体" w:cs="Times New Roman"/>
                <w:b/>
                <w:bCs/>
                <w:color w:val="auto"/>
                <w:sz w:val="24"/>
                <w:szCs w:val="20"/>
                <w:lang w:val="en-US" w:eastAsia="zh-CN"/>
              </w:rPr>
              <w:t>2-</w:t>
            </w:r>
            <w:r>
              <w:rPr>
                <w:rFonts w:hint="default" w:ascii="Times New Roman" w:hAnsi="Times New Roman" w:cs="Times New Roman"/>
                <w:b/>
                <w:bCs/>
                <w:color w:val="auto"/>
                <w:sz w:val="24"/>
                <w:szCs w:val="20"/>
                <w:lang w:val="en-US" w:eastAsia="zh-CN"/>
              </w:rPr>
              <w:t>7</w:t>
            </w:r>
            <w:r>
              <w:rPr>
                <w:rFonts w:hint="default" w:ascii="Times New Roman" w:hAnsi="Times New Roman" w:eastAsia="宋体" w:cs="Times New Roman"/>
                <w:b/>
                <w:bCs/>
                <w:color w:val="auto"/>
                <w:sz w:val="24"/>
                <w:szCs w:val="20"/>
              </w:rPr>
              <w:t xml:space="preserve"> 杭锦旗锡尼镇污水处理厂进水水质</w:t>
            </w:r>
          </w:p>
          <w:tbl>
            <w:tblPr>
              <w:tblStyle w:val="10"/>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1157"/>
              <w:gridCol w:w="1157"/>
              <w:gridCol w:w="1159"/>
              <w:gridCol w:w="1190"/>
              <w:gridCol w:w="1159"/>
              <w:gridCol w:w="1158"/>
            </w:tblGrid>
            <w:tr w14:paraId="631EB1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0" w:type="pct"/>
                  <w:tcBorders>
                    <w:left w:val="single" w:color="auto" w:sz="0" w:space="0"/>
                    <w:bottom w:val="single" w:color="auto" w:sz="12" w:space="0"/>
                    <w:right w:val="single" w:color="auto" w:sz="12" w:space="0"/>
                  </w:tcBorders>
                  <w:noWrap w:val="0"/>
                  <w:vAlign w:val="center"/>
                </w:tcPr>
                <w:p w14:paraId="768496F1">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污染物</w:t>
                  </w:r>
                </w:p>
              </w:tc>
              <w:tc>
                <w:tcPr>
                  <w:tcW w:w="711" w:type="pct"/>
                  <w:tcBorders>
                    <w:left w:val="single" w:color="auto" w:sz="12" w:space="0"/>
                    <w:bottom w:val="single" w:color="auto" w:sz="12" w:space="0"/>
                    <w:right w:val="single" w:color="auto" w:sz="12" w:space="0"/>
                  </w:tcBorders>
                  <w:shd w:val="clear" w:color="auto" w:fill="auto"/>
                  <w:noWrap w:val="0"/>
                  <w:vAlign w:val="center"/>
                </w:tcPr>
                <w:p w14:paraId="0DBDBED1">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CODcr</w:t>
                  </w:r>
                </w:p>
                <w:p w14:paraId="78CAC7E8">
                  <w:pPr>
                    <w:snapToGrid w:val="0"/>
                    <w:spacing w:line="240" w:lineRule="auto"/>
                    <w:ind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rPr>
                    <w:t>（</w:t>
                  </w:r>
                  <w:r>
                    <w:rPr>
                      <w:rFonts w:hint="eastAsia" w:cs="Times New Roman"/>
                      <w:b/>
                      <w:bCs/>
                      <w:color w:val="auto"/>
                      <w:sz w:val="21"/>
                      <w:szCs w:val="21"/>
                      <w:lang w:eastAsia="zh-CN"/>
                    </w:rPr>
                    <w:t>m</w:t>
                  </w:r>
                  <w:r>
                    <w:rPr>
                      <w:rFonts w:hint="default" w:ascii="Times New Roman" w:hAnsi="Times New Roman" w:eastAsia="宋体" w:cs="Times New Roman"/>
                      <w:b/>
                      <w:bCs/>
                      <w:color w:val="auto"/>
                      <w:sz w:val="21"/>
                      <w:szCs w:val="21"/>
                    </w:rPr>
                    <w:t>g/L）</w:t>
                  </w:r>
                </w:p>
              </w:tc>
              <w:tc>
                <w:tcPr>
                  <w:tcW w:w="711" w:type="pct"/>
                  <w:tcBorders>
                    <w:left w:val="single" w:color="auto" w:sz="12" w:space="0"/>
                    <w:bottom w:val="single" w:color="auto" w:sz="12" w:space="0"/>
                    <w:right w:val="single" w:color="auto" w:sz="12" w:space="0"/>
                  </w:tcBorders>
                  <w:noWrap w:val="0"/>
                  <w:vAlign w:val="center"/>
                </w:tcPr>
                <w:p w14:paraId="0CB6EF4D">
                  <w:pPr>
                    <w:snapToGrid w:val="0"/>
                    <w:spacing w:line="240" w:lineRule="auto"/>
                    <w:ind w:firstLine="0" w:firstLineChars="0"/>
                    <w:jc w:val="center"/>
                    <w:rPr>
                      <w:rFonts w:hint="default" w:ascii="Times New Roman" w:hAnsi="Times New Roman" w:eastAsia="宋体" w:cs="Times New Roman"/>
                      <w:b/>
                      <w:bCs/>
                      <w:color w:val="auto"/>
                      <w:sz w:val="21"/>
                      <w:szCs w:val="21"/>
                      <w:vertAlign w:val="subscript"/>
                      <w:lang w:eastAsia="zh-CN"/>
                    </w:rPr>
                  </w:pPr>
                  <w:r>
                    <w:rPr>
                      <w:rFonts w:hint="default" w:ascii="Times New Roman" w:hAnsi="Times New Roman" w:eastAsia="宋体" w:cs="Times New Roman"/>
                      <w:b/>
                      <w:bCs/>
                      <w:color w:val="auto"/>
                      <w:sz w:val="21"/>
                      <w:szCs w:val="21"/>
                      <w:vertAlign w:val="baseline"/>
                      <w:lang w:eastAsia="zh-CN"/>
                    </w:rPr>
                    <w:t>BOD</w:t>
                  </w:r>
                  <w:r>
                    <w:rPr>
                      <w:rFonts w:hint="default" w:ascii="Times New Roman" w:hAnsi="Times New Roman" w:eastAsia="宋体" w:cs="Times New Roman"/>
                      <w:b/>
                      <w:bCs/>
                      <w:color w:val="auto"/>
                      <w:sz w:val="21"/>
                      <w:szCs w:val="21"/>
                      <w:vertAlign w:val="subscript"/>
                      <w:lang w:eastAsia="zh-CN"/>
                    </w:rPr>
                    <w:t>5</w:t>
                  </w:r>
                </w:p>
                <w:p w14:paraId="7706F667">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w:t>
                  </w:r>
                  <w:r>
                    <w:rPr>
                      <w:rFonts w:hint="eastAsia" w:cs="Times New Roman"/>
                      <w:b/>
                      <w:bCs/>
                      <w:color w:val="auto"/>
                      <w:sz w:val="21"/>
                      <w:szCs w:val="21"/>
                      <w:lang w:eastAsia="zh-CN"/>
                    </w:rPr>
                    <w:t>m</w:t>
                  </w:r>
                  <w:r>
                    <w:rPr>
                      <w:rFonts w:hint="default" w:ascii="Times New Roman" w:hAnsi="Times New Roman" w:eastAsia="宋体" w:cs="Times New Roman"/>
                      <w:b/>
                      <w:bCs/>
                      <w:color w:val="auto"/>
                      <w:sz w:val="21"/>
                      <w:szCs w:val="21"/>
                    </w:rPr>
                    <w:t>g/L）</w:t>
                  </w:r>
                </w:p>
              </w:tc>
              <w:tc>
                <w:tcPr>
                  <w:tcW w:w="712" w:type="pct"/>
                  <w:tcBorders>
                    <w:left w:val="single" w:color="auto" w:sz="12" w:space="0"/>
                    <w:bottom w:val="single" w:color="auto" w:sz="12" w:space="0"/>
                    <w:right w:val="single" w:color="auto" w:sz="12" w:space="0"/>
                  </w:tcBorders>
                  <w:noWrap w:val="0"/>
                  <w:vAlign w:val="center"/>
                </w:tcPr>
                <w:p w14:paraId="20580425">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SS</w:t>
                  </w:r>
                </w:p>
                <w:p w14:paraId="3FC0495B">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w:t>
                  </w:r>
                  <w:r>
                    <w:rPr>
                      <w:rFonts w:hint="eastAsia" w:cs="Times New Roman"/>
                      <w:b/>
                      <w:bCs/>
                      <w:color w:val="auto"/>
                      <w:sz w:val="21"/>
                      <w:szCs w:val="21"/>
                      <w:lang w:eastAsia="zh-CN"/>
                    </w:rPr>
                    <w:t>m</w:t>
                  </w:r>
                  <w:r>
                    <w:rPr>
                      <w:rFonts w:hint="default" w:ascii="Times New Roman" w:hAnsi="Times New Roman" w:eastAsia="宋体" w:cs="Times New Roman"/>
                      <w:b/>
                      <w:bCs/>
                      <w:color w:val="auto"/>
                      <w:sz w:val="21"/>
                      <w:szCs w:val="21"/>
                    </w:rPr>
                    <w:t>g/L）</w:t>
                  </w:r>
                </w:p>
              </w:tc>
              <w:tc>
                <w:tcPr>
                  <w:tcW w:w="731" w:type="pct"/>
                  <w:tcBorders>
                    <w:left w:val="single" w:color="auto" w:sz="12" w:space="0"/>
                    <w:bottom w:val="single" w:color="auto" w:sz="12" w:space="0"/>
                    <w:right w:val="single" w:color="auto" w:sz="12" w:space="0"/>
                  </w:tcBorders>
                  <w:noWrap w:val="0"/>
                  <w:vAlign w:val="center"/>
                </w:tcPr>
                <w:p w14:paraId="6647FDBB">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N</w:t>
                  </w:r>
                  <w:r>
                    <w:rPr>
                      <w:rFonts w:hint="default" w:ascii="Times New Roman" w:hAnsi="Times New Roman" w:eastAsia="宋体" w:cs="Times New Roman"/>
                      <w:b/>
                      <w:bCs/>
                      <w:color w:val="auto"/>
                      <w:sz w:val="21"/>
                      <w:szCs w:val="21"/>
                      <w:lang w:eastAsia="zh-CN"/>
                    </w:rPr>
                    <w:t>H</w:t>
                  </w:r>
                  <w:r>
                    <w:rPr>
                      <w:rFonts w:hint="default" w:ascii="Times New Roman" w:hAnsi="Times New Roman" w:eastAsia="宋体" w:cs="Times New Roman"/>
                      <w:b/>
                      <w:bCs/>
                      <w:color w:val="auto"/>
                      <w:sz w:val="21"/>
                      <w:szCs w:val="21"/>
                      <w:vertAlign w:val="subscript"/>
                    </w:rPr>
                    <w:t>4</w:t>
                  </w:r>
                  <w:r>
                    <w:rPr>
                      <w:rFonts w:hint="default" w:ascii="Times New Roman" w:hAnsi="Times New Roman" w:eastAsia="宋体" w:cs="Times New Roman"/>
                      <w:b/>
                      <w:bCs/>
                      <w:color w:val="auto"/>
                      <w:sz w:val="21"/>
                      <w:szCs w:val="21"/>
                      <w:vertAlign w:val="superscript"/>
                    </w:rPr>
                    <w:t>+</w:t>
                  </w:r>
                  <w:r>
                    <w:rPr>
                      <w:rFonts w:hint="default" w:ascii="Times New Roman" w:hAnsi="Times New Roman" w:eastAsia="宋体" w:cs="Times New Roman"/>
                      <w:b/>
                      <w:bCs/>
                      <w:color w:val="auto"/>
                      <w:sz w:val="21"/>
                      <w:szCs w:val="21"/>
                    </w:rPr>
                    <w:t>-N</w:t>
                  </w:r>
                </w:p>
                <w:p w14:paraId="0C3C1035">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w:t>
                  </w:r>
                  <w:r>
                    <w:rPr>
                      <w:rFonts w:hint="eastAsia" w:cs="Times New Roman"/>
                      <w:b/>
                      <w:bCs/>
                      <w:color w:val="auto"/>
                      <w:sz w:val="21"/>
                      <w:szCs w:val="21"/>
                      <w:lang w:eastAsia="zh-CN"/>
                    </w:rPr>
                    <w:t>m</w:t>
                  </w:r>
                  <w:r>
                    <w:rPr>
                      <w:rFonts w:hint="default" w:ascii="Times New Roman" w:hAnsi="Times New Roman" w:eastAsia="宋体" w:cs="Times New Roman"/>
                      <w:b/>
                      <w:bCs/>
                      <w:color w:val="auto"/>
                      <w:sz w:val="21"/>
                      <w:szCs w:val="21"/>
                    </w:rPr>
                    <w:t>g/L）</w:t>
                  </w:r>
                </w:p>
              </w:tc>
              <w:tc>
                <w:tcPr>
                  <w:tcW w:w="712" w:type="pct"/>
                  <w:tcBorders>
                    <w:left w:val="single" w:color="auto" w:sz="12" w:space="0"/>
                    <w:bottom w:val="single" w:color="auto" w:sz="12" w:space="0"/>
                    <w:right w:val="single" w:color="auto" w:sz="12" w:space="0"/>
                  </w:tcBorders>
                  <w:noWrap w:val="0"/>
                  <w:vAlign w:val="center"/>
                </w:tcPr>
                <w:p w14:paraId="4C9BD84B">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TN</w:t>
                  </w:r>
                </w:p>
                <w:p w14:paraId="74D80771">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w:t>
                  </w:r>
                  <w:r>
                    <w:rPr>
                      <w:rFonts w:hint="eastAsia" w:cs="Times New Roman"/>
                      <w:b/>
                      <w:bCs/>
                      <w:color w:val="auto"/>
                      <w:sz w:val="21"/>
                      <w:szCs w:val="21"/>
                      <w:lang w:eastAsia="zh-CN"/>
                    </w:rPr>
                    <w:t>m</w:t>
                  </w:r>
                  <w:r>
                    <w:rPr>
                      <w:rFonts w:hint="default" w:ascii="Times New Roman" w:hAnsi="Times New Roman" w:eastAsia="宋体" w:cs="Times New Roman"/>
                      <w:b/>
                      <w:bCs/>
                      <w:color w:val="auto"/>
                      <w:sz w:val="21"/>
                      <w:szCs w:val="21"/>
                    </w:rPr>
                    <w:t>g/L）</w:t>
                  </w:r>
                </w:p>
              </w:tc>
              <w:tc>
                <w:tcPr>
                  <w:tcW w:w="711" w:type="pct"/>
                  <w:tcBorders>
                    <w:left w:val="single" w:color="auto" w:sz="12" w:space="0"/>
                    <w:bottom w:val="single" w:color="auto" w:sz="12" w:space="0"/>
                    <w:right w:val="single" w:color="auto" w:sz="12" w:space="0"/>
                  </w:tcBorders>
                  <w:noWrap w:val="0"/>
                  <w:vAlign w:val="center"/>
                </w:tcPr>
                <w:p w14:paraId="64F3CFF6">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TP</w:t>
                  </w:r>
                </w:p>
                <w:p w14:paraId="615A52A0">
                  <w:pPr>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w:t>
                  </w:r>
                  <w:r>
                    <w:rPr>
                      <w:rFonts w:hint="eastAsia" w:cs="Times New Roman"/>
                      <w:b/>
                      <w:bCs/>
                      <w:color w:val="auto"/>
                      <w:sz w:val="21"/>
                      <w:szCs w:val="21"/>
                      <w:lang w:eastAsia="zh-CN"/>
                    </w:rPr>
                    <w:t>m</w:t>
                  </w:r>
                  <w:r>
                    <w:rPr>
                      <w:rFonts w:hint="default" w:ascii="Times New Roman" w:hAnsi="Times New Roman" w:eastAsia="宋体" w:cs="Times New Roman"/>
                      <w:b/>
                      <w:bCs/>
                      <w:color w:val="auto"/>
                      <w:sz w:val="21"/>
                      <w:szCs w:val="21"/>
                    </w:rPr>
                    <w:t>g/L）</w:t>
                  </w:r>
                </w:p>
              </w:tc>
            </w:tr>
            <w:tr w14:paraId="3AFAD2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0" w:type="pct"/>
                  <w:tcBorders>
                    <w:top w:val="single" w:color="auto" w:sz="12" w:space="0"/>
                    <w:left w:val="single" w:color="auto" w:sz="4" w:space="0"/>
                    <w:right w:val="single" w:color="auto" w:sz="12" w:space="0"/>
                  </w:tcBorders>
                  <w:noWrap w:val="0"/>
                  <w:vAlign w:val="center"/>
                </w:tcPr>
                <w:p w14:paraId="7A754B55">
                  <w:pPr>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进水水质</w:t>
                  </w:r>
                </w:p>
              </w:tc>
              <w:tc>
                <w:tcPr>
                  <w:tcW w:w="711" w:type="pct"/>
                  <w:tcBorders>
                    <w:top w:val="single" w:color="auto" w:sz="12" w:space="0"/>
                    <w:left w:val="single" w:color="auto" w:sz="12" w:space="0"/>
                    <w:right w:val="single" w:color="auto" w:sz="12" w:space="0"/>
                  </w:tcBorders>
                  <w:shd w:val="clear" w:color="auto" w:fill="auto"/>
                  <w:noWrap w:val="0"/>
                  <w:vAlign w:val="center"/>
                </w:tcPr>
                <w:p w14:paraId="6B1BF974">
                  <w:pPr>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35</w:t>
                  </w:r>
                  <w:r>
                    <w:rPr>
                      <w:rFonts w:hint="default" w:ascii="Times New Roman" w:hAnsi="Times New Roman" w:eastAsia="宋体" w:cs="Times New Roman"/>
                      <w:color w:val="auto"/>
                      <w:sz w:val="21"/>
                      <w:szCs w:val="21"/>
                    </w:rPr>
                    <w:t>0</w:t>
                  </w:r>
                </w:p>
              </w:tc>
              <w:tc>
                <w:tcPr>
                  <w:tcW w:w="711" w:type="pct"/>
                  <w:tcBorders>
                    <w:top w:val="single" w:color="auto" w:sz="12" w:space="0"/>
                    <w:left w:val="single" w:color="auto" w:sz="12" w:space="0"/>
                    <w:right w:val="single" w:color="auto" w:sz="12" w:space="0"/>
                  </w:tcBorders>
                  <w:noWrap w:val="0"/>
                  <w:vAlign w:val="center"/>
                </w:tcPr>
                <w:p w14:paraId="45537845">
                  <w:pPr>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00</w:t>
                  </w:r>
                </w:p>
              </w:tc>
              <w:tc>
                <w:tcPr>
                  <w:tcW w:w="712" w:type="pct"/>
                  <w:tcBorders>
                    <w:top w:val="single" w:color="auto" w:sz="12" w:space="0"/>
                    <w:left w:val="single" w:color="auto" w:sz="12" w:space="0"/>
                    <w:right w:val="single" w:color="auto" w:sz="12" w:space="0"/>
                  </w:tcBorders>
                  <w:noWrap w:val="0"/>
                  <w:vAlign w:val="center"/>
                </w:tcPr>
                <w:p w14:paraId="46C1FDF8">
                  <w:pPr>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180</w:t>
                  </w:r>
                </w:p>
              </w:tc>
              <w:tc>
                <w:tcPr>
                  <w:tcW w:w="731" w:type="pct"/>
                  <w:tcBorders>
                    <w:top w:val="single" w:color="auto" w:sz="12" w:space="0"/>
                    <w:left w:val="single" w:color="auto" w:sz="12" w:space="0"/>
                    <w:right w:val="single" w:color="auto" w:sz="12" w:space="0"/>
                  </w:tcBorders>
                  <w:noWrap w:val="0"/>
                  <w:vAlign w:val="center"/>
                </w:tcPr>
                <w:p w14:paraId="2C24EBC8">
                  <w:pPr>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60</w:t>
                  </w:r>
                </w:p>
              </w:tc>
              <w:tc>
                <w:tcPr>
                  <w:tcW w:w="712" w:type="pct"/>
                  <w:tcBorders>
                    <w:top w:val="single" w:color="auto" w:sz="12" w:space="0"/>
                    <w:left w:val="single" w:color="auto" w:sz="12" w:space="0"/>
                    <w:right w:val="single" w:color="auto" w:sz="12" w:space="0"/>
                  </w:tcBorders>
                  <w:noWrap w:val="0"/>
                  <w:vAlign w:val="center"/>
                </w:tcPr>
                <w:p w14:paraId="45A12A0E">
                  <w:pPr>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80</w:t>
                  </w:r>
                </w:p>
              </w:tc>
              <w:tc>
                <w:tcPr>
                  <w:tcW w:w="711" w:type="pct"/>
                  <w:tcBorders>
                    <w:top w:val="single" w:color="auto" w:sz="12" w:space="0"/>
                    <w:left w:val="single" w:color="auto" w:sz="12" w:space="0"/>
                    <w:right w:val="single" w:color="auto" w:sz="12" w:space="0"/>
                  </w:tcBorders>
                  <w:noWrap w:val="0"/>
                  <w:vAlign w:val="center"/>
                </w:tcPr>
                <w:p w14:paraId="6150A7DA">
                  <w:pPr>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9.5</w:t>
                  </w:r>
                </w:p>
              </w:tc>
            </w:tr>
          </w:tbl>
          <w:p w14:paraId="66E4C982">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jc w:val="left"/>
              <w:textAlignment w:val="auto"/>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6.2出水水质</w:t>
            </w:r>
          </w:p>
          <w:p w14:paraId="483AB165">
            <w:pPr>
              <w:spacing w:line="360" w:lineRule="auto"/>
              <w:ind w:firstLine="480" w:firstLineChars="200"/>
              <w:rPr>
                <w:rFonts w:hint="default" w:ascii="Times New Roman" w:hAnsi="Times New Roman" w:eastAsia="宋体" w:cs="Times New Roman"/>
                <w:color w:val="auto"/>
                <w:sz w:val="24"/>
                <w:szCs w:val="20"/>
              </w:rPr>
            </w:pPr>
            <w:r>
              <w:rPr>
                <w:rFonts w:hint="default" w:ascii="Times New Roman" w:hAnsi="Times New Roman" w:eastAsia="宋体" w:cs="Times New Roman"/>
                <w:color w:val="auto"/>
                <w:sz w:val="24"/>
                <w:szCs w:val="20"/>
                <w:lang w:val="en-US" w:eastAsia="zh-CN"/>
              </w:rPr>
              <w:t>本项目</w:t>
            </w:r>
            <w:r>
              <w:rPr>
                <w:rFonts w:hint="default" w:ascii="Times New Roman" w:hAnsi="Times New Roman" w:eastAsia="宋体" w:cs="Times New Roman"/>
                <w:color w:val="auto"/>
                <w:sz w:val="24"/>
                <w:szCs w:val="20"/>
              </w:rPr>
              <w:t>污水厂</w:t>
            </w:r>
            <w:r>
              <w:rPr>
                <w:rFonts w:hint="default" w:ascii="Times New Roman" w:hAnsi="Times New Roman" w:eastAsia="宋体" w:cs="Times New Roman"/>
                <w:color w:val="auto"/>
                <w:sz w:val="24"/>
                <w:szCs w:val="20"/>
                <w:lang w:val="en-US" w:eastAsia="zh-CN"/>
              </w:rPr>
              <w:t>处理后的中水全部</w:t>
            </w:r>
            <w:r>
              <w:rPr>
                <w:rFonts w:hint="eastAsia" w:cs="Times New Roman"/>
                <w:color w:val="auto"/>
                <w:sz w:val="24"/>
                <w:szCs w:val="20"/>
                <w:lang w:val="en-US" w:eastAsia="zh-CN"/>
              </w:rPr>
              <w:t>实现</w:t>
            </w:r>
            <w:r>
              <w:rPr>
                <w:rFonts w:hint="default" w:ascii="Times New Roman" w:hAnsi="Times New Roman" w:eastAsia="宋体" w:cs="Times New Roman"/>
                <w:color w:val="auto"/>
                <w:sz w:val="24"/>
                <w:szCs w:val="20"/>
              </w:rPr>
              <w:t>再生利用（即污水回用），根据规划方案，本</w:t>
            </w:r>
            <w:r>
              <w:rPr>
                <w:rFonts w:hint="default" w:ascii="Times New Roman" w:hAnsi="Times New Roman" w:eastAsia="宋体" w:cs="Times New Roman"/>
                <w:color w:val="auto"/>
                <w:sz w:val="24"/>
                <w:szCs w:val="20"/>
                <w:lang w:val="en-US" w:eastAsia="zh-CN"/>
              </w:rPr>
              <w:t>一期更新改造后，污水处理厂全厂日处理中水能力为11500t/d，其中8500t/d排入杭锦旗锡尼镇污水处理厂尾水水质净化工程进行深度处理，处理达标后用于周边企业回用及陶赖沟生态补水。其余部分统筹用于园林绿化、鄂尔多斯市新能源产业示范区企业及内蒙古能源发电杭锦发电有限公司工业用水</w:t>
            </w:r>
            <w:r>
              <w:rPr>
                <w:rFonts w:hint="default" w:ascii="Times New Roman" w:hAnsi="Times New Roman" w:eastAsia="宋体" w:cs="Times New Roman"/>
                <w:color w:val="auto"/>
                <w:sz w:val="24"/>
                <w:szCs w:val="20"/>
                <w:highlight w:val="none"/>
                <w:lang w:val="en-US" w:eastAsia="zh-CN"/>
              </w:rPr>
              <w:t>，</w:t>
            </w:r>
            <w:r>
              <w:rPr>
                <w:rFonts w:hint="eastAsia" w:cs="Times New Roman"/>
                <w:color w:val="auto"/>
                <w:sz w:val="24"/>
                <w:szCs w:val="20"/>
                <w:highlight w:val="none"/>
                <w:lang w:val="en-US" w:eastAsia="zh-CN"/>
              </w:rPr>
              <w:t>不外排</w:t>
            </w:r>
            <w:r>
              <w:rPr>
                <w:rFonts w:hint="default" w:ascii="Times New Roman" w:hAnsi="Times New Roman" w:eastAsia="宋体" w:cs="Times New Roman"/>
                <w:color w:val="auto"/>
                <w:sz w:val="24"/>
                <w:szCs w:val="20"/>
                <w:highlight w:val="none"/>
              </w:rPr>
              <w:t>。</w:t>
            </w:r>
          </w:p>
          <w:p w14:paraId="02884C20">
            <w:pPr>
              <w:spacing w:line="360" w:lineRule="auto"/>
              <w:ind w:firstLine="480" w:firstLineChars="200"/>
              <w:rPr>
                <w:rFonts w:hint="default" w:ascii="Times New Roman" w:hAnsi="Times New Roman" w:eastAsia="宋体" w:cs="Times New Roman"/>
                <w:color w:val="auto"/>
                <w:sz w:val="24"/>
                <w:szCs w:val="20"/>
                <w:lang w:eastAsia="zh-CN"/>
              </w:rPr>
            </w:pPr>
            <w:r>
              <w:rPr>
                <w:rFonts w:hint="default" w:ascii="Times New Roman" w:hAnsi="Times New Roman" w:eastAsia="宋体" w:cs="Times New Roman"/>
                <w:color w:val="auto"/>
                <w:sz w:val="24"/>
                <w:szCs w:val="20"/>
                <w:lang w:val="en-US" w:eastAsia="zh-CN"/>
              </w:rPr>
              <w:t>①</w:t>
            </w:r>
            <w:r>
              <w:rPr>
                <w:rFonts w:hint="default" w:ascii="Times New Roman" w:hAnsi="Times New Roman" w:eastAsia="宋体" w:cs="Times New Roman"/>
                <w:color w:val="auto"/>
                <w:sz w:val="24"/>
                <w:szCs w:val="20"/>
              </w:rPr>
              <w:t>本项目</w:t>
            </w:r>
            <w:r>
              <w:rPr>
                <w:rFonts w:hint="default" w:ascii="Times New Roman" w:hAnsi="Times New Roman" w:eastAsia="宋体" w:cs="Times New Roman"/>
                <w:color w:val="auto"/>
                <w:sz w:val="24"/>
                <w:szCs w:val="20"/>
                <w:lang w:val="en-US" w:eastAsia="zh-CN"/>
              </w:rPr>
              <w:t>处理后的中水</w:t>
            </w:r>
            <w:r>
              <w:rPr>
                <w:rFonts w:hint="default" w:ascii="Times New Roman" w:hAnsi="Times New Roman" w:eastAsia="宋体" w:cs="Times New Roman"/>
                <w:color w:val="auto"/>
                <w:sz w:val="24"/>
                <w:szCs w:val="20"/>
              </w:rPr>
              <w:t>水质执行《城镇污水处理厂污染物排放标准》（GB18918-2002）及其修改单</w:t>
            </w:r>
            <w:r>
              <w:rPr>
                <w:rFonts w:hint="default" w:ascii="Times New Roman" w:hAnsi="Times New Roman" w:eastAsia="宋体" w:cs="Times New Roman"/>
                <w:color w:val="auto"/>
                <w:sz w:val="24"/>
                <w:szCs w:val="20"/>
                <w:lang w:val="en-US" w:eastAsia="zh-CN"/>
              </w:rPr>
              <w:t>中</w:t>
            </w:r>
            <w:r>
              <w:rPr>
                <w:rFonts w:hint="default" w:ascii="Times New Roman" w:hAnsi="Times New Roman" w:eastAsia="宋体" w:cs="Times New Roman"/>
                <w:color w:val="auto"/>
                <w:sz w:val="24"/>
                <w:szCs w:val="20"/>
              </w:rPr>
              <w:t>一级A标准</w:t>
            </w:r>
            <w:r>
              <w:rPr>
                <w:rFonts w:hint="default" w:ascii="Times New Roman" w:hAnsi="Times New Roman" w:eastAsia="宋体" w:cs="Times New Roman"/>
                <w:color w:val="auto"/>
                <w:sz w:val="24"/>
                <w:szCs w:val="20"/>
                <w:lang w:eastAsia="zh-CN"/>
              </w:rPr>
              <w:t>。</w:t>
            </w:r>
          </w:p>
          <w:p w14:paraId="64EAF9C9">
            <w:pPr>
              <w:spacing w:line="360" w:lineRule="auto"/>
              <w:ind w:firstLine="480" w:firstLineChars="200"/>
              <w:rPr>
                <w:rFonts w:hint="default" w:ascii="Times New Roman" w:hAnsi="Times New Roman" w:eastAsia="宋体" w:cs="Times New Roman"/>
                <w:color w:val="auto"/>
                <w:sz w:val="24"/>
                <w:szCs w:val="20"/>
                <w:lang w:val="en-US" w:eastAsia="zh-CN"/>
              </w:rPr>
            </w:pPr>
            <w:r>
              <w:rPr>
                <w:rFonts w:hint="default" w:ascii="Times New Roman" w:hAnsi="Times New Roman" w:eastAsia="宋体" w:cs="Times New Roman"/>
                <w:color w:val="auto"/>
                <w:sz w:val="24"/>
                <w:szCs w:val="20"/>
                <w:lang w:val="en-US" w:eastAsia="zh-CN"/>
              </w:rPr>
              <w:t>②本项目处理后的中水作为鄂尔多斯市新能源产业示范区企业及内蒙古能源发电杭锦发电有限公司工业用水，</w:t>
            </w:r>
            <w:r>
              <w:rPr>
                <w:rFonts w:hint="default" w:ascii="Times New Roman" w:hAnsi="Times New Roman" w:eastAsia="宋体" w:cs="Times New Roman"/>
                <w:color w:val="auto"/>
                <w:sz w:val="24"/>
                <w:szCs w:val="20"/>
              </w:rPr>
              <w:t>执行《城市污水再生利用</w:t>
            </w:r>
            <w:r>
              <w:rPr>
                <w:rFonts w:hint="default" w:ascii="Times New Roman" w:hAnsi="Times New Roman" w:eastAsia="宋体" w:cs="Times New Roman"/>
                <w:color w:val="auto"/>
                <w:sz w:val="24"/>
                <w:szCs w:val="20"/>
                <w:lang w:val="en-US" w:eastAsia="zh-CN"/>
              </w:rPr>
              <w:t xml:space="preserve"> </w:t>
            </w:r>
            <w:r>
              <w:rPr>
                <w:rFonts w:hint="default" w:ascii="Times New Roman" w:hAnsi="Times New Roman" w:eastAsia="宋体" w:cs="Times New Roman"/>
                <w:color w:val="auto"/>
                <w:sz w:val="24"/>
                <w:szCs w:val="20"/>
              </w:rPr>
              <w:t>工业用水水质》（</w:t>
            </w:r>
            <w:r>
              <w:rPr>
                <w:rFonts w:hint="default" w:ascii="Times New Roman" w:hAnsi="Times New Roman" w:eastAsia="宋体" w:cs="Times New Roman"/>
                <w:color w:val="auto"/>
                <w:sz w:val="24"/>
                <w:szCs w:val="20"/>
                <w:lang w:eastAsia="zh-CN"/>
              </w:rPr>
              <w:t>GB/T19923-2024</w:t>
            </w:r>
            <w:r>
              <w:rPr>
                <w:rFonts w:hint="default" w:ascii="Times New Roman" w:hAnsi="Times New Roman" w:eastAsia="宋体" w:cs="Times New Roman"/>
                <w:color w:val="auto"/>
                <w:sz w:val="24"/>
                <w:szCs w:val="20"/>
              </w:rPr>
              <w:t>）</w:t>
            </w:r>
            <w:r>
              <w:rPr>
                <w:rFonts w:hint="default" w:ascii="Times New Roman" w:hAnsi="Times New Roman" w:eastAsia="宋体" w:cs="Times New Roman"/>
                <w:color w:val="auto"/>
                <w:sz w:val="24"/>
                <w:szCs w:val="20"/>
                <w:lang w:eastAsia="zh-CN"/>
              </w:rPr>
              <w:t>。</w:t>
            </w:r>
          </w:p>
          <w:p w14:paraId="5D4B4272">
            <w:pPr>
              <w:spacing w:line="360" w:lineRule="auto"/>
              <w:ind w:firstLine="480" w:firstLineChars="200"/>
              <w:rPr>
                <w:rFonts w:hint="default" w:ascii="Times New Roman" w:hAnsi="Times New Roman" w:eastAsia="宋体" w:cs="Times New Roman"/>
                <w:color w:val="auto"/>
                <w:sz w:val="24"/>
                <w:szCs w:val="20"/>
              </w:rPr>
            </w:pPr>
            <w:r>
              <w:rPr>
                <w:rFonts w:hint="default" w:ascii="Times New Roman" w:hAnsi="Times New Roman" w:eastAsia="宋体" w:cs="Times New Roman"/>
                <w:color w:val="auto"/>
                <w:sz w:val="24"/>
                <w:szCs w:val="20"/>
                <w:lang w:val="en-US" w:eastAsia="zh-CN"/>
              </w:rPr>
              <w:t>③本项目处理后的中水作为夏季用于园林绿化用水，执行</w:t>
            </w:r>
            <w:r>
              <w:rPr>
                <w:rFonts w:hint="default" w:ascii="Times New Roman" w:hAnsi="Times New Roman" w:eastAsia="宋体" w:cs="Times New Roman"/>
                <w:color w:val="auto"/>
                <w:sz w:val="24"/>
                <w:szCs w:val="20"/>
              </w:rPr>
              <w:t>《城市污水再生利用</w:t>
            </w:r>
            <w:r>
              <w:rPr>
                <w:rFonts w:hint="default" w:ascii="Times New Roman" w:hAnsi="Times New Roman" w:eastAsia="宋体" w:cs="Times New Roman"/>
                <w:color w:val="auto"/>
                <w:sz w:val="24"/>
                <w:szCs w:val="20"/>
                <w:lang w:val="en-US" w:eastAsia="zh-CN"/>
              </w:rPr>
              <w:t xml:space="preserve"> </w:t>
            </w:r>
            <w:r>
              <w:rPr>
                <w:rFonts w:hint="default" w:ascii="Times New Roman" w:hAnsi="Times New Roman" w:eastAsia="宋体" w:cs="Times New Roman"/>
                <w:color w:val="auto"/>
                <w:sz w:val="24"/>
                <w:szCs w:val="20"/>
                <w:lang w:eastAsia="zh-CN"/>
              </w:rPr>
              <w:t>城市杂用水水质</w:t>
            </w:r>
            <w:r>
              <w:rPr>
                <w:rFonts w:hint="default" w:ascii="Times New Roman" w:hAnsi="Times New Roman" w:eastAsia="宋体" w:cs="Times New Roman"/>
                <w:color w:val="auto"/>
                <w:sz w:val="24"/>
                <w:szCs w:val="20"/>
              </w:rPr>
              <w:t>》（</w:t>
            </w:r>
            <w:r>
              <w:rPr>
                <w:rFonts w:hint="default" w:ascii="Times New Roman" w:hAnsi="Times New Roman" w:eastAsia="宋体" w:cs="Times New Roman"/>
                <w:color w:val="auto"/>
                <w:sz w:val="24"/>
                <w:szCs w:val="20"/>
                <w:lang w:eastAsia="zh-CN"/>
              </w:rPr>
              <w:t>GB/T18920-2020</w:t>
            </w:r>
            <w:r>
              <w:rPr>
                <w:rFonts w:hint="default" w:ascii="Times New Roman" w:hAnsi="Times New Roman" w:eastAsia="宋体" w:cs="Times New Roman"/>
                <w:color w:val="auto"/>
                <w:sz w:val="24"/>
                <w:szCs w:val="20"/>
              </w:rPr>
              <w:t>）。</w:t>
            </w:r>
          </w:p>
          <w:p w14:paraId="21FB9D32">
            <w:pPr>
              <w:spacing w:line="360" w:lineRule="auto"/>
              <w:ind w:firstLine="480" w:firstLineChars="200"/>
              <w:rPr>
                <w:rFonts w:hint="default" w:ascii="Times New Roman" w:hAnsi="Times New Roman" w:eastAsia="宋体" w:cs="Times New Roman"/>
                <w:color w:val="auto"/>
                <w:sz w:val="24"/>
                <w:szCs w:val="20"/>
              </w:rPr>
            </w:pPr>
            <w:r>
              <w:rPr>
                <w:rFonts w:hint="default" w:ascii="Times New Roman" w:hAnsi="Times New Roman" w:eastAsia="宋体" w:cs="Times New Roman"/>
                <w:color w:val="auto"/>
                <w:sz w:val="24"/>
                <w:szCs w:val="20"/>
                <w:lang w:val="en-US" w:eastAsia="zh-CN"/>
              </w:rPr>
              <w:t>根据以上标准值及2024年度在线监测系统出水水质运行记录，并考虑一定的余量，确定</w:t>
            </w:r>
            <w:r>
              <w:rPr>
                <w:rFonts w:hint="default" w:ascii="Times New Roman" w:hAnsi="Times New Roman" w:eastAsia="宋体" w:cs="Times New Roman"/>
                <w:color w:val="auto"/>
                <w:sz w:val="24"/>
                <w:szCs w:val="20"/>
              </w:rPr>
              <w:t>本项目设计出水水质指标见表</w:t>
            </w:r>
            <w:r>
              <w:rPr>
                <w:rFonts w:hint="default" w:ascii="Times New Roman" w:hAnsi="Times New Roman" w:eastAsia="宋体" w:cs="Times New Roman"/>
                <w:color w:val="auto"/>
                <w:sz w:val="24"/>
                <w:szCs w:val="20"/>
                <w:lang w:val="en-US" w:eastAsia="zh-CN"/>
              </w:rPr>
              <w:t>2-</w:t>
            </w:r>
            <w:r>
              <w:rPr>
                <w:rFonts w:hint="default" w:ascii="Times New Roman" w:hAnsi="Times New Roman" w:cs="Times New Roman"/>
                <w:color w:val="auto"/>
                <w:sz w:val="24"/>
                <w:szCs w:val="20"/>
                <w:lang w:val="en-US" w:eastAsia="zh-CN"/>
              </w:rPr>
              <w:t>8</w:t>
            </w:r>
            <w:r>
              <w:rPr>
                <w:rFonts w:hint="eastAsia" w:cs="Times New Roman"/>
                <w:color w:val="auto"/>
                <w:sz w:val="24"/>
                <w:szCs w:val="20"/>
                <w:lang w:eastAsia="zh-CN"/>
              </w:rPr>
              <w:t>，</w:t>
            </w:r>
            <w:r>
              <w:rPr>
                <w:rFonts w:hint="default" w:ascii="Times New Roman" w:hAnsi="Times New Roman" w:eastAsia="宋体" w:cs="Times New Roman"/>
                <w:color w:val="auto"/>
                <w:sz w:val="24"/>
                <w:szCs w:val="20"/>
              </w:rPr>
              <w:t>项目进出水水质汇总及污染物去除效率见表</w:t>
            </w:r>
            <w:r>
              <w:rPr>
                <w:rFonts w:hint="default" w:ascii="Times New Roman" w:hAnsi="Times New Roman" w:eastAsia="宋体" w:cs="Times New Roman"/>
                <w:color w:val="auto"/>
                <w:sz w:val="24"/>
                <w:szCs w:val="20"/>
                <w:lang w:val="en-US" w:eastAsia="zh-CN"/>
              </w:rPr>
              <w:t>2-</w:t>
            </w:r>
            <w:r>
              <w:rPr>
                <w:rFonts w:hint="default" w:ascii="Times New Roman" w:hAnsi="Times New Roman" w:cs="Times New Roman"/>
                <w:color w:val="auto"/>
                <w:sz w:val="24"/>
                <w:szCs w:val="20"/>
                <w:lang w:val="en-US" w:eastAsia="zh-CN"/>
              </w:rPr>
              <w:t>9</w:t>
            </w:r>
            <w:r>
              <w:rPr>
                <w:rFonts w:hint="default" w:ascii="Times New Roman" w:hAnsi="Times New Roman" w:eastAsia="宋体" w:cs="Times New Roman"/>
                <w:color w:val="auto"/>
                <w:sz w:val="24"/>
                <w:szCs w:val="20"/>
              </w:rPr>
              <w:t>。</w:t>
            </w:r>
          </w:p>
          <w:p w14:paraId="70D252F6">
            <w:pPr>
              <w:spacing w:line="360" w:lineRule="auto"/>
              <w:ind w:firstLine="964" w:firstLineChars="400"/>
              <w:jc w:val="both"/>
              <w:rPr>
                <w:rFonts w:hint="default" w:ascii="Times New Roman" w:hAnsi="Times New Roman" w:eastAsia="宋体" w:cs="Times New Roman"/>
                <w:b/>
                <w:bCs/>
                <w:color w:val="auto"/>
                <w:sz w:val="24"/>
                <w:szCs w:val="20"/>
              </w:rPr>
            </w:pPr>
            <w:r>
              <w:rPr>
                <w:rFonts w:hint="default" w:ascii="Times New Roman" w:hAnsi="Times New Roman" w:eastAsia="宋体" w:cs="Times New Roman"/>
                <w:b/>
                <w:bCs/>
                <w:color w:val="auto"/>
                <w:sz w:val="24"/>
                <w:szCs w:val="20"/>
              </w:rPr>
              <w:t>表</w:t>
            </w:r>
            <w:r>
              <w:rPr>
                <w:rFonts w:hint="default" w:ascii="Times New Roman" w:hAnsi="Times New Roman" w:eastAsia="宋体" w:cs="Times New Roman"/>
                <w:b/>
                <w:bCs/>
                <w:color w:val="auto"/>
                <w:sz w:val="24"/>
                <w:szCs w:val="20"/>
                <w:lang w:val="en-US" w:eastAsia="zh-CN"/>
              </w:rPr>
              <w:t>2-</w:t>
            </w:r>
            <w:r>
              <w:rPr>
                <w:rFonts w:hint="default" w:ascii="Times New Roman" w:hAnsi="Times New Roman" w:cs="Times New Roman"/>
                <w:b/>
                <w:bCs/>
                <w:color w:val="auto"/>
                <w:sz w:val="24"/>
                <w:szCs w:val="20"/>
                <w:lang w:val="en-US" w:eastAsia="zh-CN"/>
              </w:rPr>
              <w:t>8</w:t>
            </w:r>
            <w:r>
              <w:rPr>
                <w:rFonts w:hint="default" w:ascii="Times New Roman" w:hAnsi="Times New Roman" w:eastAsia="宋体" w:cs="Times New Roman"/>
                <w:b/>
                <w:bCs/>
                <w:color w:val="auto"/>
                <w:sz w:val="24"/>
                <w:szCs w:val="20"/>
              </w:rPr>
              <w:t xml:space="preserve"> 本项目主要设计出水水质指标一览表</w:t>
            </w:r>
            <w:r>
              <w:rPr>
                <w:rFonts w:hint="eastAsia" w:cs="Times New Roman"/>
                <w:b/>
                <w:bCs/>
                <w:color w:val="auto"/>
                <w:sz w:val="24"/>
                <w:szCs w:val="20"/>
                <w:lang w:eastAsia="zh-CN"/>
              </w:rPr>
              <w:t>（</w:t>
            </w:r>
            <w:r>
              <w:rPr>
                <w:rFonts w:hint="default" w:ascii="Times New Roman" w:hAnsi="Times New Roman" w:eastAsia="宋体" w:cs="Times New Roman"/>
                <w:b/>
                <w:bCs/>
                <w:color w:val="auto"/>
                <w:sz w:val="24"/>
                <w:szCs w:val="20"/>
              </w:rPr>
              <w:t>单位：</w:t>
            </w:r>
            <w:r>
              <w:rPr>
                <w:rFonts w:hint="eastAsia" w:cs="Times New Roman"/>
                <w:b/>
                <w:bCs/>
                <w:color w:val="auto"/>
                <w:sz w:val="24"/>
                <w:szCs w:val="20"/>
                <w:lang w:eastAsia="zh-CN"/>
              </w:rPr>
              <w:t>m</w:t>
            </w:r>
            <w:r>
              <w:rPr>
                <w:rFonts w:hint="default" w:ascii="Times New Roman" w:hAnsi="Times New Roman" w:eastAsia="宋体" w:cs="Times New Roman"/>
                <w:b/>
                <w:bCs/>
                <w:color w:val="auto"/>
                <w:sz w:val="24"/>
                <w:szCs w:val="20"/>
              </w:rPr>
              <w:t>g/L</w:t>
            </w:r>
            <w:r>
              <w:rPr>
                <w:rFonts w:hint="eastAsia" w:cs="Times New Roman"/>
                <w:b/>
                <w:bCs/>
                <w:color w:val="auto"/>
                <w:sz w:val="24"/>
                <w:szCs w:val="20"/>
                <w:lang w:eastAsia="zh-CN"/>
              </w:rPr>
              <w:t>）</w:t>
            </w:r>
          </w:p>
          <w:tbl>
            <w:tblPr>
              <w:tblStyle w:val="10"/>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1040"/>
              <w:gridCol w:w="1812"/>
              <w:gridCol w:w="1284"/>
              <w:gridCol w:w="1009"/>
              <w:gridCol w:w="910"/>
              <w:gridCol w:w="1332"/>
              <w:gridCol w:w="752"/>
            </w:tblGrid>
            <w:tr w14:paraId="1548997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vMerge w:val="restart"/>
                  <w:noWrap w:val="0"/>
                  <w:vAlign w:val="center"/>
                </w:tcPr>
                <w:p w14:paraId="38171B8D">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kern w:val="0"/>
                      <w:sz w:val="21"/>
                      <w:szCs w:val="21"/>
                      <w:lang w:val="en-US" w:eastAsia="en-US" w:bidi="ar-SA"/>
                    </w:rPr>
                  </w:pPr>
                  <w:r>
                    <w:rPr>
                      <w:rFonts w:hint="default" w:ascii="Times New Roman" w:hAnsi="Times New Roman" w:eastAsia="宋体" w:cs="Times New Roman"/>
                      <w:b/>
                      <w:bCs w:val="0"/>
                      <w:color w:val="auto"/>
                      <w:spacing w:val="1"/>
                      <w:kern w:val="0"/>
                      <w:sz w:val="21"/>
                      <w:szCs w:val="21"/>
                      <w:lang w:val="en-US" w:eastAsia="en-US" w:bidi="ar-SA"/>
                    </w:rPr>
                    <w:t>污染物名称</w:t>
                  </w:r>
                </w:p>
              </w:tc>
              <w:tc>
                <w:tcPr>
                  <w:tcW w:w="1113" w:type="pct"/>
                  <w:noWrap w:val="0"/>
                  <w:vAlign w:val="center"/>
                </w:tcPr>
                <w:p w14:paraId="45EA19CE">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《城镇污水处理厂污染物排放标准》（GB18918-2002）及其修改单</w:t>
                  </w:r>
                </w:p>
              </w:tc>
              <w:tc>
                <w:tcPr>
                  <w:tcW w:w="1408" w:type="pct"/>
                  <w:gridSpan w:val="2"/>
                  <w:noWrap w:val="0"/>
                  <w:vAlign w:val="center"/>
                </w:tcPr>
                <w:p w14:paraId="5C4CAAE1">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《城市污水再生利用 工业用水水质》</w:t>
                  </w:r>
                </w:p>
                <w:p w14:paraId="1DDE6ED9">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（GB/T19923-2024）标准</w:t>
                  </w:r>
                </w:p>
              </w:tc>
              <w:tc>
                <w:tcPr>
                  <w:tcW w:w="1377" w:type="pct"/>
                  <w:gridSpan w:val="2"/>
                  <w:noWrap w:val="0"/>
                  <w:vAlign w:val="center"/>
                </w:tcPr>
                <w:p w14:paraId="33665D8E">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《城市污水再生利用 城市杂用水水质》（GB/T18920-2020）</w:t>
                  </w:r>
                </w:p>
              </w:tc>
              <w:tc>
                <w:tcPr>
                  <w:tcW w:w="461" w:type="pct"/>
                  <w:vMerge w:val="restart"/>
                  <w:noWrap w:val="0"/>
                  <w:vAlign w:val="center"/>
                </w:tcPr>
                <w:p w14:paraId="396ECA2A">
                  <w:pPr>
                    <w:widowControl w:val="0"/>
                    <w:kinsoku w:val="0"/>
                    <w:overflowPunct w:val="0"/>
                    <w:spacing w:line="240" w:lineRule="auto"/>
                    <w:ind w:firstLine="0" w:firstLineChars="0"/>
                    <w:contextualSpacing/>
                    <w:jc w:val="center"/>
                    <w:rPr>
                      <w:rFonts w:hint="default" w:ascii="Times New Roman" w:hAnsi="Times New Roman" w:eastAsia="宋体" w:cs="Times New Roman"/>
                      <w:bCs/>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本项目设计出水水质</w:t>
                  </w:r>
                </w:p>
              </w:tc>
            </w:tr>
            <w:tr w14:paraId="2DDA5A8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vMerge w:val="continue"/>
                  <w:noWrap w:val="0"/>
                  <w:vAlign w:val="center"/>
                </w:tcPr>
                <w:p w14:paraId="0EFBEFFA">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en-US" w:bidi="ar-SA"/>
                    </w:rPr>
                  </w:pPr>
                </w:p>
              </w:tc>
              <w:tc>
                <w:tcPr>
                  <w:tcW w:w="1113" w:type="pct"/>
                  <w:noWrap w:val="0"/>
                  <w:vAlign w:val="center"/>
                </w:tcPr>
                <w:p w14:paraId="556ED948">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一级A标准</w:t>
                  </w:r>
                </w:p>
              </w:tc>
              <w:tc>
                <w:tcPr>
                  <w:tcW w:w="788" w:type="pct"/>
                  <w:noWrap w:val="0"/>
                  <w:vAlign w:val="center"/>
                </w:tcPr>
                <w:p w14:paraId="3988B920">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间冷开式循环冷却水补充水、锅炉补给水、工艺用水、产品用水</w:t>
                  </w:r>
                </w:p>
              </w:tc>
              <w:tc>
                <w:tcPr>
                  <w:tcW w:w="619" w:type="pct"/>
                  <w:noWrap w:val="0"/>
                  <w:vAlign w:val="center"/>
                </w:tcPr>
                <w:p w14:paraId="4248B0B3">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直流冷却水、洗涤用水</w:t>
                  </w:r>
                </w:p>
              </w:tc>
              <w:tc>
                <w:tcPr>
                  <w:tcW w:w="559" w:type="pct"/>
                  <w:noWrap w:val="0"/>
                  <w:vAlign w:val="center"/>
                </w:tcPr>
                <w:p w14:paraId="412D1095">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冲厕、车辆冲洗</w:t>
                  </w:r>
                </w:p>
              </w:tc>
              <w:tc>
                <w:tcPr>
                  <w:tcW w:w="818" w:type="pct"/>
                  <w:noWrap w:val="0"/>
                  <w:vAlign w:val="center"/>
                </w:tcPr>
                <w:p w14:paraId="50A0E798">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城市绿化、道路清扫、消防、</w:t>
                  </w:r>
                  <w:r>
                    <w:rPr>
                      <w:rFonts w:hint="eastAsia" w:cs="Times New Roman"/>
                      <w:b/>
                      <w:bCs w:val="0"/>
                      <w:color w:val="auto"/>
                      <w:spacing w:val="1"/>
                      <w:kern w:val="0"/>
                      <w:sz w:val="21"/>
                      <w:szCs w:val="21"/>
                      <w:lang w:val="en-US" w:eastAsia="zh-CN" w:bidi="ar-SA"/>
                    </w:rPr>
                    <w:t>建筑</w:t>
                  </w:r>
                  <w:r>
                    <w:rPr>
                      <w:rFonts w:hint="default" w:ascii="Times New Roman" w:hAnsi="Times New Roman" w:eastAsia="宋体" w:cs="Times New Roman"/>
                      <w:b/>
                      <w:bCs w:val="0"/>
                      <w:color w:val="auto"/>
                      <w:spacing w:val="1"/>
                      <w:kern w:val="0"/>
                      <w:sz w:val="21"/>
                      <w:szCs w:val="21"/>
                      <w:lang w:val="en-US" w:eastAsia="zh-CN" w:bidi="ar-SA"/>
                    </w:rPr>
                    <w:t>施工</w:t>
                  </w:r>
                </w:p>
              </w:tc>
              <w:tc>
                <w:tcPr>
                  <w:tcW w:w="461" w:type="pct"/>
                  <w:vMerge w:val="continue"/>
                  <w:noWrap w:val="0"/>
                  <w:vAlign w:val="center"/>
                </w:tcPr>
                <w:p w14:paraId="4EBA87E8">
                  <w:pPr>
                    <w:widowControl w:val="0"/>
                    <w:kinsoku w:val="0"/>
                    <w:overflowPunct w:val="0"/>
                    <w:spacing w:line="240" w:lineRule="auto"/>
                    <w:ind w:firstLine="0" w:firstLineChars="0"/>
                    <w:contextualSpacing/>
                    <w:jc w:val="center"/>
                    <w:rPr>
                      <w:rFonts w:hint="default" w:ascii="Times New Roman" w:hAnsi="Times New Roman" w:eastAsia="宋体" w:cs="Times New Roman"/>
                      <w:bCs/>
                      <w:color w:val="auto"/>
                      <w:spacing w:val="1"/>
                      <w:kern w:val="0"/>
                      <w:sz w:val="21"/>
                      <w:szCs w:val="21"/>
                      <w:lang w:val="en-US" w:eastAsia="zh-CN" w:bidi="ar-SA"/>
                    </w:rPr>
                  </w:pPr>
                </w:p>
              </w:tc>
            </w:tr>
            <w:tr w14:paraId="6E1B494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noWrap w:val="0"/>
                  <w:vAlign w:val="center"/>
                </w:tcPr>
                <w:p w14:paraId="03F4F84A">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p</w:t>
                  </w:r>
                  <w:r>
                    <w:rPr>
                      <w:rFonts w:hint="default" w:ascii="Times New Roman" w:hAnsi="Times New Roman" w:eastAsia="宋体" w:cs="Times New Roman"/>
                      <w:color w:val="auto"/>
                      <w:kern w:val="0"/>
                      <w:sz w:val="21"/>
                      <w:szCs w:val="21"/>
                      <w:lang w:val="en-US" w:eastAsia="zh-CN" w:bidi="ar-SA"/>
                    </w:rPr>
                    <w:t>H</w:t>
                  </w:r>
                  <w:r>
                    <w:rPr>
                      <w:rFonts w:hint="default" w:ascii="Times New Roman" w:hAnsi="Times New Roman" w:eastAsia="宋体" w:cs="Times New Roman"/>
                      <w:color w:val="auto"/>
                      <w:kern w:val="0"/>
                      <w:sz w:val="21"/>
                      <w:szCs w:val="21"/>
                      <w:lang w:val="en-US" w:eastAsia="en-US" w:bidi="ar-SA"/>
                    </w:rPr>
                    <w:t>值</w:t>
                  </w:r>
                </w:p>
              </w:tc>
              <w:tc>
                <w:tcPr>
                  <w:tcW w:w="1113" w:type="pct"/>
                  <w:noWrap w:val="0"/>
                  <w:vAlign w:val="center"/>
                </w:tcPr>
                <w:p w14:paraId="06F3E287">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6-9</w:t>
                  </w:r>
                </w:p>
              </w:tc>
              <w:tc>
                <w:tcPr>
                  <w:tcW w:w="788" w:type="pct"/>
                  <w:noWrap w:val="0"/>
                  <w:vAlign w:val="center"/>
                </w:tcPr>
                <w:p w14:paraId="359A9E91">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6.0-9.0</w:t>
                  </w:r>
                </w:p>
              </w:tc>
              <w:tc>
                <w:tcPr>
                  <w:tcW w:w="619" w:type="pct"/>
                  <w:noWrap w:val="0"/>
                  <w:vAlign w:val="center"/>
                </w:tcPr>
                <w:p w14:paraId="5BB3A154">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6.0-9.0</w:t>
                  </w:r>
                </w:p>
              </w:tc>
              <w:tc>
                <w:tcPr>
                  <w:tcW w:w="559" w:type="pct"/>
                  <w:noWrap w:val="0"/>
                  <w:vAlign w:val="center"/>
                </w:tcPr>
                <w:p w14:paraId="3A218925">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6.0-9.0</w:t>
                  </w:r>
                </w:p>
              </w:tc>
              <w:tc>
                <w:tcPr>
                  <w:tcW w:w="818" w:type="pct"/>
                  <w:noWrap w:val="0"/>
                  <w:vAlign w:val="center"/>
                </w:tcPr>
                <w:p w14:paraId="28DBF6C7">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6.0-9.0</w:t>
                  </w:r>
                </w:p>
              </w:tc>
              <w:tc>
                <w:tcPr>
                  <w:tcW w:w="461" w:type="pct"/>
                  <w:noWrap w:val="0"/>
                  <w:vAlign w:val="center"/>
                </w:tcPr>
                <w:p w14:paraId="2AEB9190">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6.0-9.0</w:t>
                  </w:r>
                </w:p>
              </w:tc>
            </w:tr>
            <w:tr w14:paraId="153105A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noWrap w:val="0"/>
                  <w:vAlign w:val="center"/>
                </w:tcPr>
                <w:p w14:paraId="42C53AF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色度/度</w:t>
                  </w:r>
                </w:p>
              </w:tc>
              <w:tc>
                <w:tcPr>
                  <w:tcW w:w="1113" w:type="pct"/>
                  <w:noWrap w:val="0"/>
                  <w:vAlign w:val="center"/>
                </w:tcPr>
                <w:p w14:paraId="614E4D32">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30</w:t>
                  </w:r>
                </w:p>
              </w:tc>
              <w:tc>
                <w:tcPr>
                  <w:tcW w:w="788" w:type="pct"/>
                  <w:noWrap w:val="0"/>
                  <w:vAlign w:val="center"/>
                </w:tcPr>
                <w:p w14:paraId="1572CF69">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20</w:t>
                  </w:r>
                </w:p>
              </w:tc>
              <w:tc>
                <w:tcPr>
                  <w:tcW w:w="619" w:type="pct"/>
                  <w:noWrap w:val="0"/>
                  <w:vAlign w:val="center"/>
                </w:tcPr>
                <w:p w14:paraId="5CCED8DD">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20</w:t>
                  </w:r>
                </w:p>
              </w:tc>
              <w:tc>
                <w:tcPr>
                  <w:tcW w:w="559" w:type="pct"/>
                  <w:noWrap w:val="0"/>
                  <w:vAlign w:val="center"/>
                </w:tcPr>
                <w:p w14:paraId="70CCFE9D">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w:t>
                  </w:r>
                </w:p>
              </w:tc>
              <w:tc>
                <w:tcPr>
                  <w:tcW w:w="818" w:type="pct"/>
                  <w:noWrap w:val="0"/>
                  <w:vAlign w:val="center"/>
                </w:tcPr>
                <w:p w14:paraId="0AF053CF">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30</w:t>
                  </w:r>
                </w:p>
              </w:tc>
              <w:tc>
                <w:tcPr>
                  <w:tcW w:w="461" w:type="pct"/>
                  <w:noWrap w:val="0"/>
                  <w:vAlign w:val="center"/>
                </w:tcPr>
                <w:p w14:paraId="177E918C">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w:t>
                  </w:r>
                </w:p>
              </w:tc>
            </w:tr>
            <w:tr w14:paraId="3E57F5F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noWrap w:val="0"/>
                  <w:vAlign w:val="center"/>
                </w:tcPr>
                <w:p w14:paraId="296DB23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浊度/NTU</w:t>
                  </w:r>
                </w:p>
              </w:tc>
              <w:tc>
                <w:tcPr>
                  <w:tcW w:w="1113" w:type="pct"/>
                  <w:noWrap w:val="0"/>
                  <w:vAlign w:val="center"/>
                </w:tcPr>
                <w:p w14:paraId="2DF546A6">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788" w:type="pct"/>
                  <w:noWrap w:val="0"/>
                  <w:vAlign w:val="center"/>
                </w:tcPr>
                <w:p w14:paraId="43B7C110">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c>
                <w:tcPr>
                  <w:tcW w:w="619" w:type="pct"/>
                  <w:noWrap w:val="0"/>
                  <w:vAlign w:val="center"/>
                </w:tcPr>
                <w:p w14:paraId="7A1FED10">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559" w:type="pct"/>
                  <w:noWrap w:val="0"/>
                  <w:vAlign w:val="center"/>
                </w:tcPr>
                <w:p w14:paraId="79F3D771">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c>
                <w:tcPr>
                  <w:tcW w:w="818" w:type="pct"/>
                  <w:noWrap w:val="0"/>
                  <w:vAlign w:val="center"/>
                </w:tcPr>
                <w:p w14:paraId="068AC06C">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461" w:type="pct"/>
                  <w:noWrap w:val="0"/>
                  <w:vAlign w:val="center"/>
                </w:tcPr>
                <w:p w14:paraId="2DE828AF">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r>
            <w:tr w14:paraId="0594036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noWrap w:val="0"/>
                  <w:vAlign w:val="center"/>
                </w:tcPr>
                <w:p w14:paraId="0759A24F">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COD</w:t>
                  </w:r>
                </w:p>
              </w:tc>
              <w:tc>
                <w:tcPr>
                  <w:tcW w:w="1113" w:type="pct"/>
                  <w:noWrap w:val="0"/>
                  <w:vAlign w:val="center"/>
                </w:tcPr>
                <w:p w14:paraId="383B6823">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50</w:t>
                  </w:r>
                </w:p>
              </w:tc>
              <w:tc>
                <w:tcPr>
                  <w:tcW w:w="788" w:type="pct"/>
                  <w:noWrap w:val="0"/>
                  <w:vAlign w:val="center"/>
                </w:tcPr>
                <w:p w14:paraId="5B57B5FF">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50</w:t>
                  </w:r>
                </w:p>
              </w:tc>
              <w:tc>
                <w:tcPr>
                  <w:tcW w:w="619" w:type="pct"/>
                  <w:noWrap w:val="0"/>
                  <w:vAlign w:val="center"/>
                </w:tcPr>
                <w:p w14:paraId="6273C60C">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50</w:t>
                  </w:r>
                </w:p>
              </w:tc>
              <w:tc>
                <w:tcPr>
                  <w:tcW w:w="559" w:type="pct"/>
                  <w:noWrap w:val="0"/>
                  <w:vAlign w:val="center"/>
                </w:tcPr>
                <w:p w14:paraId="27FB81DC">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818" w:type="pct"/>
                  <w:noWrap w:val="0"/>
                  <w:vAlign w:val="center"/>
                </w:tcPr>
                <w:p w14:paraId="2AA98701">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461" w:type="pct"/>
                  <w:noWrap w:val="0"/>
                  <w:vAlign w:val="center"/>
                </w:tcPr>
                <w:p w14:paraId="76B12B3D">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25</w:t>
                  </w:r>
                </w:p>
              </w:tc>
            </w:tr>
            <w:tr w14:paraId="24F6D9E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noWrap w:val="0"/>
                  <w:vAlign w:val="center"/>
                </w:tcPr>
                <w:p w14:paraId="7AC70BA5">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position w:val="2"/>
                      <w:sz w:val="21"/>
                      <w:szCs w:val="21"/>
                      <w:vertAlign w:val="baseline"/>
                      <w:lang w:val="en-US" w:eastAsia="zh-CN" w:bidi="ar-SA"/>
                    </w:rPr>
                    <w:t>BOD</w:t>
                  </w:r>
                  <w:r>
                    <w:rPr>
                      <w:rFonts w:hint="default" w:ascii="Times New Roman" w:hAnsi="Times New Roman" w:eastAsia="宋体" w:cs="Times New Roman"/>
                      <w:color w:val="auto"/>
                      <w:kern w:val="0"/>
                      <w:position w:val="2"/>
                      <w:sz w:val="21"/>
                      <w:szCs w:val="21"/>
                      <w:vertAlign w:val="subscript"/>
                      <w:lang w:val="en-US" w:eastAsia="zh-CN" w:bidi="ar-SA"/>
                    </w:rPr>
                    <w:t>5</w:t>
                  </w:r>
                </w:p>
              </w:tc>
              <w:tc>
                <w:tcPr>
                  <w:tcW w:w="1113" w:type="pct"/>
                  <w:noWrap w:val="0"/>
                  <w:vAlign w:val="center"/>
                </w:tcPr>
                <w:p w14:paraId="3E9F80B4">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788" w:type="pct"/>
                  <w:noWrap w:val="0"/>
                  <w:vAlign w:val="center"/>
                </w:tcPr>
                <w:p w14:paraId="058B3A6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619" w:type="pct"/>
                  <w:noWrap w:val="0"/>
                  <w:vAlign w:val="center"/>
                </w:tcPr>
                <w:p w14:paraId="2EE0DCEB">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559" w:type="pct"/>
                  <w:noWrap w:val="0"/>
                  <w:vAlign w:val="center"/>
                </w:tcPr>
                <w:p w14:paraId="153258D3">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818" w:type="pct"/>
                  <w:noWrap w:val="0"/>
                  <w:vAlign w:val="center"/>
                </w:tcPr>
                <w:p w14:paraId="64F4FD26">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461" w:type="pct"/>
                  <w:noWrap w:val="0"/>
                  <w:vAlign w:val="center"/>
                </w:tcPr>
                <w:p w14:paraId="12764012">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r>
            <w:tr w14:paraId="652DED0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noWrap w:val="0"/>
                  <w:vAlign w:val="center"/>
                </w:tcPr>
                <w:p w14:paraId="3F81B8D3">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SS</w:t>
                  </w:r>
                </w:p>
              </w:tc>
              <w:tc>
                <w:tcPr>
                  <w:tcW w:w="1113" w:type="pct"/>
                  <w:noWrap w:val="0"/>
                  <w:vAlign w:val="center"/>
                </w:tcPr>
                <w:p w14:paraId="11A4444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788" w:type="pct"/>
                  <w:noWrap w:val="0"/>
                  <w:vAlign w:val="center"/>
                </w:tcPr>
                <w:p w14:paraId="00ECC01E">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619" w:type="pct"/>
                  <w:noWrap w:val="0"/>
                  <w:vAlign w:val="center"/>
                </w:tcPr>
                <w:p w14:paraId="527CDC57">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559" w:type="pct"/>
                  <w:noWrap w:val="0"/>
                  <w:vAlign w:val="center"/>
                </w:tcPr>
                <w:p w14:paraId="7C4AF1C6">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818" w:type="pct"/>
                  <w:noWrap w:val="0"/>
                  <w:vAlign w:val="center"/>
                </w:tcPr>
                <w:p w14:paraId="52C8A23A">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461" w:type="pct"/>
                  <w:noWrap w:val="0"/>
                  <w:vAlign w:val="center"/>
                </w:tcPr>
                <w:p w14:paraId="6D1A4CD7">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r>
            <w:tr w14:paraId="08D4D23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noWrap w:val="0"/>
                  <w:vAlign w:val="center"/>
                </w:tcPr>
                <w:p w14:paraId="5C9FAC63">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N</w:t>
                  </w:r>
                  <w:r>
                    <w:rPr>
                      <w:rFonts w:hint="default" w:ascii="Times New Roman" w:hAnsi="Times New Roman" w:eastAsia="宋体" w:cs="Times New Roman"/>
                      <w:color w:val="auto"/>
                      <w:kern w:val="0"/>
                      <w:sz w:val="21"/>
                      <w:szCs w:val="21"/>
                      <w:vertAlign w:val="baseline"/>
                      <w:lang w:val="en-US" w:eastAsia="zh-CN" w:bidi="ar-SA"/>
                    </w:rPr>
                    <w:t>H</w:t>
                  </w:r>
                  <w:r>
                    <w:rPr>
                      <w:rFonts w:hint="default" w:ascii="Times New Roman" w:hAnsi="Times New Roman" w:eastAsia="宋体" w:cs="Times New Roman"/>
                      <w:color w:val="auto"/>
                      <w:kern w:val="0"/>
                      <w:sz w:val="21"/>
                      <w:szCs w:val="21"/>
                      <w:vertAlign w:val="subscript"/>
                      <w:lang w:val="en-US" w:eastAsia="zh-CN" w:bidi="ar-SA"/>
                    </w:rPr>
                    <w:t>3</w:t>
                  </w:r>
                  <w:r>
                    <w:rPr>
                      <w:rFonts w:hint="default" w:ascii="Times New Roman" w:hAnsi="Times New Roman" w:eastAsia="宋体" w:cs="Times New Roman"/>
                      <w:color w:val="auto"/>
                      <w:kern w:val="0"/>
                      <w:sz w:val="21"/>
                      <w:szCs w:val="21"/>
                      <w:lang w:val="en-US" w:eastAsia="zh-CN" w:bidi="ar-SA"/>
                    </w:rPr>
                    <w:t>-N</w:t>
                  </w:r>
                  <w:r>
                    <w:rPr>
                      <w:rFonts w:hint="default" w:ascii="Times New Roman" w:hAnsi="Times New Roman" w:eastAsia="宋体" w:cs="Times New Roman"/>
                      <w:color w:val="auto"/>
                      <w:kern w:val="0"/>
                      <w:sz w:val="21"/>
                      <w:szCs w:val="21"/>
                      <w:lang w:val="en-US" w:eastAsia="en-US" w:bidi="ar-SA"/>
                    </w:rPr>
                    <w:t>（以N计）</w:t>
                  </w:r>
                </w:p>
              </w:tc>
              <w:tc>
                <w:tcPr>
                  <w:tcW w:w="1113" w:type="pct"/>
                  <w:noWrap w:val="0"/>
                  <w:vAlign w:val="center"/>
                </w:tcPr>
                <w:p w14:paraId="5416521D">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r>
                    <w:rPr>
                      <w:rFonts w:hint="eastAsia" w:cs="Times New Roman"/>
                      <w:color w:val="auto"/>
                      <w:kern w:val="0"/>
                      <w:sz w:val="21"/>
                      <w:szCs w:val="21"/>
                      <w:lang w:val="en-US" w:eastAsia="zh-CN" w:bidi="ar-SA"/>
                    </w:rPr>
                    <w:t>（</w:t>
                  </w:r>
                  <w:r>
                    <w:rPr>
                      <w:rFonts w:hint="default" w:ascii="Times New Roman" w:hAnsi="Times New Roman" w:eastAsia="宋体" w:cs="Times New Roman"/>
                      <w:color w:val="auto"/>
                      <w:kern w:val="0"/>
                      <w:sz w:val="21"/>
                      <w:szCs w:val="21"/>
                      <w:lang w:val="en-US" w:eastAsia="zh-CN" w:bidi="ar-SA"/>
                    </w:rPr>
                    <w:t>8</w:t>
                  </w:r>
                  <w:r>
                    <w:rPr>
                      <w:rFonts w:hint="eastAsia" w:cs="Times New Roman"/>
                      <w:color w:val="auto"/>
                      <w:kern w:val="0"/>
                      <w:sz w:val="21"/>
                      <w:szCs w:val="21"/>
                      <w:lang w:val="en-US" w:eastAsia="zh-CN" w:bidi="ar-SA"/>
                    </w:rPr>
                    <w:t>）</w:t>
                  </w:r>
                  <w:r>
                    <w:rPr>
                      <w:rFonts w:hint="default" w:ascii="Times New Roman" w:hAnsi="Times New Roman" w:eastAsia="宋体" w:cs="Times New Roman"/>
                      <w:color w:val="auto"/>
                      <w:kern w:val="0"/>
                      <w:sz w:val="21"/>
                      <w:szCs w:val="21"/>
                      <w:vertAlign w:val="superscript"/>
                      <w:lang w:val="en-US" w:eastAsia="en-US" w:bidi="ar-SA"/>
                    </w:rPr>
                    <w:fldChar w:fldCharType="begin"/>
                  </w:r>
                  <w:r>
                    <w:rPr>
                      <w:rFonts w:hint="default" w:ascii="Times New Roman" w:hAnsi="Times New Roman" w:eastAsia="宋体" w:cs="Times New Roman"/>
                      <w:color w:val="auto"/>
                      <w:kern w:val="0"/>
                      <w:sz w:val="21"/>
                      <w:szCs w:val="21"/>
                      <w:vertAlign w:val="superscript"/>
                      <w:lang w:val="en-US" w:eastAsia="zh-CN" w:bidi="ar-SA"/>
                    </w:rPr>
                    <w:instrText xml:space="preserve"> = 1 \* GB3 </w:instrText>
                  </w:r>
                  <w:r>
                    <w:rPr>
                      <w:rFonts w:hint="default" w:ascii="Times New Roman" w:hAnsi="Times New Roman" w:eastAsia="宋体" w:cs="Times New Roman"/>
                      <w:color w:val="auto"/>
                      <w:kern w:val="0"/>
                      <w:sz w:val="21"/>
                      <w:szCs w:val="21"/>
                      <w:vertAlign w:val="superscript"/>
                      <w:lang w:val="en-US" w:eastAsia="en-US" w:bidi="ar-SA"/>
                    </w:rPr>
                    <w:fldChar w:fldCharType="separate"/>
                  </w:r>
                  <w:r>
                    <w:rPr>
                      <w:rFonts w:hint="default" w:ascii="Times New Roman" w:hAnsi="Times New Roman" w:eastAsia="宋体" w:cs="Times New Roman"/>
                      <w:color w:val="auto"/>
                      <w:kern w:val="0"/>
                      <w:sz w:val="21"/>
                      <w:szCs w:val="21"/>
                      <w:vertAlign w:val="superscript"/>
                      <w:lang w:val="en-US" w:eastAsia="zh-CN" w:bidi="ar-SA"/>
                    </w:rPr>
                    <w:t>①</w:t>
                  </w:r>
                  <w:r>
                    <w:rPr>
                      <w:rFonts w:hint="default" w:ascii="Times New Roman" w:hAnsi="Times New Roman" w:eastAsia="宋体" w:cs="Times New Roman"/>
                      <w:color w:val="auto"/>
                      <w:kern w:val="0"/>
                      <w:sz w:val="21"/>
                      <w:szCs w:val="21"/>
                      <w:vertAlign w:val="superscript"/>
                      <w:lang w:val="en-US" w:eastAsia="en-US" w:bidi="ar-SA"/>
                    </w:rPr>
                    <w:fldChar w:fldCharType="end"/>
                  </w:r>
                </w:p>
              </w:tc>
              <w:tc>
                <w:tcPr>
                  <w:tcW w:w="788" w:type="pct"/>
                  <w:noWrap w:val="0"/>
                  <w:vAlign w:val="center"/>
                </w:tcPr>
                <w:p w14:paraId="14CF890D">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r>
                    <w:rPr>
                      <w:rFonts w:hint="default" w:ascii="Times New Roman" w:hAnsi="Times New Roman" w:eastAsia="宋体" w:cs="Times New Roman"/>
                      <w:color w:val="auto"/>
                      <w:kern w:val="0"/>
                      <w:sz w:val="21"/>
                      <w:szCs w:val="21"/>
                      <w:vertAlign w:val="superscript"/>
                      <w:lang w:val="en-US" w:eastAsia="zh-CN" w:bidi="ar-SA"/>
                    </w:rPr>
                    <w:fldChar w:fldCharType="begin"/>
                  </w:r>
                  <w:r>
                    <w:rPr>
                      <w:rFonts w:hint="default" w:ascii="Times New Roman" w:hAnsi="Times New Roman" w:eastAsia="宋体" w:cs="Times New Roman"/>
                      <w:color w:val="auto"/>
                      <w:kern w:val="0"/>
                      <w:sz w:val="21"/>
                      <w:szCs w:val="21"/>
                      <w:vertAlign w:val="superscript"/>
                      <w:lang w:val="en-US" w:eastAsia="zh-CN" w:bidi="ar-SA"/>
                    </w:rPr>
                    <w:instrText xml:space="preserve"> = 2 \* GB3 </w:instrText>
                  </w:r>
                  <w:r>
                    <w:rPr>
                      <w:rFonts w:hint="default" w:ascii="Times New Roman" w:hAnsi="Times New Roman" w:eastAsia="宋体" w:cs="Times New Roman"/>
                      <w:color w:val="auto"/>
                      <w:kern w:val="0"/>
                      <w:sz w:val="21"/>
                      <w:szCs w:val="21"/>
                      <w:vertAlign w:val="superscript"/>
                      <w:lang w:val="en-US" w:eastAsia="zh-CN" w:bidi="ar-SA"/>
                    </w:rPr>
                    <w:fldChar w:fldCharType="separate"/>
                  </w:r>
                  <w:r>
                    <w:rPr>
                      <w:rFonts w:hint="default" w:ascii="Times New Roman" w:hAnsi="Times New Roman" w:eastAsia="宋体" w:cs="Times New Roman"/>
                      <w:color w:val="auto"/>
                      <w:kern w:val="0"/>
                      <w:sz w:val="21"/>
                      <w:szCs w:val="21"/>
                      <w:vertAlign w:val="superscript"/>
                      <w:lang w:val="en-US" w:eastAsia="zh-CN" w:bidi="ar-SA"/>
                    </w:rPr>
                    <w:t>②</w:t>
                  </w:r>
                  <w:r>
                    <w:rPr>
                      <w:rFonts w:hint="default" w:ascii="Times New Roman" w:hAnsi="Times New Roman" w:eastAsia="宋体" w:cs="Times New Roman"/>
                      <w:color w:val="auto"/>
                      <w:kern w:val="0"/>
                      <w:sz w:val="21"/>
                      <w:szCs w:val="21"/>
                      <w:vertAlign w:val="superscript"/>
                      <w:lang w:val="en-US" w:eastAsia="zh-CN" w:bidi="ar-SA"/>
                    </w:rPr>
                    <w:fldChar w:fldCharType="end"/>
                  </w:r>
                </w:p>
              </w:tc>
              <w:tc>
                <w:tcPr>
                  <w:tcW w:w="619" w:type="pct"/>
                  <w:noWrap w:val="0"/>
                  <w:vAlign w:val="center"/>
                </w:tcPr>
                <w:p w14:paraId="4D401DFF">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c>
                <w:tcPr>
                  <w:tcW w:w="559" w:type="pct"/>
                  <w:noWrap w:val="0"/>
                  <w:vAlign w:val="center"/>
                </w:tcPr>
                <w:p w14:paraId="14CCA49F">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c>
                <w:tcPr>
                  <w:tcW w:w="818" w:type="pct"/>
                  <w:noWrap w:val="0"/>
                  <w:vAlign w:val="center"/>
                </w:tcPr>
                <w:p w14:paraId="25708BF2">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8</w:t>
                  </w:r>
                </w:p>
              </w:tc>
              <w:tc>
                <w:tcPr>
                  <w:tcW w:w="461" w:type="pct"/>
                  <w:noWrap w:val="0"/>
                  <w:vAlign w:val="center"/>
                </w:tcPr>
                <w:p w14:paraId="1C98EDD9">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3</w:t>
                  </w:r>
                </w:p>
              </w:tc>
            </w:tr>
            <w:tr w14:paraId="4E3B6C4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noWrap w:val="0"/>
                  <w:vAlign w:val="center"/>
                </w:tcPr>
                <w:p w14:paraId="52100C59">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TN</w:t>
                  </w:r>
                </w:p>
              </w:tc>
              <w:tc>
                <w:tcPr>
                  <w:tcW w:w="1113" w:type="pct"/>
                  <w:noWrap w:val="0"/>
                  <w:vAlign w:val="center"/>
                </w:tcPr>
                <w:p w14:paraId="34447909">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w:t>
                  </w:r>
                </w:p>
              </w:tc>
              <w:tc>
                <w:tcPr>
                  <w:tcW w:w="788" w:type="pct"/>
                  <w:noWrap w:val="0"/>
                  <w:vAlign w:val="center"/>
                </w:tcPr>
                <w:p w14:paraId="4DD4BA40">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w:t>
                  </w:r>
                </w:p>
              </w:tc>
              <w:tc>
                <w:tcPr>
                  <w:tcW w:w="619" w:type="pct"/>
                  <w:noWrap w:val="0"/>
                  <w:vAlign w:val="center"/>
                </w:tcPr>
                <w:p w14:paraId="44AF78F5">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w:t>
                  </w:r>
                </w:p>
              </w:tc>
              <w:tc>
                <w:tcPr>
                  <w:tcW w:w="559" w:type="pct"/>
                  <w:noWrap w:val="0"/>
                  <w:vAlign w:val="center"/>
                </w:tcPr>
                <w:p w14:paraId="29F73342">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818" w:type="pct"/>
                  <w:noWrap w:val="0"/>
                  <w:vAlign w:val="center"/>
                </w:tcPr>
                <w:p w14:paraId="25ED66A0">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461" w:type="pct"/>
                  <w:noWrap w:val="0"/>
                  <w:vAlign w:val="center"/>
                </w:tcPr>
                <w:p w14:paraId="01BEE1BB">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r>
            <w:tr w14:paraId="2D06789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noWrap w:val="0"/>
                  <w:vAlign w:val="center"/>
                </w:tcPr>
                <w:p w14:paraId="7C5E0813">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TP</w:t>
                  </w:r>
                </w:p>
              </w:tc>
              <w:tc>
                <w:tcPr>
                  <w:tcW w:w="1113" w:type="pct"/>
                  <w:noWrap w:val="0"/>
                  <w:vAlign w:val="center"/>
                </w:tcPr>
                <w:p w14:paraId="5D62253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0.5</w:t>
                  </w:r>
                </w:p>
              </w:tc>
              <w:tc>
                <w:tcPr>
                  <w:tcW w:w="788" w:type="pct"/>
                  <w:noWrap w:val="0"/>
                  <w:vAlign w:val="center"/>
                </w:tcPr>
                <w:p w14:paraId="3F6D50F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0.5</w:t>
                  </w:r>
                </w:p>
              </w:tc>
              <w:tc>
                <w:tcPr>
                  <w:tcW w:w="619" w:type="pct"/>
                  <w:noWrap w:val="0"/>
                  <w:vAlign w:val="center"/>
                </w:tcPr>
                <w:p w14:paraId="0B92809F">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0.5</w:t>
                  </w:r>
                </w:p>
              </w:tc>
              <w:tc>
                <w:tcPr>
                  <w:tcW w:w="559" w:type="pct"/>
                  <w:noWrap w:val="0"/>
                  <w:vAlign w:val="center"/>
                </w:tcPr>
                <w:p w14:paraId="5119D64C">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818" w:type="pct"/>
                  <w:noWrap w:val="0"/>
                  <w:vAlign w:val="center"/>
                </w:tcPr>
                <w:p w14:paraId="144B3A8A">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461" w:type="pct"/>
                  <w:noWrap w:val="0"/>
                  <w:vAlign w:val="center"/>
                </w:tcPr>
                <w:p w14:paraId="0D995F40">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0.25</w:t>
                  </w:r>
                </w:p>
              </w:tc>
            </w:tr>
            <w:tr w14:paraId="2CFC9DE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38" w:type="pct"/>
                  <w:noWrap w:val="0"/>
                  <w:vAlign w:val="center"/>
                </w:tcPr>
                <w:p w14:paraId="1BAC1456">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spacing w:val="7"/>
                      <w:kern w:val="0"/>
                      <w:sz w:val="21"/>
                      <w:szCs w:val="21"/>
                      <w:lang w:val="en-US" w:eastAsia="zh-CN" w:bidi="ar-SA"/>
                    </w:rPr>
                    <w:t>备注</w:t>
                  </w:r>
                </w:p>
              </w:tc>
              <w:tc>
                <w:tcPr>
                  <w:tcW w:w="4361" w:type="pct"/>
                  <w:gridSpan w:val="6"/>
                  <w:noWrap w:val="0"/>
                  <w:vAlign w:val="center"/>
                </w:tcPr>
                <w:p w14:paraId="4D112726">
                  <w:pPr>
                    <w:widowControl w:val="0"/>
                    <w:kinsoku w:val="0"/>
                    <w:overflowPunct w:val="0"/>
                    <w:spacing w:line="240" w:lineRule="auto"/>
                    <w:ind w:firstLine="0" w:firstLineChars="0"/>
                    <w:contextualSpacing/>
                    <w:jc w:val="both"/>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①括号外数值为水温＞12℃时的控制指标，括号内数值为水温＜12℃时的控制指标</w:t>
                  </w:r>
                </w:p>
                <w:p w14:paraId="4B5F1DDC">
                  <w:pPr>
                    <w:widowControl w:val="0"/>
                    <w:kinsoku w:val="0"/>
                    <w:overflowPunct w:val="0"/>
                    <w:spacing w:line="240" w:lineRule="auto"/>
                    <w:ind w:firstLine="0" w:firstLineChars="0"/>
                    <w:contextualSpacing/>
                    <w:jc w:val="both"/>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②用于间冷开式循环冷却水系统补充水，且换热器为铜合金材质时，氨氮指标应小于1</w:t>
                  </w:r>
                  <w:r>
                    <w:rPr>
                      <w:rFonts w:hint="eastAsia" w:cs="Times New Roman"/>
                      <w:color w:val="auto"/>
                      <w:kern w:val="0"/>
                      <w:sz w:val="21"/>
                      <w:szCs w:val="21"/>
                      <w:lang w:val="en-US" w:eastAsia="zh-CN" w:bidi="ar-SA"/>
                    </w:rPr>
                    <w:t>m</w:t>
                  </w:r>
                  <w:r>
                    <w:rPr>
                      <w:rFonts w:hint="default" w:ascii="Times New Roman" w:hAnsi="Times New Roman" w:eastAsia="宋体" w:cs="Times New Roman"/>
                      <w:color w:val="auto"/>
                      <w:kern w:val="0"/>
                      <w:sz w:val="21"/>
                      <w:szCs w:val="21"/>
                      <w:lang w:val="en-US" w:eastAsia="zh-CN" w:bidi="ar-SA"/>
                    </w:rPr>
                    <w:t>g/L。</w:t>
                  </w:r>
                </w:p>
              </w:tc>
            </w:tr>
          </w:tbl>
          <w:p w14:paraId="3EF82F0E">
            <w:pPr>
              <w:spacing w:line="360" w:lineRule="auto"/>
              <w:ind w:firstLine="0" w:firstLineChars="0"/>
              <w:jc w:val="center"/>
              <w:rPr>
                <w:rFonts w:hint="default" w:ascii="Times New Roman" w:hAnsi="Times New Roman" w:eastAsia="宋体" w:cs="Times New Roman"/>
                <w:b/>
                <w:bCs/>
                <w:color w:val="auto"/>
                <w:sz w:val="24"/>
                <w:szCs w:val="20"/>
              </w:rPr>
            </w:pPr>
            <w:r>
              <w:rPr>
                <w:rFonts w:hint="default" w:ascii="Times New Roman" w:hAnsi="Times New Roman" w:eastAsia="宋体" w:cs="Times New Roman"/>
                <w:b/>
                <w:bCs/>
                <w:color w:val="auto"/>
                <w:sz w:val="24"/>
                <w:szCs w:val="20"/>
              </w:rPr>
              <w:t>表</w:t>
            </w:r>
            <w:r>
              <w:rPr>
                <w:rFonts w:hint="default" w:ascii="Times New Roman" w:hAnsi="Times New Roman" w:eastAsia="宋体" w:cs="Times New Roman"/>
                <w:b/>
                <w:bCs/>
                <w:color w:val="auto"/>
                <w:sz w:val="24"/>
                <w:szCs w:val="20"/>
                <w:lang w:val="en-US" w:eastAsia="zh-CN"/>
              </w:rPr>
              <w:t>2-</w:t>
            </w:r>
            <w:r>
              <w:rPr>
                <w:rFonts w:hint="default" w:ascii="Times New Roman" w:hAnsi="Times New Roman" w:cs="Times New Roman"/>
                <w:b/>
                <w:bCs/>
                <w:color w:val="auto"/>
                <w:sz w:val="24"/>
                <w:szCs w:val="20"/>
                <w:lang w:val="en-US" w:eastAsia="zh-CN"/>
              </w:rPr>
              <w:t>9</w:t>
            </w:r>
            <w:r>
              <w:rPr>
                <w:rFonts w:hint="default" w:ascii="Times New Roman" w:hAnsi="Times New Roman" w:eastAsia="宋体" w:cs="Times New Roman"/>
                <w:b/>
                <w:bCs/>
                <w:color w:val="auto"/>
                <w:sz w:val="24"/>
                <w:szCs w:val="20"/>
              </w:rPr>
              <w:t xml:space="preserve"> 本项目污水处理效率一览表</w:t>
            </w:r>
          </w:p>
          <w:tbl>
            <w:tblPr>
              <w:tblStyle w:val="10"/>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2001"/>
              <w:gridCol w:w="988"/>
              <w:gridCol w:w="953"/>
              <w:gridCol w:w="953"/>
              <w:gridCol w:w="908"/>
              <w:gridCol w:w="1429"/>
              <w:gridCol w:w="908"/>
            </w:tblGrid>
            <w:tr w14:paraId="2986530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2" w:hRule="atLeast"/>
                <w:jc w:val="center"/>
              </w:trPr>
              <w:tc>
                <w:tcPr>
                  <w:tcW w:w="1229" w:type="pct"/>
                  <w:noWrap w:val="0"/>
                  <w:vAlign w:val="center"/>
                </w:tcPr>
                <w:p w14:paraId="2E05D661">
                  <w:pPr>
                    <w:spacing w:line="240" w:lineRule="auto"/>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项目</w:t>
                  </w:r>
                </w:p>
              </w:tc>
              <w:tc>
                <w:tcPr>
                  <w:tcW w:w="606" w:type="pct"/>
                  <w:shd w:val="clear" w:color="auto" w:fill="auto"/>
                  <w:noWrap w:val="0"/>
                  <w:vAlign w:val="center"/>
                </w:tcPr>
                <w:p w14:paraId="6EC59401">
                  <w:pPr>
                    <w:snapToGrid w:val="0"/>
                    <w:spacing w:line="240" w:lineRule="auto"/>
                    <w:ind w:firstLine="0" w:firstLineChars="0"/>
                    <w:jc w:val="center"/>
                    <w:rPr>
                      <w:rFonts w:hint="default" w:ascii="Times New Roman" w:hAnsi="Times New Roman" w:eastAsia="宋体" w:cs="Times New Roman"/>
                      <w:b/>
                      <w:bCs w:val="0"/>
                      <w:color w:val="auto"/>
                      <w:kern w:val="2"/>
                      <w:sz w:val="21"/>
                      <w:szCs w:val="21"/>
                      <w:lang w:val="en-US" w:eastAsia="zh-CN" w:bidi="ar-SA"/>
                    </w:rPr>
                  </w:pPr>
                  <w:r>
                    <w:rPr>
                      <w:rFonts w:hint="default" w:ascii="Times New Roman" w:hAnsi="Times New Roman" w:eastAsia="宋体" w:cs="Times New Roman"/>
                      <w:b/>
                      <w:bCs w:val="0"/>
                      <w:color w:val="auto"/>
                      <w:sz w:val="21"/>
                      <w:szCs w:val="21"/>
                    </w:rPr>
                    <w:t>CODcr</w:t>
                  </w:r>
                </w:p>
              </w:tc>
              <w:tc>
                <w:tcPr>
                  <w:tcW w:w="585" w:type="pct"/>
                  <w:shd w:val="clear" w:color="auto" w:fill="auto"/>
                  <w:noWrap w:val="0"/>
                  <w:vAlign w:val="center"/>
                </w:tcPr>
                <w:p w14:paraId="40A638AB">
                  <w:pPr>
                    <w:snapToGrid w:val="0"/>
                    <w:spacing w:line="240" w:lineRule="auto"/>
                    <w:ind w:firstLine="0" w:firstLineChars="0"/>
                    <w:jc w:val="center"/>
                    <w:rPr>
                      <w:rFonts w:hint="default" w:ascii="Times New Roman" w:hAnsi="Times New Roman" w:eastAsia="宋体" w:cs="Times New Roman"/>
                      <w:b/>
                      <w:bCs w:val="0"/>
                      <w:color w:val="auto"/>
                      <w:kern w:val="2"/>
                      <w:sz w:val="21"/>
                      <w:szCs w:val="21"/>
                      <w:lang w:val="en-US" w:eastAsia="zh-CN" w:bidi="ar-SA"/>
                    </w:rPr>
                  </w:pPr>
                  <w:r>
                    <w:rPr>
                      <w:rFonts w:hint="default" w:ascii="Times New Roman" w:hAnsi="Times New Roman" w:eastAsia="宋体" w:cs="Times New Roman"/>
                      <w:b/>
                      <w:bCs w:val="0"/>
                      <w:color w:val="auto"/>
                      <w:sz w:val="21"/>
                      <w:szCs w:val="21"/>
                      <w:vertAlign w:val="baseline"/>
                      <w:lang w:eastAsia="zh-CN"/>
                    </w:rPr>
                    <w:t>BOD</w:t>
                  </w:r>
                  <w:r>
                    <w:rPr>
                      <w:rFonts w:hint="default" w:ascii="Times New Roman" w:hAnsi="Times New Roman" w:eastAsia="宋体" w:cs="Times New Roman"/>
                      <w:b/>
                      <w:bCs w:val="0"/>
                      <w:color w:val="auto"/>
                      <w:sz w:val="21"/>
                      <w:szCs w:val="21"/>
                      <w:vertAlign w:val="subscript"/>
                      <w:lang w:eastAsia="zh-CN"/>
                    </w:rPr>
                    <w:t>5</w:t>
                  </w:r>
                </w:p>
              </w:tc>
              <w:tc>
                <w:tcPr>
                  <w:tcW w:w="585" w:type="pct"/>
                  <w:shd w:val="clear" w:color="auto" w:fill="auto"/>
                  <w:noWrap w:val="0"/>
                  <w:vAlign w:val="center"/>
                </w:tcPr>
                <w:p w14:paraId="4EB7710C">
                  <w:pPr>
                    <w:snapToGrid w:val="0"/>
                    <w:spacing w:line="240" w:lineRule="auto"/>
                    <w:ind w:firstLine="0" w:firstLineChars="0"/>
                    <w:jc w:val="center"/>
                    <w:rPr>
                      <w:rFonts w:hint="default" w:ascii="Times New Roman" w:hAnsi="Times New Roman" w:eastAsia="宋体" w:cs="Times New Roman"/>
                      <w:b/>
                      <w:bCs w:val="0"/>
                      <w:color w:val="auto"/>
                      <w:kern w:val="2"/>
                      <w:sz w:val="21"/>
                      <w:szCs w:val="21"/>
                      <w:lang w:val="en-US" w:eastAsia="zh-CN" w:bidi="ar-SA"/>
                    </w:rPr>
                  </w:pPr>
                  <w:r>
                    <w:rPr>
                      <w:rFonts w:hint="default" w:ascii="Times New Roman" w:hAnsi="Times New Roman" w:eastAsia="宋体" w:cs="Times New Roman"/>
                      <w:b/>
                      <w:bCs w:val="0"/>
                      <w:color w:val="auto"/>
                      <w:sz w:val="21"/>
                      <w:szCs w:val="21"/>
                    </w:rPr>
                    <w:t>SS</w:t>
                  </w:r>
                </w:p>
              </w:tc>
              <w:tc>
                <w:tcPr>
                  <w:tcW w:w="557" w:type="pct"/>
                  <w:shd w:val="clear" w:color="auto" w:fill="auto"/>
                  <w:noWrap w:val="0"/>
                  <w:vAlign w:val="center"/>
                </w:tcPr>
                <w:p w14:paraId="39E80734">
                  <w:pPr>
                    <w:snapToGrid w:val="0"/>
                    <w:spacing w:line="240" w:lineRule="auto"/>
                    <w:ind w:firstLine="0" w:firstLineChars="0"/>
                    <w:jc w:val="center"/>
                    <w:rPr>
                      <w:rFonts w:hint="default" w:ascii="Times New Roman" w:hAnsi="Times New Roman" w:eastAsia="宋体" w:cs="Times New Roman"/>
                      <w:b/>
                      <w:bCs w:val="0"/>
                      <w:color w:val="auto"/>
                      <w:kern w:val="2"/>
                      <w:sz w:val="21"/>
                      <w:szCs w:val="21"/>
                      <w:lang w:val="en-US" w:eastAsia="zh-CN" w:bidi="ar-SA"/>
                    </w:rPr>
                  </w:pPr>
                  <w:r>
                    <w:rPr>
                      <w:rFonts w:hint="default" w:ascii="Times New Roman" w:hAnsi="Times New Roman" w:eastAsia="宋体" w:cs="Times New Roman"/>
                      <w:b/>
                      <w:bCs w:val="0"/>
                      <w:color w:val="auto"/>
                      <w:sz w:val="21"/>
                      <w:szCs w:val="21"/>
                    </w:rPr>
                    <w:t>N</w:t>
                  </w:r>
                  <w:r>
                    <w:rPr>
                      <w:rFonts w:hint="default" w:ascii="Times New Roman" w:hAnsi="Times New Roman" w:eastAsia="宋体" w:cs="Times New Roman"/>
                      <w:b/>
                      <w:bCs w:val="0"/>
                      <w:color w:val="auto"/>
                      <w:sz w:val="21"/>
                      <w:szCs w:val="21"/>
                      <w:lang w:eastAsia="zh-CN"/>
                    </w:rPr>
                    <w:t>H</w:t>
                  </w:r>
                  <w:r>
                    <w:rPr>
                      <w:rFonts w:hint="default" w:ascii="Times New Roman" w:hAnsi="Times New Roman" w:eastAsia="宋体" w:cs="Times New Roman"/>
                      <w:b/>
                      <w:bCs w:val="0"/>
                      <w:color w:val="auto"/>
                      <w:sz w:val="21"/>
                      <w:szCs w:val="21"/>
                      <w:vertAlign w:val="subscript"/>
                    </w:rPr>
                    <w:t>4</w:t>
                  </w:r>
                  <w:r>
                    <w:rPr>
                      <w:rFonts w:hint="default" w:ascii="Times New Roman" w:hAnsi="Times New Roman" w:eastAsia="宋体" w:cs="Times New Roman"/>
                      <w:b/>
                      <w:bCs w:val="0"/>
                      <w:color w:val="auto"/>
                      <w:sz w:val="21"/>
                      <w:szCs w:val="21"/>
                      <w:vertAlign w:val="superscript"/>
                    </w:rPr>
                    <w:t>+</w:t>
                  </w:r>
                  <w:r>
                    <w:rPr>
                      <w:rFonts w:hint="default" w:ascii="Times New Roman" w:hAnsi="Times New Roman" w:eastAsia="宋体" w:cs="Times New Roman"/>
                      <w:b/>
                      <w:bCs w:val="0"/>
                      <w:color w:val="auto"/>
                      <w:sz w:val="21"/>
                      <w:szCs w:val="21"/>
                    </w:rPr>
                    <w:t>-N</w:t>
                  </w:r>
                </w:p>
              </w:tc>
              <w:tc>
                <w:tcPr>
                  <w:tcW w:w="877" w:type="pct"/>
                  <w:shd w:val="clear" w:color="auto" w:fill="auto"/>
                  <w:noWrap w:val="0"/>
                  <w:vAlign w:val="center"/>
                </w:tcPr>
                <w:p w14:paraId="2085CD03">
                  <w:pPr>
                    <w:snapToGrid w:val="0"/>
                    <w:spacing w:line="240" w:lineRule="auto"/>
                    <w:ind w:firstLine="0" w:firstLineChars="0"/>
                    <w:jc w:val="center"/>
                    <w:rPr>
                      <w:rFonts w:hint="default" w:ascii="Times New Roman" w:hAnsi="Times New Roman" w:eastAsia="宋体" w:cs="Times New Roman"/>
                      <w:b/>
                      <w:bCs w:val="0"/>
                      <w:color w:val="auto"/>
                      <w:kern w:val="2"/>
                      <w:sz w:val="21"/>
                      <w:szCs w:val="21"/>
                      <w:lang w:val="en-US" w:eastAsia="zh-CN" w:bidi="ar-SA"/>
                    </w:rPr>
                  </w:pPr>
                  <w:r>
                    <w:rPr>
                      <w:rFonts w:hint="default" w:ascii="Times New Roman" w:hAnsi="Times New Roman" w:eastAsia="宋体" w:cs="Times New Roman"/>
                      <w:b/>
                      <w:bCs w:val="0"/>
                      <w:color w:val="auto"/>
                      <w:sz w:val="21"/>
                      <w:szCs w:val="21"/>
                    </w:rPr>
                    <w:t>TN</w:t>
                  </w:r>
                </w:p>
              </w:tc>
              <w:tc>
                <w:tcPr>
                  <w:tcW w:w="557" w:type="pct"/>
                  <w:shd w:val="clear" w:color="auto" w:fill="auto"/>
                  <w:noWrap w:val="0"/>
                  <w:vAlign w:val="center"/>
                </w:tcPr>
                <w:p w14:paraId="059F9754">
                  <w:pPr>
                    <w:snapToGrid w:val="0"/>
                    <w:spacing w:line="240" w:lineRule="auto"/>
                    <w:ind w:firstLine="0" w:firstLineChars="0"/>
                    <w:jc w:val="center"/>
                    <w:rPr>
                      <w:rFonts w:hint="default" w:ascii="Times New Roman" w:hAnsi="Times New Roman" w:eastAsia="宋体" w:cs="Times New Roman"/>
                      <w:b/>
                      <w:bCs w:val="0"/>
                      <w:color w:val="auto"/>
                      <w:kern w:val="2"/>
                      <w:sz w:val="21"/>
                      <w:szCs w:val="21"/>
                      <w:lang w:val="en-US" w:eastAsia="zh-CN" w:bidi="ar-SA"/>
                    </w:rPr>
                  </w:pPr>
                  <w:r>
                    <w:rPr>
                      <w:rFonts w:hint="default" w:ascii="Times New Roman" w:hAnsi="Times New Roman" w:eastAsia="宋体" w:cs="Times New Roman"/>
                      <w:b/>
                      <w:bCs w:val="0"/>
                      <w:color w:val="auto"/>
                      <w:sz w:val="21"/>
                      <w:szCs w:val="21"/>
                    </w:rPr>
                    <w:t>TP</w:t>
                  </w:r>
                </w:p>
              </w:tc>
            </w:tr>
            <w:tr w14:paraId="2CB294F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25" w:hRule="atLeast"/>
                <w:jc w:val="center"/>
              </w:trPr>
              <w:tc>
                <w:tcPr>
                  <w:tcW w:w="1229" w:type="pct"/>
                  <w:noWrap w:val="0"/>
                  <w:vAlign w:val="center"/>
                </w:tcPr>
                <w:p w14:paraId="5AF3CAC7">
                  <w:pPr>
                    <w:spacing w:line="240" w:lineRule="auto"/>
                    <w:ind w:firstLine="0" w:firstLineChars="0"/>
                    <w:jc w:val="center"/>
                    <w:rPr>
                      <w:rFonts w:hint="eastAsia" w:ascii="Times New Roman" w:hAnsi="Times New Roman" w:eastAsia="宋体" w:cs="Times New Roman"/>
                      <w:b/>
                      <w:bCs w:val="0"/>
                      <w:color w:val="auto"/>
                      <w:sz w:val="21"/>
                      <w:szCs w:val="21"/>
                      <w:lang w:eastAsia="zh-CN"/>
                    </w:rPr>
                  </w:pPr>
                  <w:r>
                    <w:rPr>
                      <w:rFonts w:hint="default" w:ascii="Times New Roman" w:hAnsi="Times New Roman" w:eastAsia="宋体" w:cs="Times New Roman"/>
                      <w:b/>
                      <w:bCs w:val="0"/>
                      <w:color w:val="auto"/>
                      <w:sz w:val="21"/>
                      <w:szCs w:val="21"/>
                    </w:rPr>
                    <w:t>进厂水质</w:t>
                  </w:r>
                  <w:r>
                    <w:rPr>
                      <w:rFonts w:hint="eastAsia" w:cs="Times New Roman"/>
                      <w:b/>
                      <w:bCs w:val="0"/>
                      <w:color w:val="auto"/>
                      <w:sz w:val="21"/>
                      <w:szCs w:val="21"/>
                      <w:lang w:eastAsia="zh-CN"/>
                    </w:rPr>
                    <w:t>（m</w:t>
                  </w:r>
                  <w:r>
                    <w:rPr>
                      <w:rFonts w:hint="default" w:ascii="Times New Roman" w:hAnsi="Times New Roman" w:eastAsia="宋体" w:cs="Times New Roman"/>
                      <w:b/>
                      <w:bCs w:val="0"/>
                      <w:color w:val="auto"/>
                      <w:sz w:val="21"/>
                      <w:szCs w:val="21"/>
                    </w:rPr>
                    <w:t>g/L</w:t>
                  </w:r>
                  <w:r>
                    <w:rPr>
                      <w:rFonts w:hint="eastAsia" w:cs="Times New Roman"/>
                      <w:b/>
                      <w:bCs w:val="0"/>
                      <w:color w:val="auto"/>
                      <w:sz w:val="21"/>
                      <w:szCs w:val="21"/>
                      <w:lang w:eastAsia="zh-CN"/>
                    </w:rPr>
                    <w:t>）</w:t>
                  </w:r>
                </w:p>
              </w:tc>
              <w:tc>
                <w:tcPr>
                  <w:tcW w:w="606" w:type="pct"/>
                  <w:shd w:val="clear" w:color="auto" w:fill="auto"/>
                  <w:noWrap w:val="0"/>
                  <w:vAlign w:val="center"/>
                </w:tcPr>
                <w:p w14:paraId="7AED3C04">
                  <w:pPr>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35</w:t>
                  </w:r>
                  <w:r>
                    <w:rPr>
                      <w:rFonts w:hint="default" w:ascii="Times New Roman" w:hAnsi="Times New Roman" w:eastAsia="宋体" w:cs="Times New Roman"/>
                      <w:color w:val="auto"/>
                      <w:sz w:val="21"/>
                      <w:szCs w:val="21"/>
                    </w:rPr>
                    <w:t>0</w:t>
                  </w:r>
                </w:p>
              </w:tc>
              <w:tc>
                <w:tcPr>
                  <w:tcW w:w="585" w:type="pct"/>
                  <w:shd w:val="clear" w:color="auto" w:fill="auto"/>
                  <w:noWrap w:val="0"/>
                  <w:vAlign w:val="center"/>
                </w:tcPr>
                <w:p w14:paraId="40AB6D37">
                  <w:pPr>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00</w:t>
                  </w:r>
                </w:p>
              </w:tc>
              <w:tc>
                <w:tcPr>
                  <w:tcW w:w="585" w:type="pct"/>
                  <w:shd w:val="clear" w:color="auto" w:fill="auto"/>
                  <w:noWrap w:val="0"/>
                  <w:vAlign w:val="center"/>
                </w:tcPr>
                <w:p w14:paraId="32D4FEFE">
                  <w:pPr>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180</w:t>
                  </w:r>
                </w:p>
              </w:tc>
              <w:tc>
                <w:tcPr>
                  <w:tcW w:w="557" w:type="pct"/>
                  <w:shd w:val="clear" w:color="auto" w:fill="auto"/>
                  <w:noWrap w:val="0"/>
                  <w:vAlign w:val="center"/>
                </w:tcPr>
                <w:p w14:paraId="2A3682CD">
                  <w:pPr>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60</w:t>
                  </w:r>
                </w:p>
              </w:tc>
              <w:tc>
                <w:tcPr>
                  <w:tcW w:w="877" w:type="pct"/>
                  <w:shd w:val="clear" w:color="auto" w:fill="auto"/>
                  <w:noWrap w:val="0"/>
                  <w:vAlign w:val="center"/>
                </w:tcPr>
                <w:p w14:paraId="28676C62">
                  <w:pPr>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80</w:t>
                  </w:r>
                </w:p>
              </w:tc>
              <w:tc>
                <w:tcPr>
                  <w:tcW w:w="557" w:type="pct"/>
                  <w:shd w:val="clear" w:color="auto" w:fill="auto"/>
                  <w:noWrap w:val="0"/>
                  <w:vAlign w:val="center"/>
                </w:tcPr>
                <w:p w14:paraId="4EAFCF6C">
                  <w:pPr>
                    <w:snapToGrid w:val="0"/>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9.5</w:t>
                  </w:r>
                </w:p>
              </w:tc>
            </w:tr>
            <w:tr w14:paraId="32ABB27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76" w:hRule="atLeast"/>
                <w:jc w:val="center"/>
              </w:trPr>
              <w:tc>
                <w:tcPr>
                  <w:tcW w:w="1229" w:type="pct"/>
                  <w:noWrap w:val="0"/>
                  <w:vAlign w:val="center"/>
                </w:tcPr>
                <w:p w14:paraId="2DA46E19">
                  <w:pPr>
                    <w:spacing w:line="240" w:lineRule="auto"/>
                    <w:ind w:firstLine="0" w:firstLineChars="0"/>
                    <w:jc w:val="center"/>
                    <w:rPr>
                      <w:rFonts w:hint="eastAsia" w:ascii="Times New Roman" w:hAnsi="Times New Roman" w:eastAsia="宋体" w:cs="Times New Roman"/>
                      <w:b/>
                      <w:bCs w:val="0"/>
                      <w:color w:val="auto"/>
                      <w:sz w:val="21"/>
                      <w:szCs w:val="21"/>
                      <w:lang w:eastAsia="zh-CN"/>
                    </w:rPr>
                  </w:pPr>
                  <w:r>
                    <w:rPr>
                      <w:rFonts w:hint="default" w:ascii="Times New Roman" w:hAnsi="Times New Roman" w:eastAsia="宋体" w:cs="Times New Roman"/>
                      <w:b/>
                      <w:bCs w:val="0"/>
                      <w:color w:val="auto"/>
                      <w:sz w:val="21"/>
                      <w:szCs w:val="21"/>
                    </w:rPr>
                    <w:t>出厂水质</w:t>
                  </w:r>
                  <w:r>
                    <w:rPr>
                      <w:rFonts w:hint="eastAsia" w:cs="Times New Roman"/>
                      <w:b/>
                      <w:bCs w:val="0"/>
                      <w:color w:val="auto"/>
                      <w:sz w:val="21"/>
                      <w:szCs w:val="21"/>
                      <w:lang w:eastAsia="zh-CN"/>
                    </w:rPr>
                    <w:t>（m</w:t>
                  </w:r>
                  <w:r>
                    <w:rPr>
                      <w:rFonts w:hint="default" w:ascii="Times New Roman" w:hAnsi="Times New Roman" w:eastAsia="宋体" w:cs="Times New Roman"/>
                      <w:b/>
                      <w:bCs w:val="0"/>
                      <w:color w:val="auto"/>
                      <w:sz w:val="21"/>
                      <w:szCs w:val="21"/>
                    </w:rPr>
                    <w:t>g/L</w:t>
                  </w:r>
                  <w:r>
                    <w:rPr>
                      <w:rFonts w:hint="eastAsia" w:cs="Times New Roman"/>
                      <w:b/>
                      <w:bCs w:val="0"/>
                      <w:color w:val="auto"/>
                      <w:sz w:val="21"/>
                      <w:szCs w:val="21"/>
                      <w:lang w:eastAsia="zh-CN"/>
                    </w:rPr>
                    <w:t>）</w:t>
                  </w:r>
                </w:p>
              </w:tc>
              <w:tc>
                <w:tcPr>
                  <w:tcW w:w="606" w:type="pct"/>
                  <w:noWrap w:val="0"/>
                  <w:vAlign w:val="center"/>
                </w:tcPr>
                <w:p w14:paraId="1F1536FF">
                  <w:pPr>
                    <w:spacing w:line="240" w:lineRule="auto"/>
                    <w:ind w:firstLine="0" w:firstLine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25</w:t>
                  </w:r>
                </w:p>
              </w:tc>
              <w:tc>
                <w:tcPr>
                  <w:tcW w:w="585" w:type="pct"/>
                  <w:noWrap w:val="0"/>
                  <w:vAlign w:val="center"/>
                </w:tcPr>
                <w:p w14:paraId="51D8B852">
                  <w:pPr>
                    <w:spacing w:line="240" w:lineRule="auto"/>
                    <w:ind w:firstLine="0" w:firstLine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10</w:t>
                  </w:r>
                </w:p>
              </w:tc>
              <w:tc>
                <w:tcPr>
                  <w:tcW w:w="585" w:type="pct"/>
                  <w:noWrap w:val="0"/>
                  <w:vAlign w:val="center"/>
                </w:tcPr>
                <w:p w14:paraId="1AFBDB7E">
                  <w:pPr>
                    <w:spacing w:line="240" w:lineRule="auto"/>
                    <w:ind w:firstLine="0" w:firstLine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10</w:t>
                  </w:r>
                </w:p>
              </w:tc>
              <w:tc>
                <w:tcPr>
                  <w:tcW w:w="557" w:type="pct"/>
                  <w:noWrap w:val="0"/>
                  <w:vAlign w:val="center"/>
                </w:tcPr>
                <w:p w14:paraId="343B6009">
                  <w:pPr>
                    <w:spacing w:line="240" w:lineRule="auto"/>
                    <w:ind w:firstLine="0" w:firstLine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w:t>
                  </w:r>
                </w:p>
              </w:tc>
              <w:tc>
                <w:tcPr>
                  <w:tcW w:w="877" w:type="pct"/>
                  <w:noWrap w:val="0"/>
                  <w:vAlign w:val="center"/>
                </w:tcPr>
                <w:p w14:paraId="3F65BCA6">
                  <w:pPr>
                    <w:spacing w:line="240" w:lineRule="auto"/>
                    <w:ind w:firstLine="0" w:firstLine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10</w:t>
                  </w:r>
                </w:p>
              </w:tc>
              <w:tc>
                <w:tcPr>
                  <w:tcW w:w="557" w:type="pct"/>
                  <w:noWrap w:val="0"/>
                  <w:vAlign w:val="center"/>
                </w:tcPr>
                <w:p w14:paraId="73EACD06">
                  <w:pPr>
                    <w:spacing w:line="240" w:lineRule="auto"/>
                    <w:ind w:firstLine="0" w:firstLineChars="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0.25</w:t>
                  </w:r>
                </w:p>
              </w:tc>
            </w:tr>
            <w:tr w14:paraId="6288118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76" w:hRule="atLeast"/>
                <w:jc w:val="center"/>
              </w:trPr>
              <w:tc>
                <w:tcPr>
                  <w:tcW w:w="1229" w:type="pct"/>
                  <w:noWrap w:val="0"/>
                  <w:vAlign w:val="center"/>
                </w:tcPr>
                <w:p w14:paraId="0A218A83">
                  <w:pPr>
                    <w:spacing w:line="240" w:lineRule="auto"/>
                    <w:ind w:firstLine="0" w:firstLineChars="0"/>
                    <w:jc w:val="center"/>
                    <w:rPr>
                      <w:rFonts w:hint="eastAsia" w:ascii="Times New Roman" w:hAnsi="Times New Roman" w:eastAsia="宋体" w:cs="Times New Roman"/>
                      <w:b/>
                      <w:bCs w:val="0"/>
                      <w:color w:val="auto"/>
                      <w:sz w:val="21"/>
                      <w:szCs w:val="21"/>
                      <w:lang w:eastAsia="zh-CN"/>
                    </w:rPr>
                  </w:pPr>
                  <w:r>
                    <w:rPr>
                      <w:rFonts w:hint="default" w:ascii="Times New Roman" w:hAnsi="Times New Roman" w:eastAsia="宋体" w:cs="Times New Roman"/>
                      <w:b/>
                      <w:bCs w:val="0"/>
                      <w:color w:val="auto"/>
                      <w:sz w:val="21"/>
                      <w:szCs w:val="21"/>
                    </w:rPr>
                    <w:t>污染物总去除率</w:t>
                  </w:r>
                  <w:r>
                    <w:rPr>
                      <w:rFonts w:hint="eastAsia" w:cs="Times New Roman"/>
                      <w:b/>
                      <w:bCs w:val="0"/>
                      <w:color w:val="auto"/>
                      <w:sz w:val="21"/>
                      <w:szCs w:val="21"/>
                      <w:lang w:eastAsia="zh-CN"/>
                    </w:rPr>
                    <w:t>（</w:t>
                  </w:r>
                  <w:r>
                    <w:rPr>
                      <w:rFonts w:hint="eastAsia" w:cs="Times New Roman"/>
                      <w:b/>
                      <w:bCs w:val="0"/>
                      <w:color w:val="auto"/>
                      <w:sz w:val="21"/>
                      <w:szCs w:val="21"/>
                      <w:lang w:val="en-US" w:eastAsia="zh-CN"/>
                    </w:rPr>
                    <w:t>%</w:t>
                  </w:r>
                  <w:r>
                    <w:rPr>
                      <w:rFonts w:hint="eastAsia" w:cs="Times New Roman"/>
                      <w:b/>
                      <w:bCs w:val="0"/>
                      <w:color w:val="auto"/>
                      <w:sz w:val="21"/>
                      <w:szCs w:val="21"/>
                      <w:lang w:eastAsia="zh-CN"/>
                    </w:rPr>
                    <w:t>）</w:t>
                  </w:r>
                </w:p>
              </w:tc>
              <w:tc>
                <w:tcPr>
                  <w:tcW w:w="988" w:type="dxa"/>
                  <w:noWrap w:val="0"/>
                  <w:vAlign w:val="center"/>
                </w:tcPr>
                <w:p w14:paraId="3A0A6300">
                  <w:pPr>
                    <w:keepNext w:val="0"/>
                    <w:keepLines w:val="0"/>
                    <w:widowControl/>
                    <w:suppressLineNumbers w:val="0"/>
                    <w:jc w:val="center"/>
                    <w:textAlignment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92.9</w:t>
                  </w:r>
                </w:p>
              </w:tc>
              <w:tc>
                <w:tcPr>
                  <w:tcW w:w="953" w:type="dxa"/>
                  <w:noWrap w:val="0"/>
                  <w:vAlign w:val="center"/>
                </w:tcPr>
                <w:p w14:paraId="34253EB9">
                  <w:pPr>
                    <w:keepNext w:val="0"/>
                    <w:keepLines w:val="0"/>
                    <w:widowControl/>
                    <w:suppressLineNumbers w:val="0"/>
                    <w:jc w:val="center"/>
                    <w:textAlignment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95.0</w:t>
                  </w:r>
                </w:p>
              </w:tc>
              <w:tc>
                <w:tcPr>
                  <w:tcW w:w="953" w:type="dxa"/>
                  <w:noWrap w:val="0"/>
                  <w:vAlign w:val="center"/>
                </w:tcPr>
                <w:p w14:paraId="1BB86A83">
                  <w:pPr>
                    <w:keepNext w:val="0"/>
                    <w:keepLines w:val="0"/>
                    <w:widowControl/>
                    <w:suppressLineNumbers w:val="0"/>
                    <w:jc w:val="center"/>
                    <w:textAlignment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94.4</w:t>
                  </w:r>
                </w:p>
              </w:tc>
              <w:tc>
                <w:tcPr>
                  <w:tcW w:w="908" w:type="dxa"/>
                  <w:noWrap w:val="0"/>
                  <w:vAlign w:val="center"/>
                </w:tcPr>
                <w:p w14:paraId="11D2AFDE">
                  <w:pPr>
                    <w:keepNext w:val="0"/>
                    <w:keepLines w:val="0"/>
                    <w:widowControl/>
                    <w:suppressLineNumbers w:val="0"/>
                    <w:jc w:val="center"/>
                    <w:textAlignment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95.0</w:t>
                  </w:r>
                </w:p>
              </w:tc>
              <w:tc>
                <w:tcPr>
                  <w:tcW w:w="1429" w:type="dxa"/>
                  <w:noWrap w:val="0"/>
                  <w:vAlign w:val="center"/>
                </w:tcPr>
                <w:p w14:paraId="5D9FE356">
                  <w:pPr>
                    <w:keepNext w:val="0"/>
                    <w:keepLines w:val="0"/>
                    <w:widowControl/>
                    <w:suppressLineNumbers w:val="0"/>
                    <w:jc w:val="center"/>
                    <w:textAlignment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87.5</w:t>
                  </w:r>
                </w:p>
              </w:tc>
              <w:tc>
                <w:tcPr>
                  <w:tcW w:w="908" w:type="dxa"/>
                  <w:noWrap w:val="0"/>
                  <w:vAlign w:val="center"/>
                </w:tcPr>
                <w:p w14:paraId="39B880C5">
                  <w:pPr>
                    <w:keepNext w:val="0"/>
                    <w:keepLines w:val="0"/>
                    <w:widowControl/>
                    <w:suppressLineNumbers w:val="0"/>
                    <w:jc w:val="center"/>
                    <w:textAlignment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97.4</w:t>
                  </w:r>
                </w:p>
              </w:tc>
            </w:tr>
          </w:tbl>
          <w:p w14:paraId="39EE0FE0">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jc w:val="left"/>
              <w:textAlignment w:val="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7.劳动定员及生产制度</w:t>
            </w:r>
          </w:p>
          <w:p w14:paraId="7F5966EC">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本项目不新增劳动定员</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年工作天数为</w:t>
            </w:r>
            <w:r>
              <w:rPr>
                <w:rFonts w:hint="default" w:ascii="Times New Roman" w:hAnsi="Times New Roman" w:eastAsia="宋体" w:cs="Times New Roman"/>
                <w:bCs/>
                <w:color w:val="auto"/>
                <w:sz w:val="24"/>
                <w:highlight w:val="none"/>
                <w:lang w:val="en-US" w:eastAsia="zh-CN"/>
              </w:rPr>
              <w:t>365</w:t>
            </w:r>
            <w:r>
              <w:rPr>
                <w:rFonts w:hint="default" w:ascii="Times New Roman" w:hAnsi="Times New Roman" w:eastAsia="宋体" w:cs="Times New Roman"/>
                <w:bCs/>
                <w:color w:val="auto"/>
                <w:sz w:val="24"/>
                <w:highlight w:val="none"/>
              </w:rPr>
              <w:t>天</w:t>
            </w:r>
            <w:r>
              <w:rPr>
                <w:rFonts w:hint="eastAsia" w:cs="Times New Roman"/>
                <w:bCs/>
                <w:color w:val="auto"/>
                <w:sz w:val="24"/>
                <w:highlight w:val="none"/>
                <w:lang w:eastAsia="zh-CN"/>
              </w:rPr>
              <w:t>；</w:t>
            </w:r>
            <w:r>
              <w:rPr>
                <w:rFonts w:hint="default" w:ascii="Times New Roman" w:hAnsi="Times New Roman" w:eastAsia="宋体" w:cs="Times New Roman"/>
                <w:bCs/>
                <w:color w:val="auto"/>
                <w:sz w:val="24"/>
                <w:highlight w:val="none"/>
                <w:lang w:val="en-US" w:eastAsia="zh-CN"/>
              </w:rPr>
              <w:t>为三班制，每班</w:t>
            </w:r>
            <w:r>
              <w:rPr>
                <w:rFonts w:hint="default" w:ascii="Times New Roman" w:hAnsi="Times New Roman" w:eastAsia="宋体" w:cs="Times New Roman"/>
                <w:bCs/>
                <w:color w:val="auto"/>
                <w:sz w:val="24"/>
                <w:highlight w:val="none"/>
              </w:rPr>
              <w:t>工作8小时。</w:t>
            </w:r>
          </w:p>
          <w:p w14:paraId="27A249B4">
            <w:pPr>
              <w:adjustRightInd w:val="0"/>
              <w:snapToGrid w:val="0"/>
              <w:spacing w:line="360" w:lineRule="auto"/>
              <w:ind w:firstLine="482" w:firstLineChars="200"/>
              <w:jc w:val="lef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8.公用工程</w:t>
            </w:r>
          </w:p>
          <w:p w14:paraId="5D316D41">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（1）供水</w:t>
            </w:r>
          </w:p>
          <w:p w14:paraId="5368D1B3">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本项目</w:t>
            </w:r>
            <w:r>
              <w:rPr>
                <w:rFonts w:hint="eastAsia" w:cs="Times New Roman"/>
                <w:bCs/>
                <w:color w:val="auto"/>
                <w:sz w:val="24"/>
                <w:highlight w:val="none"/>
                <w:lang w:eastAsia="zh-CN"/>
              </w:rPr>
              <w:t>既没有</w:t>
            </w:r>
            <w:r>
              <w:rPr>
                <w:rFonts w:hint="default" w:ascii="Times New Roman" w:hAnsi="Times New Roman" w:eastAsia="宋体" w:cs="Times New Roman"/>
                <w:bCs/>
                <w:color w:val="auto"/>
                <w:sz w:val="24"/>
                <w:highlight w:val="none"/>
              </w:rPr>
              <w:t>新增劳动定员</w:t>
            </w:r>
            <w:r>
              <w:rPr>
                <w:rFonts w:hint="default" w:ascii="Times New Roman" w:hAnsi="Times New Roman" w:eastAsia="宋体" w:cs="Times New Roman"/>
                <w:bCs/>
                <w:color w:val="auto"/>
                <w:sz w:val="24"/>
                <w:highlight w:val="none"/>
                <w:lang w:eastAsia="zh-CN"/>
              </w:rPr>
              <w:t>，</w:t>
            </w:r>
            <w:r>
              <w:rPr>
                <w:rFonts w:hint="eastAsia" w:cs="Times New Roman"/>
                <w:bCs/>
                <w:color w:val="auto"/>
                <w:sz w:val="24"/>
                <w:highlight w:val="none"/>
                <w:lang w:val="en-US" w:eastAsia="zh-CN"/>
              </w:rPr>
              <w:t>也没有</w:t>
            </w:r>
            <w:r>
              <w:rPr>
                <w:rFonts w:hint="default" w:ascii="Times New Roman" w:hAnsi="Times New Roman" w:eastAsia="宋体" w:cs="Times New Roman"/>
                <w:bCs/>
                <w:color w:val="auto"/>
                <w:sz w:val="24"/>
                <w:highlight w:val="none"/>
                <w:lang w:val="en-US" w:eastAsia="zh-CN"/>
              </w:rPr>
              <w:t>新增生活用水。</w:t>
            </w:r>
            <w:r>
              <w:rPr>
                <w:rFonts w:hint="default" w:ascii="Times New Roman" w:hAnsi="Times New Roman" w:eastAsia="宋体" w:cs="Times New Roman"/>
                <w:color w:val="auto"/>
                <w:sz w:val="24"/>
                <w:highlight w:val="none"/>
                <w:lang w:val="en-US" w:eastAsia="zh-CN"/>
              </w:rPr>
              <w:t>一期改造工程新增生产用水</w:t>
            </w:r>
            <w:r>
              <w:rPr>
                <w:rFonts w:hint="default" w:ascii="Times New Roman" w:hAnsi="Times New Roman" w:eastAsia="宋体" w:cs="Times New Roman"/>
                <w:bCs/>
                <w:color w:val="auto"/>
                <w:sz w:val="24"/>
                <w:highlight w:val="none"/>
              </w:rPr>
              <w:t>主要是</w:t>
            </w:r>
            <w:r>
              <w:rPr>
                <w:rFonts w:hint="default" w:ascii="Times New Roman" w:hAnsi="Times New Roman" w:eastAsia="宋体" w:cs="Times New Roman"/>
                <w:bCs/>
                <w:color w:val="auto"/>
                <w:sz w:val="24"/>
                <w:highlight w:val="none"/>
                <w:lang w:val="en-US" w:eastAsia="zh-CN"/>
              </w:rPr>
              <w:t>溶药用水、深度脱氮反硝化滤池反冲洗用水</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lang w:val="en-US" w:eastAsia="zh-CN"/>
              </w:rPr>
              <w:t>为污水厂处理后的中水</w:t>
            </w:r>
            <w:r>
              <w:rPr>
                <w:rFonts w:hint="default" w:ascii="Times New Roman" w:hAnsi="Times New Roman" w:eastAsia="宋体" w:cs="Times New Roman"/>
                <w:bCs/>
                <w:color w:val="auto"/>
                <w:sz w:val="24"/>
                <w:highlight w:val="none"/>
              </w:rPr>
              <w:t>。</w:t>
            </w:r>
          </w:p>
          <w:p w14:paraId="7C5386CD">
            <w:pPr>
              <w:spacing w:line="360" w:lineRule="auto"/>
              <w:ind w:firstLine="480"/>
              <w:rPr>
                <w:rFonts w:hint="default" w:ascii="Times New Roman" w:hAnsi="Times New Roman" w:eastAsia="宋体" w:cs="Times New Roman"/>
                <w:color w:val="auto"/>
                <w:sz w:val="24"/>
                <w:highlight w:val="none"/>
                <w:lang w:val="en-US"/>
              </w:rPr>
            </w:pPr>
            <w:r>
              <w:rPr>
                <w:rFonts w:hint="default" w:ascii="Times New Roman" w:hAnsi="Times New Roman" w:eastAsia="宋体" w:cs="Times New Roman"/>
                <w:color w:val="auto"/>
                <w:sz w:val="24"/>
                <w:highlight w:val="none"/>
              </w:rPr>
              <w:t>根据药剂用量及</w:t>
            </w:r>
            <w:r>
              <w:rPr>
                <w:rFonts w:hint="eastAsia" w:cs="Times New Roman"/>
                <w:color w:val="auto"/>
                <w:sz w:val="24"/>
                <w:highlight w:val="none"/>
                <w:lang w:eastAsia="zh-CN"/>
              </w:rPr>
              <w:t>其</w:t>
            </w:r>
            <w:r>
              <w:rPr>
                <w:rFonts w:hint="default" w:ascii="Times New Roman" w:hAnsi="Times New Roman" w:eastAsia="宋体" w:cs="Times New Roman"/>
                <w:color w:val="auto"/>
                <w:sz w:val="24"/>
                <w:highlight w:val="none"/>
              </w:rPr>
              <w:t>对应的重溶百分比</w:t>
            </w:r>
            <w:r>
              <w:rPr>
                <w:rFonts w:hint="eastAsia" w:cs="Times New Roman"/>
                <w:color w:val="auto"/>
                <w:sz w:val="24"/>
                <w:highlight w:val="none"/>
                <w:lang w:eastAsia="zh-CN"/>
              </w:rPr>
              <w:t>可以得出</w:t>
            </w:r>
            <w:r>
              <w:rPr>
                <w:rFonts w:hint="default" w:ascii="Times New Roman" w:hAnsi="Times New Roman" w:eastAsia="宋体" w:cs="Times New Roman"/>
                <w:color w:val="auto"/>
                <w:sz w:val="24"/>
                <w:highlight w:val="none"/>
              </w:rPr>
              <w:t>配药用水量为</w:t>
            </w:r>
            <w:r>
              <w:rPr>
                <w:rFonts w:hint="default" w:ascii="Times New Roman" w:hAnsi="Times New Roman" w:eastAsia="宋体" w:cs="Times New Roman"/>
                <w:color w:val="auto"/>
                <w:sz w:val="24"/>
                <w:highlight w:val="none"/>
                <w:lang w:val="en-US" w:eastAsia="zh-CN"/>
              </w:rPr>
              <w:t>10</w:t>
            </w:r>
            <w:r>
              <w:rPr>
                <w:rFonts w:hint="default" w:ascii="Times New Roman" w:hAnsi="Times New Roman" w:eastAsia="宋体" w:cs="Times New Roman"/>
                <w:color w:val="auto"/>
                <w:sz w:val="24"/>
                <w:highlight w:val="none"/>
              </w:rPr>
              <w:t>t/d</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3650t/a</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根据设计单位资料，深度脱氮反硝化滤池反冲洗用水不超过处理厂水量的4%，通常&lt;2%。本项目按2%计</w:t>
            </w:r>
            <w:r>
              <w:rPr>
                <w:rFonts w:hint="eastAsia" w:cs="Times New Roman"/>
                <w:color w:val="auto"/>
                <w:sz w:val="24"/>
                <w:highlight w:val="none"/>
                <w:lang w:val="en-US" w:eastAsia="zh-CN"/>
              </w:rPr>
              <w:t>算</w:t>
            </w:r>
            <w:r>
              <w:rPr>
                <w:rFonts w:hint="default" w:ascii="Times New Roman" w:hAnsi="Times New Roman" w:eastAsia="宋体" w:cs="Times New Roman"/>
                <w:color w:val="auto"/>
                <w:sz w:val="24"/>
                <w:highlight w:val="none"/>
                <w:lang w:val="en-US" w:eastAsia="zh-CN"/>
              </w:rPr>
              <w:t>，反冲洗用水</w:t>
            </w:r>
            <w:r>
              <w:rPr>
                <w:rFonts w:hint="eastAsia" w:cs="Times New Roman"/>
                <w:color w:val="auto"/>
                <w:sz w:val="24"/>
                <w:highlight w:val="none"/>
                <w:lang w:val="en-US" w:eastAsia="zh-CN"/>
              </w:rPr>
              <w:t>量</w:t>
            </w:r>
            <w:r>
              <w:rPr>
                <w:rFonts w:hint="default" w:ascii="Times New Roman" w:hAnsi="Times New Roman" w:eastAsia="宋体" w:cs="Times New Roman"/>
                <w:color w:val="auto"/>
                <w:sz w:val="24"/>
                <w:highlight w:val="none"/>
                <w:lang w:val="en-US" w:eastAsia="zh-CN"/>
              </w:rPr>
              <w:t>为1000t/a。合计总用水量为4650t/a。</w:t>
            </w:r>
          </w:p>
          <w:p w14:paraId="1D77C41F">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（2）排水工程</w:t>
            </w:r>
          </w:p>
          <w:p w14:paraId="0E77C9DE">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rPr>
              <w:t>本项目不新增劳动定员</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lang w:val="en-US" w:eastAsia="zh-CN"/>
              </w:rPr>
              <w:t>无新增生活废水。</w:t>
            </w:r>
          </w:p>
          <w:p w14:paraId="58E1897B">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项目</w:t>
            </w:r>
            <w:r>
              <w:rPr>
                <w:rFonts w:hint="default" w:ascii="Times New Roman" w:hAnsi="Times New Roman" w:eastAsia="宋体" w:cs="Times New Roman"/>
                <w:bCs/>
                <w:color w:val="auto"/>
                <w:sz w:val="24"/>
                <w:highlight w:val="none"/>
                <w:lang w:val="en-US" w:eastAsia="zh-CN"/>
              </w:rPr>
              <w:t>深度脱氮反硝化滤池反冲洗废水产生量为1000t/a，进入污水厂污水井，不外排</w:t>
            </w:r>
            <w:r>
              <w:rPr>
                <w:rFonts w:hint="default" w:ascii="Times New Roman" w:hAnsi="Times New Roman" w:eastAsia="宋体" w:cs="Times New Roman"/>
                <w:bCs/>
                <w:color w:val="auto"/>
                <w:sz w:val="24"/>
                <w:highlight w:val="none"/>
              </w:rPr>
              <w:t>。</w:t>
            </w:r>
          </w:p>
          <w:p w14:paraId="59B809DA">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本项目污水处理厂处理后的中水</w:t>
            </w:r>
            <w:r>
              <w:rPr>
                <w:rFonts w:hint="eastAsia" w:cs="Times New Roman"/>
                <w:bCs/>
                <w:color w:val="auto"/>
                <w:sz w:val="24"/>
                <w:highlight w:val="none"/>
                <w:lang w:val="en-US" w:eastAsia="zh-CN"/>
              </w:rPr>
              <w:t>已</w:t>
            </w:r>
            <w:r>
              <w:rPr>
                <w:rFonts w:hint="default" w:ascii="Times New Roman" w:hAnsi="Times New Roman" w:eastAsia="宋体" w:cs="Times New Roman"/>
                <w:bCs/>
                <w:color w:val="auto"/>
                <w:sz w:val="24"/>
                <w:highlight w:val="none"/>
                <w:lang w:val="en-US" w:eastAsia="zh-CN"/>
              </w:rPr>
              <w:t>全部实现再生利用（即污水回用）。根据规划方案，一期更新改造后，污水处理厂全厂日处理中水能力为11500t/d，其中8500t/d排入杭锦旗锡尼镇污水处理厂尾水水质净化工程进行深度处理，处理达标后用于周边企业回用及陶赖沟生态补水。其余部分统筹用于园林绿化、鄂尔多斯市新能源产业示范区企业及内蒙古能源发电杭锦发电有限公司工业用水，</w:t>
            </w:r>
            <w:r>
              <w:rPr>
                <w:rFonts w:hint="eastAsia" w:cs="Times New Roman"/>
                <w:bCs/>
                <w:color w:val="auto"/>
                <w:sz w:val="24"/>
                <w:highlight w:val="none"/>
                <w:lang w:val="en-US" w:eastAsia="zh-CN"/>
              </w:rPr>
              <w:t>不外排</w:t>
            </w:r>
            <w:r>
              <w:rPr>
                <w:rFonts w:hint="default" w:ascii="Times New Roman" w:hAnsi="Times New Roman" w:eastAsia="宋体" w:cs="Times New Roman"/>
                <w:bCs/>
                <w:color w:val="auto"/>
                <w:sz w:val="24"/>
                <w:highlight w:val="none"/>
                <w:lang w:val="en-US" w:eastAsia="zh-CN"/>
              </w:rPr>
              <w:t>。</w:t>
            </w:r>
          </w:p>
          <w:p w14:paraId="40FB668B">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（3）供电工程</w:t>
            </w:r>
          </w:p>
          <w:p w14:paraId="636A802A">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项目总用电量为50000KWh，由</w:t>
            </w:r>
            <w:r>
              <w:rPr>
                <w:rFonts w:hint="default" w:ascii="Times New Roman" w:hAnsi="Times New Roman" w:eastAsia="宋体" w:cs="Times New Roman"/>
                <w:bCs/>
                <w:color w:val="auto"/>
                <w:sz w:val="24"/>
                <w:highlight w:val="none"/>
                <w:lang w:val="en-US" w:eastAsia="zh-CN"/>
              </w:rPr>
              <w:t>污水厂原有</w:t>
            </w:r>
            <w:r>
              <w:rPr>
                <w:rFonts w:hint="default" w:ascii="Times New Roman" w:hAnsi="Times New Roman" w:eastAsia="宋体" w:cs="Times New Roman"/>
                <w:bCs/>
                <w:color w:val="auto"/>
                <w:sz w:val="24"/>
                <w:highlight w:val="none"/>
              </w:rPr>
              <w:t>电网供给。</w:t>
            </w:r>
          </w:p>
          <w:p w14:paraId="031E9CB4">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（4）供暖工程</w:t>
            </w:r>
          </w:p>
          <w:p w14:paraId="5991142E">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本项目</w:t>
            </w:r>
            <w:r>
              <w:rPr>
                <w:rFonts w:hint="eastAsia" w:cs="Times New Roman"/>
                <w:color w:val="auto"/>
                <w:sz w:val="24"/>
                <w:highlight w:val="none"/>
                <w:lang w:val="en-US" w:eastAsia="zh-CN"/>
              </w:rPr>
              <w:t>采用</w:t>
            </w:r>
            <w:r>
              <w:rPr>
                <w:rFonts w:hint="default" w:ascii="Times New Roman" w:hAnsi="Times New Roman" w:eastAsia="宋体" w:cs="Times New Roman"/>
                <w:color w:val="auto"/>
                <w:sz w:val="24"/>
                <w:highlight w:val="none"/>
                <w:lang w:val="en-US" w:eastAsia="zh-CN"/>
              </w:rPr>
              <w:t>市政集中</w:t>
            </w:r>
            <w:r>
              <w:rPr>
                <w:rFonts w:hint="default" w:ascii="Times New Roman" w:hAnsi="Times New Roman" w:eastAsia="宋体" w:cs="Times New Roman"/>
                <w:color w:val="auto"/>
                <w:sz w:val="24"/>
                <w:highlight w:val="none"/>
                <w:lang w:eastAsia="zh-CN"/>
              </w:rPr>
              <w:t>供暖</w:t>
            </w:r>
            <w:r>
              <w:rPr>
                <w:rFonts w:hint="default" w:ascii="Times New Roman" w:hAnsi="Times New Roman" w:eastAsia="宋体" w:cs="Times New Roman"/>
                <w:color w:val="auto"/>
                <w:sz w:val="24"/>
                <w:highlight w:val="none"/>
              </w:rPr>
              <w:t>。</w:t>
            </w:r>
          </w:p>
          <w:p w14:paraId="78E432B1">
            <w:pPr>
              <w:adjustRightInd w:val="0"/>
              <w:snapToGrid w:val="0"/>
              <w:spacing w:line="360" w:lineRule="auto"/>
              <w:ind w:firstLine="482" w:firstLineChars="200"/>
              <w:jc w:val="left"/>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9</w:t>
            </w:r>
            <w:r>
              <w:rPr>
                <w:rFonts w:hint="default" w:ascii="Times New Roman" w:hAnsi="Times New Roman" w:eastAsia="宋体" w:cs="Times New Roman"/>
                <w:b/>
                <w:bCs/>
                <w:color w:val="auto"/>
                <w:sz w:val="24"/>
                <w:highlight w:val="none"/>
              </w:rPr>
              <w:t>.</w:t>
            </w:r>
            <w:r>
              <w:rPr>
                <w:rFonts w:hint="default" w:ascii="Times New Roman" w:hAnsi="Times New Roman" w:eastAsia="宋体" w:cs="Times New Roman"/>
                <w:b/>
                <w:bCs/>
                <w:color w:val="auto"/>
                <w:sz w:val="24"/>
                <w:highlight w:val="none"/>
                <w:lang w:val="en-US" w:eastAsia="zh-CN"/>
              </w:rPr>
              <w:t>总平面布置</w:t>
            </w:r>
          </w:p>
          <w:p w14:paraId="230590F4">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本次改造平面布置尽量保持原样，尽量利用旧有建筑，新建深度脱氮间1座、缺氧池1座、应急池1座。</w:t>
            </w:r>
          </w:p>
          <w:p w14:paraId="7B97F0E4">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依据污水处理工艺的先后顺序，污水厂一期厂区划分为生产区、辅助生产区、办公区和生活区。生产区集中布置各类污水处理构筑物和设备；辅助生产区设置鼓风机房、配电室、药剂间等，为生产提供支持；办公区用于行政办公和日常管理；交通组织合理</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规划完善的厂区道路系统，确保运输车辆、消防车辆和人员能够便捷通行。设置专门的物料运输通道，避免与人员通道交叉，保障生产安全和人员安全。同时，合理规划停车场位置，满足车辆停放需求。</w:t>
            </w:r>
          </w:p>
          <w:p w14:paraId="3E8DFF32">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 xml:space="preserve">（1）生产区 </w:t>
            </w:r>
          </w:p>
          <w:p w14:paraId="41468C0E">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预处理区：位于厂区进水口附近，设置格栅间、沉砂池等预处理设施。格栅间安装粗格栅和细格栅，拦截污水中的大块漂浮物和悬浮物；沉砂池去除污水中的砂粒等无机颗粒。</w:t>
            </w:r>
          </w:p>
          <w:p w14:paraId="045BA53B">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生物处理区：紧邻预处理区，布置厌氧池、缺氧池、好氧池等生物处理构筑物。各构筑物之间通过渠道或管道连接，保证污水顺畅流动。</w:t>
            </w:r>
          </w:p>
          <w:p w14:paraId="114A11A7">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深度处理区：靠近生物处理区和出水口，设置二</w:t>
            </w:r>
            <w:r>
              <w:rPr>
                <w:rFonts w:hint="eastAsia" w:cs="Times New Roman"/>
                <w:bCs/>
                <w:color w:val="auto"/>
                <w:sz w:val="24"/>
                <w:highlight w:val="none"/>
                <w:lang w:val="en-US" w:eastAsia="zh-CN"/>
              </w:rPr>
              <w:t>次</w:t>
            </w:r>
            <w:r>
              <w:rPr>
                <w:rFonts w:hint="default" w:ascii="Times New Roman" w:hAnsi="Times New Roman" w:eastAsia="宋体" w:cs="Times New Roman"/>
                <w:bCs/>
                <w:color w:val="auto"/>
                <w:sz w:val="24"/>
                <w:highlight w:val="none"/>
                <w:lang w:val="en-US" w:eastAsia="zh-CN"/>
              </w:rPr>
              <w:t>沉淀池、磁混凝澄清池、深度脱氮池、消毒</w:t>
            </w:r>
            <w:r>
              <w:rPr>
                <w:rFonts w:hint="eastAsia" w:cs="Times New Roman"/>
                <w:bCs/>
                <w:color w:val="auto"/>
                <w:sz w:val="24"/>
                <w:highlight w:val="none"/>
                <w:lang w:val="en-US" w:eastAsia="zh-CN"/>
              </w:rPr>
              <w:t>池</w:t>
            </w:r>
            <w:r>
              <w:rPr>
                <w:rFonts w:hint="default" w:ascii="Times New Roman" w:hAnsi="Times New Roman" w:eastAsia="宋体" w:cs="Times New Roman"/>
                <w:bCs/>
                <w:color w:val="auto"/>
                <w:sz w:val="24"/>
                <w:highlight w:val="none"/>
                <w:lang w:val="en-US" w:eastAsia="zh-CN"/>
              </w:rPr>
              <w:t>等深度处理设施。</w:t>
            </w:r>
          </w:p>
          <w:p w14:paraId="5FF3A351">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污泥处理区：设置污泥脱水机房等设施，对污泥进行浓缩、脱水处理，降低污泥含水率，便于污泥运输和处置。污泥处理区设置专门的污泥运输通道，确保污泥运输便捷。</w:t>
            </w:r>
          </w:p>
          <w:p w14:paraId="22C847AD">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 xml:space="preserve">（2）辅助生产区 </w:t>
            </w:r>
          </w:p>
          <w:p w14:paraId="2C88158C">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鼓风机房：靠近生物处理区的好氧池，缩短风管长度，减少能量损耗。鼓风机房采用隔音、减振措施，降低噪声对厂区环境的影响。</w:t>
            </w:r>
          </w:p>
          <w:p w14:paraId="49B29386">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 xml:space="preserve">配电室：位于厂区负荷中心，靠近各类用电设备，减少输电线路损耗。配电室配备完善的电气设备和安全防护设施，确保电力供应稳定可靠。 </w:t>
            </w:r>
          </w:p>
          <w:p w14:paraId="27730F4D">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药剂间：设置在便于药剂储存和投加的位置，靠近需要投加药剂的处理单元，如沉淀池、消毒池等。药剂间做好防火、防爆、防泄漏措施，确保药剂储存和使用安全。</w:t>
            </w:r>
          </w:p>
          <w:p w14:paraId="1428A1CB">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 xml:space="preserve">（3）办公区 </w:t>
            </w:r>
          </w:p>
          <w:p w14:paraId="5D6D8EB3">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位于厂区最北处，远离</w:t>
            </w:r>
            <w:r>
              <w:rPr>
                <w:rFonts w:hint="eastAsia" w:cs="Times New Roman"/>
                <w:bCs/>
                <w:color w:val="auto"/>
                <w:sz w:val="24"/>
                <w:highlight w:val="none"/>
                <w:lang w:val="en-US" w:eastAsia="zh-CN"/>
              </w:rPr>
              <w:t>产生</w:t>
            </w:r>
            <w:r>
              <w:rPr>
                <w:rFonts w:hint="default" w:ascii="Times New Roman" w:hAnsi="Times New Roman" w:eastAsia="宋体" w:cs="Times New Roman"/>
                <w:bCs/>
                <w:color w:val="auto"/>
                <w:sz w:val="24"/>
                <w:highlight w:val="none"/>
                <w:lang w:val="en-US" w:eastAsia="zh-CN"/>
              </w:rPr>
              <w:t>恶臭</w:t>
            </w:r>
            <w:r>
              <w:rPr>
                <w:rFonts w:hint="eastAsia" w:cs="Times New Roman"/>
                <w:bCs/>
                <w:color w:val="auto"/>
                <w:sz w:val="24"/>
                <w:highlight w:val="none"/>
                <w:lang w:val="en-US" w:eastAsia="zh-CN"/>
              </w:rPr>
              <w:t>的</w:t>
            </w:r>
            <w:r>
              <w:rPr>
                <w:rFonts w:hint="default" w:ascii="Times New Roman" w:hAnsi="Times New Roman" w:eastAsia="宋体" w:cs="Times New Roman"/>
                <w:bCs/>
                <w:color w:val="auto"/>
                <w:sz w:val="24"/>
                <w:highlight w:val="none"/>
                <w:lang w:val="en-US" w:eastAsia="zh-CN"/>
              </w:rPr>
              <w:t>构筑物。设置办公室、会议室、监控室等功能房间。</w:t>
            </w:r>
          </w:p>
          <w:p w14:paraId="5E15EBEF">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val="en-US" w:eastAsia="zh-CN"/>
              </w:rPr>
              <w:t>项目总平面布置图见附图3。</w:t>
            </w:r>
          </w:p>
          <w:p w14:paraId="1625E729">
            <w:pPr>
              <w:pStyle w:val="16"/>
              <w:jc w:val="both"/>
              <w:rPr>
                <w:rFonts w:hint="default" w:ascii="Times New Roman" w:hAnsi="Times New Roman" w:eastAsia="宋体" w:cs="Times New Roman"/>
                <w:color w:val="auto"/>
                <w:highlight w:val="none"/>
              </w:rPr>
            </w:pPr>
          </w:p>
          <w:p w14:paraId="1B28D311">
            <w:pPr>
              <w:pStyle w:val="16"/>
              <w:jc w:val="both"/>
              <w:rPr>
                <w:rFonts w:hint="default" w:ascii="Times New Roman" w:hAnsi="Times New Roman" w:eastAsia="宋体" w:cs="Times New Roman"/>
                <w:color w:val="auto"/>
                <w:highlight w:val="none"/>
              </w:rPr>
            </w:pPr>
          </w:p>
          <w:p w14:paraId="758038BD">
            <w:pPr>
              <w:pStyle w:val="16"/>
              <w:jc w:val="both"/>
              <w:rPr>
                <w:rFonts w:hint="default" w:ascii="Times New Roman" w:hAnsi="Times New Roman" w:eastAsia="宋体" w:cs="Times New Roman"/>
                <w:color w:val="auto"/>
                <w:highlight w:val="none"/>
              </w:rPr>
            </w:pPr>
          </w:p>
          <w:p w14:paraId="13EFA8E0">
            <w:pPr>
              <w:pStyle w:val="16"/>
              <w:jc w:val="both"/>
              <w:rPr>
                <w:rFonts w:hint="default" w:ascii="Times New Roman" w:hAnsi="Times New Roman" w:eastAsia="宋体" w:cs="Times New Roman"/>
                <w:color w:val="auto"/>
                <w:highlight w:val="none"/>
              </w:rPr>
            </w:pPr>
          </w:p>
          <w:p w14:paraId="0C1A7EE6">
            <w:pPr>
              <w:pStyle w:val="16"/>
              <w:jc w:val="both"/>
              <w:rPr>
                <w:rFonts w:hint="default" w:ascii="Times New Roman" w:hAnsi="Times New Roman" w:eastAsia="宋体" w:cs="Times New Roman"/>
                <w:color w:val="auto"/>
                <w:highlight w:val="none"/>
              </w:rPr>
            </w:pPr>
          </w:p>
          <w:p w14:paraId="29B5522C">
            <w:pPr>
              <w:pStyle w:val="16"/>
              <w:jc w:val="both"/>
              <w:rPr>
                <w:rFonts w:hint="default" w:ascii="Times New Roman" w:hAnsi="Times New Roman" w:eastAsia="宋体" w:cs="Times New Roman"/>
                <w:color w:val="auto"/>
                <w:highlight w:val="none"/>
              </w:rPr>
            </w:pPr>
          </w:p>
          <w:p w14:paraId="0BDACD86">
            <w:pPr>
              <w:pStyle w:val="16"/>
              <w:jc w:val="both"/>
              <w:rPr>
                <w:rFonts w:hint="default" w:ascii="Times New Roman" w:hAnsi="Times New Roman" w:eastAsia="宋体" w:cs="Times New Roman"/>
                <w:color w:val="auto"/>
                <w:highlight w:val="none"/>
              </w:rPr>
            </w:pPr>
          </w:p>
        </w:tc>
      </w:tr>
      <w:tr w14:paraId="03805F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296" w:type="pct"/>
            <w:vAlign w:val="center"/>
          </w:tcPr>
          <w:p w14:paraId="442DAA47">
            <w:pPr>
              <w:pStyle w:val="8"/>
              <w:adjustRightInd w:val="0"/>
              <w:snapToGrid w:val="0"/>
              <w:spacing w:before="0" w:beforeAutospacing="0" w:after="0" w:afterAutospacing="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工艺流程和产排污环节</w:t>
            </w:r>
          </w:p>
        </w:tc>
        <w:tc>
          <w:tcPr>
            <w:tcW w:w="4703" w:type="pct"/>
          </w:tcPr>
          <w:p w14:paraId="6E37507F">
            <w:pPr>
              <w:spacing w:line="360" w:lineRule="auto"/>
              <w:jc w:val="left"/>
              <w:rPr>
                <w:rFonts w:hint="default" w:ascii="Times New Roman" w:hAnsi="Times New Roman" w:eastAsia="宋体" w:cs="Times New Roman"/>
                <w:b/>
                <w:color w:val="auto"/>
                <w:sz w:val="24"/>
                <w:highlight w:val="none"/>
              </w:rPr>
            </w:pPr>
            <w:bookmarkStart w:id="4" w:name="_Toc65446908"/>
            <w:r>
              <w:rPr>
                <w:rFonts w:hint="default" w:ascii="Times New Roman" w:hAnsi="Times New Roman" w:eastAsia="宋体" w:cs="Times New Roman"/>
                <w:b/>
                <w:color w:val="auto"/>
                <w:sz w:val="24"/>
                <w:highlight w:val="none"/>
              </w:rPr>
              <w:t>项目生产工艺及流程</w:t>
            </w:r>
            <w:bookmarkEnd w:id="4"/>
          </w:p>
          <w:p w14:paraId="3ADF9574">
            <w:pPr>
              <w:spacing w:line="360" w:lineRule="auto"/>
              <w:jc w:val="left"/>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一、施工期工程分析</w:t>
            </w:r>
          </w:p>
          <w:p w14:paraId="6B04B254">
            <w:pPr>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施工流程及各阶段主要污染物产生</w:t>
            </w:r>
            <w:r>
              <w:rPr>
                <w:rFonts w:hint="eastAsia" w:cs="Times New Roman"/>
                <w:color w:val="auto"/>
                <w:sz w:val="24"/>
                <w:highlight w:val="none"/>
                <w:lang w:eastAsia="zh-CN"/>
              </w:rPr>
              <w:t>情况</w:t>
            </w:r>
            <w:r>
              <w:rPr>
                <w:rFonts w:hint="default" w:ascii="Times New Roman" w:hAnsi="Times New Roman" w:eastAsia="宋体" w:cs="Times New Roman"/>
                <w:color w:val="auto"/>
                <w:sz w:val="24"/>
                <w:highlight w:val="none"/>
              </w:rPr>
              <w:t>见图2-</w:t>
            </w:r>
            <w:r>
              <w:rPr>
                <w:rFonts w:hint="default" w:ascii="Times New Roman" w:hAnsi="Times New Roman" w:eastAsia="宋体" w:cs="Times New Roman"/>
                <w:color w:val="auto"/>
                <w:sz w:val="24"/>
                <w:highlight w:val="none"/>
                <w:lang w:val="en-US" w:eastAsia="zh-CN"/>
              </w:rPr>
              <w:t>1</w:t>
            </w:r>
            <w:r>
              <w:rPr>
                <w:rFonts w:hint="default" w:ascii="Times New Roman" w:hAnsi="Times New Roman" w:eastAsia="宋体" w:cs="Times New Roman"/>
                <w:color w:val="auto"/>
                <w:sz w:val="24"/>
                <w:highlight w:val="none"/>
              </w:rPr>
              <w:t>。</w:t>
            </w:r>
          </w:p>
          <w:p w14:paraId="65BF392D">
            <w:pPr>
              <w:pStyle w:val="16"/>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drawing>
                <wp:inline distT="0" distB="0" distL="114300" distR="114300">
                  <wp:extent cx="5131435" cy="1562100"/>
                  <wp:effectExtent l="0" t="0" r="12065" b="0"/>
                  <wp:docPr id="9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2"/>
                          <pic:cNvPicPr>
                            <a:picLocks noChangeAspect="1"/>
                          </pic:cNvPicPr>
                        </pic:nvPicPr>
                        <pic:blipFill>
                          <a:blip r:embed="rId6"/>
                          <a:stretch>
                            <a:fillRect/>
                          </a:stretch>
                        </pic:blipFill>
                        <pic:spPr>
                          <a:xfrm>
                            <a:off x="0" y="0"/>
                            <a:ext cx="5131435" cy="1562100"/>
                          </a:xfrm>
                          <a:prstGeom prst="rect">
                            <a:avLst/>
                          </a:prstGeom>
                        </pic:spPr>
                      </pic:pic>
                    </a:graphicData>
                  </a:graphic>
                </wp:inline>
              </w:drawing>
            </w:r>
          </w:p>
          <w:p w14:paraId="1B0F1590">
            <w:pPr>
              <w:pStyle w:val="16"/>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图2-</w:t>
            </w:r>
            <w:r>
              <w:rPr>
                <w:rFonts w:hint="default"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rPr>
              <w:t xml:space="preserve"> 施工期工艺流程图</w:t>
            </w:r>
          </w:p>
          <w:p w14:paraId="6F120006">
            <w:pPr>
              <w:adjustRightInd w:val="0"/>
              <w:snapToGrid w:val="0"/>
              <w:spacing w:line="360" w:lineRule="auto"/>
              <w:jc w:val="lef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二、运营期工程分析</w:t>
            </w:r>
          </w:p>
          <w:p w14:paraId="6A17E8E5">
            <w:pPr>
              <w:adjustRightInd w:val="0"/>
              <w:snapToGrid w:val="0"/>
              <w:spacing w:line="360" w:lineRule="auto"/>
              <w:jc w:val="center"/>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drawing>
                <wp:inline distT="0" distB="0" distL="114300" distR="114300">
                  <wp:extent cx="5154930" cy="3686810"/>
                  <wp:effectExtent l="0" t="0" r="0" b="8890"/>
                  <wp:docPr id="215"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4"/>
                          <pic:cNvPicPr>
                            <a:picLocks noChangeAspect="1"/>
                          </pic:cNvPicPr>
                        </pic:nvPicPr>
                        <pic:blipFill>
                          <a:blip r:embed="rId7"/>
                          <a:stretch>
                            <a:fillRect/>
                          </a:stretch>
                        </pic:blipFill>
                        <pic:spPr>
                          <a:xfrm>
                            <a:off x="0" y="0"/>
                            <a:ext cx="5154930" cy="3686810"/>
                          </a:xfrm>
                          <a:prstGeom prst="rect">
                            <a:avLst/>
                          </a:prstGeom>
                        </pic:spPr>
                      </pic:pic>
                    </a:graphicData>
                  </a:graphic>
                </wp:inline>
              </w:drawing>
            </w:r>
          </w:p>
          <w:p w14:paraId="03CA88B2">
            <w:pPr>
              <w:pStyle w:val="16"/>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图2-</w:t>
            </w:r>
            <w:r>
              <w:rPr>
                <w:rFonts w:hint="default"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rPr>
              <w:t xml:space="preserve"> 工艺流程及产污环节图</w:t>
            </w:r>
          </w:p>
          <w:p w14:paraId="07990C01">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污水处理部分</w:t>
            </w:r>
          </w:p>
          <w:p w14:paraId="010E6183">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①格栅间、进水泵房及曝气沉砂池</w:t>
            </w:r>
          </w:p>
          <w:p w14:paraId="59356BD0">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本项目设粗格栅和细格栅。</w:t>
            </w:r>
            <w:r>
              <w:rPr>
                <w:rFonts w:hint="default" w:ascii="Times New Roman" w:hAnsi="Times New Roman" w:eastAsia="宋体" w:cs="Times New Roman"/>
                <w:bCs/>
                <w:color w:val="auto"/>
                <w:sz w:val="24"/>
                <w:highlight w:val="none"/>
                <w:lang w:val="en-US" w:eastAsia="zh-CN"/>
              </w:rPr>
              <w:t>污水提升泵房与粗格栅间合建。</w:t>
            </w:r>
          </w:p>
          <w:p w14:paraId="3C2953B2">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粗格栅：污水经</w:t>
            </w:r>
            <w:r>
              <w:rPr>
                <w:rFonts w:hint="eastAsia" w:cs="Times New Roman"/>
                <w:bCs/>
                <w:color w:val="auto"/>
                <w:sz w:val="24"/>
                <w:highlight w:val="none"/>
                <w:lang w:eastAsia="zh-CN"/>
              </w:rPr>
              <w:t>过</w:t>
            </w:r>
            <w:r>
              <w:rPr>
                <w:rFonts w:hint="default" w:ascii="Times New Roman" w:hAnsi="Times New Roman" w:eastAsia="宋体" w:cs="Times New Roman"/>
                <w:bCs/>
                <w:color w:val="auto"/>
                <w:sz w:val="24"/>
                <w:highlight w:val="none"/>
              </w:rPr>
              <w:t>粗格栅去除水中大块漂浮物，避免堵塞后面的污水提升泵。</w:t>
            </w:r>
          </w:p>
          <w:p w14:paraId="3B3F5B98">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细格栅：细格栅用于分离去除污水</w:t>
            </w:r>
            <w:r>
              <w:rPr>
                <w:rFonts w:hint="eastAsia" w:cs="Times New Roman"/>
                <w:bCs/>
                <w:color w:val="auto"/>
                <w:sz w:val="24"/>
                <w:highlight w:val="none"/>
                <w:lang w:eastAsia="zh-CN"/>
              </w:rPr>
              <w:t>中</w:t>
            </w:r>
            <w:r>
              <w:rPr>
                <w:rFonts w:hint="default" w:ascii="Times New Roman" w:hAnsi="Times New Roman" w:eastAsia="宋体" w:cs="Times New Roman"/>
                <w:bCs/>
                <w:color w:val="auto"/>
                <w:sz w:val="24"/>
                <w:highlight w:val="none"/>
              </w:rPr>
              <w:t>的细小悬浮物，避免</w:t>
            </w:r>
            <w:r>
              <w:rPr>
                <w:rFonts w:hint="eastAsia" w:cs="Times New Roman"/>
                <w:bCs/>
                <w:color w:val="auto"/>
                <w:sz w:val="24"/>
                <w:highlight w:val="none"/>
                <w:lang w:eastAsia="zh-CN"/>
              </w:rPr>
              <w:t>磨损</w:t>
            </w:r>
            <w:r>
              <w:rPr>
                <w:rFonts w:hint="default" w:ascii="Times New Roman" w:hAnsi="Times New Roman" w:eastAsia="宋体" w:cs="Times New Roman"/>
                <w:bCs/>
                <w:color w:val="auto"/>
                <w:sz w:val="24"/>
                <w:highlight w:val="none"/>
              </w:rPr>
              <w:t>机泵、堵塞管网，干扰甚至破坏生化处理工艺过程。</w:t>
            </w:r>
          </w:p>
          <w:p w14:paraId="1DCA20C0">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项目沉砂池与细格栅合建，采用曝气沉砂，由于曝气作用，废水中有机颗粒处于悬浮状态，砂粒互相摩擦并承受曝气的剪切力，砂粒上附着的有机污染物能够去除，有利于取得较为纯净的砂粒。在旋流的离心力作用下，这些密度较大的砂粒被甩向外部沉入集砂槽，而密度较小的有机物随水流向前流动被带到下一处理单元。另外，在水中曝气可脱臭，改善水质，有利于后续处理，还可起到预曝气作用。</w:t>
            </w:r>
          </w:p>
          <w:p w14:paraId="3EED1327">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②</w:t>
            </w:r>
            <w:r>
              <w:rPr>
                <w:rFonts w:hint="default" w:ascii="Times New Roman" w:hAnsi="Times New Roman" w:eastAsia="宋体" w:cs="Times New Roman"/>
                <w:bCs/>
                <w:color w:val="auto"/>
                <w:sz w:val="24"/>
                <w:highlight w:val="none"/>
                <w:lang w:val="en-US" w:eastAsia="zh-CN"/>
              </w:rPr>
              <w:t>改良AAO池</w:t>
            </w:r>
          </w:p>
          <w:p w14:paraId="07A2B5B3">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val="en-US" w:eastAsia="zh-CN"/>
              </w:rPr>
              <w:t>由于现状污水处理厂生物池已经建成，</w:t>
            </w:r>
            <w:r>
              <w:rPr>
                <w:rFonts w:hint="eastAsia" w:cs="Times New Roman"/>
                <w:bCs/>
                <w:color w:val="auto"/>
                <w:sz w:val="24"/>
                <w:highlight w:val="none"/>
                <w:lang w:val="en-US" w:eastAsia="zh-CN"/>
              </w:rPr>
              <w:t>再建</w:t>
            </w:r>
            <w:r>
              <w:rPr>
                <w:rFonts w:hint="default" w:ascii="Times New Roman" w:hAnsi="Times New Roman" w:eastAsia="宋体" w:cs="Times New Roman"/>
                <w:bCs/>
                <w:color w:val="auto"/>
                <w:sz w:val="24"/>
                <w:highlight w:val="none"/>
                <w:lang w:val="en-US" w:eastAsia="zh-CN"/>
              </w:rPr>
              <w:t>同二期污水处理厂同样的五段工艺改造</w:t>
            </w:r>
            <w:r>
              <w:rPr>
                <w:rFonts w:hint="eastAsia" w:cs="Times New Roman"/>
                <w:bCs/>
                <w:color w:val="auto"/>
                <w:sz w:val="24"/>
                <w:highlight w:val="none"/>
                <w:lang w:val="en-US" w:eastAsia="zh-CN"/>
              </w:rPr>
              <w:t>难度</w:t>
            </w:r>
            <w:r>
              <w:rPr>
                <w:rFonts w:hint="default" w:ascii="Times New Roman" w:hAnsi="Times New Roman" w:eastAsia="宋体" w:cs="Times New Roman"/>
                <w:bCs/>
                <w:color w:val="auto"/>
                <w:sz w:val="24"/>
                <w:highlight w:val="none"/>
                <w:lang w:val="en-US" w:eastAsia="zh-CN"/>
              </w:rPr>
              <w:t>较大。因此，处理工艺采用改良AAO工艺+磁絮凝池+深度脱氮的深度处理相结合的方式，这就要求设备选型必须紧密围绕该工艺路线。在厌氧池中，为营造无氧环境，使厌氧微生物能够充分发挥分解大分子有机物的作用，需配备低速、大扭矩的潜水搅拌器。这类搅拌器能够均匀搅动池内的污水和活性污泥，避免沉淀和局部浓度不均，保证厌氧反应高效进行。缺氧池则需安装具备一定搅拌强度的搅拌设备，促进污水与活性污泥的混合，为反硝化细菌提供适宜的生存环境，实现硝酸盐的还原脱氮。好氧池作为去除有机物和氨氮的关键区域，需要大量的氧气供应。微孔曝气器能将空气以微小气泡的形式均匀分散到水中，增加氧气与污水的接触面积，提高氧的利用率，同时配合风机稳定供气，确保好氧微生物在充足溶氧条件下，快速氧化分解有机物，完成硝化反应，极大地提升污染物去除效率。</w:t>
            </w:r>
          </w:p>
          <w:p w14:paraId="0A867415">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③二沉池</w:t>
            </w:r>
          </w:p>
          <w:p w14:paraId="3EB26358">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项目共设有两座二沉池。生物池出水后进入沉淀池，其作用是泥水分离。考虑</w:t>
            </w:r>
            <w:r>
              <w:rPr>
                <w:rFonts w:hint="eastAsia" w:cs="Times New Roman"/>
                <w:bCs/>
                <w:color w:val="auto"/>
                <w:sz w:val="24"/>
                <w:highlight w:val="none"/>
                <w:lang w:eastAsia="zh-CN"/>
              </w:rPr>
              <w:t>到</w:t>
            </w:r>
            <w:r>
              <w:rPr>
                <w:rFonts w:hint="default" w:ascii="Times New Roman" w:hAnsi="Times New Roman" w:eastAsia="宋体" w:cs="Times New Roman"/>
                <w:bCs/>
                <w:color w:val="auto"/>
                <w:sz w:val="24"/>
                <w:highlight w:val="none"/>
              </w:rPr>
              <w:t>杭锦旗冬季比较寒冷，且二沉池规模较小，</w:t>
            </w:r>
            <w:r>
              <w:rPr>
                <w:rFonts w:hint="eastAsia" w:cs="Times New Roman"/>
                <w:bCs/>
                <w:color w:val="auto"/>
                <w:sz w:val="24"/>
                <w:highlight w:val="none"/>
                <w:lang w:eastAsia="zh-CN"/>
              </w:rPr>
              <w:t>因此</w:t>
            </w:r>
            <w:r>
              <w:rPr>
                <w:rFonts w:hint="default" w:ascii="Times New Roman" w:hAnsi="Times New Roman" w:eastAsia="宋体" w:cs="Times New Roman"/>
                <w:bCs/>
                <w:color w:val="auto"/>
                <w:sz w:val="24"/>
                <w:highlight w:val="none"/>
              </w:rPr>
              <w:t>沉淀池采用中心驱动普通</w:t>
            </w:r>
            <w:r>
              <w:rPr>
                <w:rFonts w:hint="eastAsia" w:cs="Times New Roman"/>
                <w:bCs/>
                <w:color w:val="auto"/>
                <w:sz w:val="24"/>
                <w:highlight w:val="none"/>
                <w:lang w:eastAsia="zh-CN"/>
              </w:rPr>
              <w:t>辐流式</w:t>
            </w:r>
            <w:r>
              <w:rPr>
                <w:rFonts w:hint="default" w:ascii="Times New Roman" w:hAnsi="Times New Roman" w:eastAsia="宋体" w:cs="Times New Roman"/>
                <w:bCs/>
                <w:color w:val="auto"/>
                <w:sz w:val="24"/>
                <w:highlight w:val="none"/>
              </w:rPr>
              <w:t>沉淀池。每座二沉池上设中心驱动式单管刮吸泥机、出水渠、浮渣去除系统等。池底污泥靠虹吸排泥，</w:t>
            </w:r>
            <w:r>
              <w:rPr>
                <w:rFonts w:hint="eastAsia" w:cs="Times New Roman"/>
                <w:bCs/>
                <w:color w:val="auto"/>
                <w:sz w:val="24"/>
                <w:highlight w:val="none"/>
                <w:lang w:eastAsia="zh-CN"/>
              </w:rPr>
              <w:t>剩余污泥通过泵排至回流池</w:t>
            </w:r>
            <w:r>
              <w:rPr>
                <w:rFonts w:hint="default" w:ascii="Times New Roman" w:hAnsi="Times New Roman" w:eastAsia="宋体" w:cs="Times New Roman"/>
                <w:bCs/>
                <w:color w:val="auto"/>
                <w:sz w:val="24"/>
                <w:highlight w:val="none"/>
              </w:rPr>
              <w:t>。出水进入磁混凝澄清池。</w:t>
            </w:r>
          </w:p>
          <w:p w14:paraId="43E357CF">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④</w:t>
            </w:r>
            <w:r>
              <w:rPr>
                <w:rFonts w:hint="default" w:ascii="Times New Roman" w:hAnsi="Times New Roman" w:eastAsia="宋体" w:cs="Times New Roman"/>
                <w:bCs/>
                <w:color w:val="auto"/>
                <w:sz w:val="24"/>
                <w:highlight w:val="none"/>
                <w:lang w:eastAsia="zh-CN"/>
              </w:rPr>
              <w:t>磁混凝澄清池</w:t>
            </w:r>
          </w:p>
          <w:p w14:paraId="212645E7">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磁混凝澄清池是一种新型的深度处理工艺。磁混凝澄清工艺</w:t>
            </w:r>
            <w:r>
              <w:rPr>
                <w:rFonts w:hint="eastAsia" w:cs="Times New Roman"/>
                <w:bCs/>
                <w:color w:val="auto"/>
                <w:sz w:val="24"/>
                <w:highlight w:val="none"/>
                <w:lang w:eastAsia="zh-CN"/>
              </w:rPr>
              <w:t>是</w:t>
            </w:r>
            <w:r>
              <w:rPr>
                <w:rFonts w:hint="default" w:ascii="Times New Roman" w:hAnsi="Times New Roman" w:eastAsia="宋体" w:cs="Times New Roman"/>
                <w:bCs/>
                <w:color w:val="auto"/>
                <w:sz w:val="24"/>
                <w:highlight w:val="none"/>
              </w:rPr>
              <w:t>在常规混凝沉淀工艺中添加了磁粉。磁粉</w:t>
            </w:r>
            <w:r>
              <w:rPr>
                <w:rFonts w:hint="eastAsia" w:cs="Times New Roman"/>
                <w:bCs/>
                <w:color w:val="auto"/>
                <w:sz w:val="24"/>
                <w:highlight w:val="none"/>
                <w:lang w:eastAsia="zh-CN"/>
              </w:rPr>
              <w:t>（</w:t>
            </w:r>
            <w:r>
              <w:rPr>
                <w:rFonts w:hint="default" w:ascii="Times New Roman" w:hAnsi="Times New Roman" w:eastAsia="宋体" w:cs="Times New Roman"/>
                <w:bCs/>
                <w:color w:val="auto"/>
                <w:sz w:val="24"/>
                <w:highlight w:val="none"/>
              </w:rPr>
              <w:t>50µ</w:t>
            </w:r>
            <w:r>
              <w:rPr>
                <w:rFonts w:hint="eastAsia" w:cs="Times New Roman"/>
                <w:bCs/>
                <w:color w:val="auto"/>
                <w:sz w:val="24"/>
                <w:highlight w:val="none"/>
                <w:lang w:eastAsia="zh-CN"/>
              </w:rPr>
              <w:t>m）</w:t>
            </w:r>
            <w:r>
              <w:rPr>
                <w:rFonts w:hint="default" w:ascii="Times New Roman" w:hAnsi="Times New Roman" w:eastAsia="宋体" w:cs="Times New Roman"/>
                <w:bCs/>
                <w:color w:val="auto"/>
                <w:sz w:val="24"/>
                <w:highlight w:val="none"/>
              </w:rPr>
              <w:t>作为沉淀析出晶核，使得水中胶体颗粒与磁粉颗粒很容易碰撞脱稳而形成絮体，晶核众多能够使得每一粒微小的悬浮物颗粒能够形成絮体，并且在每一个絮体中包裹有磁粉，从而悬浮物去除效率也大为提高；同时由于磁粉密度~6.5，因而絮体密度远大于常规混凝絮体，也大幅提高沉淀速度。</w:t>
            </w:r>
          </w:p>
          <w:p w14:paraId="0B9334F3">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磁混凝产生</w:t>
            </w:r>
            <w:r>
              <w:rPr>
                <w:rFonts w:hint="eastAsia" w:cs="Times New Roman"/>
                <w:bCs/>
                <w:color w:val="auto"/>
                <w:sz w:val="24"/>
                <w:highlight w:val="none"/>
                <w:lang w:eastAsia="zh-CN"/>
              </w:rPr>
              <w:t>的</w:t>
            </w:r>
            <w:r>
              <w:rPr>
                <w:rFonts w:hint="default" w:ascii="Times New Roman" w:hAnsi="Times New Roman" w:eastAsia="宋体" w:cs="Times New Roman"/>
                <w:bCs/>
                <w:color w:val="auto"/>
                <w:sz w:val="24"/>
                <w:highlight w:val="none"/>
              </w:rPr>
              <w:t>污泥中含有磁粉，不能直接排放。由专门的剩余污泥泵，将污泥输送至磁粉回收系统</w:t>
            </w:r>
            <w:r>
              <w:rPr>
                <w:rFonts w:hint="eastAsia" w:cs="Times New Roman"/>
                <w:bCs/>
                <w:color w:val="auto"/>
                <w:sz w:val="24"/>
                <w:highlight w:val="none"/>
                <w:lang w:eastAsia="zh-CN"/>
              </w:rPr>
              <w:t>。</w:t>
            </w:r>
            <w:r>
              <w:rPr>
                <w:rFonts w:hint="default" w:ascii="Times New Roman" w:hAnsi="Times New Roman" w:eastAsia="宋体" w:cs="Times New Roman"/>
                <w:bCs/>
                <w:color w:val="auto"/>
                <w:sz w:val="24"/>
                <w:highlight w:val="none"/>
              </w:rPr>
              <w:t>将磁粉回收后的污泥，则输送至污泥</w:t>
            </w:r>
            <w:r>
              <w:rPr>
                <w:rFonts w:hint="default" w:ascii="Times New Roman" w:hAnsi="Times New Roman" w:eastAsia="宋体" w:cs="Times New Roman"/>
                <w:bCs/>
                <w:color w:val="auto"/>
                <w:sz w:val="24"/>
                <w:highlight w:val="none"/>
                <w:lang w:val="en-US" w:eastAsia="zh-CN"/>
              </w:rPr>
              <w:t>处理</w:t>
            </w:r>
            <w:r>
              <w:rPr>
                <w:rFonts w:hint="default" w:ascii="Times New Roman" w:hAnsi="Times New Roman" w:eastAsia="宋体" w:cs="Times New Roman"/>
                <w:bCs/>
                <w:color w:val="auto"/>
                <w:sz w:val="24"/>
                <w:highlight w:val="none"/>
              </w:rPr>
              <w:t>系统。</w:t>
            </w:r>
          </w:p>
          <w:p w14:paraId="2733737E">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磁混凝澄清池工艺见图</w:t>
            </w:r>
            <w:r>
              <w:rPr>
                <w:rFonts w:hint="default" w:ascii="Times New Roman" w:hAnsi="Times New Roman" w:eastAsia="宋体" w:cs="Times New Roman"/>
                <w:bCs/>
                <w:color w:val="auto"/>
                <w:sz w:val="24"/>
                <w:highlight w:val="none"/>
                <w:lang w:val="en-US" w:eastAsia="zh-CN"/>
              </w:rPr>
              <w:t>2-3</w:t>
            </w:r>
            <w:r>
              <w:rPr>
                <w:rFonts w:hint="default" w:ascii="Times New Roman" w:hAnsi="Times New Roman" w:eastAsia="宋体" w:cs="Times New Roman"/>
                <w:bCs/>
                <w:color w:val="auto"/>
                <w:sz w:val="24"/>
                <w:highlight w:val="none"/>
              </w:rPr>
              <w:t>。</w:t>
            </w:r>
          </w:p>
          <w:p w14:paraId="683DA9B6">
            <w:pPr>
              <w:adjustRightInd w:val="0"/>
              <w:snapToGrid w:val="0"/>
              <w:spacing w:line="360" w:lineRule="auto"/>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drawing>
                <wp:inline distT="0" distB="0" distL="114300" distR="114300">
                  <wp:extent cx="4961890" cy="3301365"/>
                  <wp:effectExtent l="0" t="0" r="0" b="0"/>
                  <wp:docPr id="5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7"/>
                          <pic:cNvPicPr>
                            <a:picLocks noChangeAspect="1"/>
                          </pic:cNvPicPr>
                        </pic:nvPicPr>
                        <pic:blipFill>
                          <a:blip r:embed="rId8"/>
                          <a:srcRect t="5456"/>
                          <a:stretch>
                            <a:fillRect/>
                          </a:stretch>
                        </pic:blipFill>
                        <pic:spPr>
                          <a:xfrm>
                            <a:off x="0" y="0"/>
                            <a:ext cx="4961890" cy="3301365"/>
                          </a:xfrm>
                          <a:prstGeom prst="rect">
                            <a:avLst/>
                          </a:prstGeom>
                          <a:noFill/>
                          <a:ln>
                            <a:noFill/>
                          </a:ln>
                        </pic:spPr>
                      </pic:pic>
                    </a:graphicData>
                  </a:graphic>
                </wp:inline>
              </w:drawing>
            </w:r>
          </w:p>
          <w:p w14:paraId="0F6F880D">
            <w:pPr>
              <w:adjustRightInd w:val="0"/>
              <w:snapToGrid w:val="0"/>
              <w:spacing w:line="360" w:lineRule="auto"/>
              <w:jc w:val="center"/>
              <w:rPr>
                <w:rFonts w:hint="default" w:ascii="Times New Roman" w:hAnsi="Times New Roman" w:eastAsia="宋体" w:cs="Times New Roman"/>
                <w:b/>
                <w:bCs w:val="0"/>
                <w:color w:val="auto"/>
                <w:sz w:val="24"/>
                <w:highlight w:val="none"/>
              </w:rPr>
            </w:pPr>
            <w:r>
              <w:rPr>
                <w:rFonts w:hint="default" w:ascii="Times New Roman" w:hAnsi="Times New Roman" w:eastAsia="宋体" w:cs="Times New Roman"/>
                <w:b/>
                <w:bCs w:val="0"/>
                <w:color w:val="auto"/>
                <w:sz w:val="24"/>
                <w:highlight w:val="none"/>
                <w:lang w:val="en-US" w:eastAsia="zh-CN"/>
              </w:rPr>
              <w:t xml:space="preserve">图2-3 </w:t>
            </w:r>
            <w:r>
              <w:rPr>
                <w:rFonts w:hint="default" w:ascii="Times New Roman" w:hAnsi="Times New Roman" w:eastAsia="宋体" w:cs="Times New Roman"/>
                <w:b/>
                <w:bCs w:val="0"/>
                <w:color w:val="auto"/>
                <w:sz w:val="24"/>
                <w:highlight w:val="none"/>
              </w:rPr>
              <w:t>磁混凝沉淀池工艺流程图</w:t>
            </w:r>
          </w:p>
          <w:p w14:paraId="294D15C9">
            <w:pPr>
              <w:spacing w:line="360" w:lineRule="auto"/>
              <w:ind w:firstLine="480" w:firstLineChars="200"/>
              <w:rPr>
                <w:rFonts w:hint="default" w:ascii="Times New Roman" w:hAnsi="Times New Roman" w:eastAsia="宋体" w:cs="Times New Roman"/>
                <w:color w:val="auto"/>
                <w:sz w:val="24"/>
                <w:szCs w:val="20"/>
                <w:lang w:val="en-US" w:eastAsia="zh-CN"/>
              </w:rPr>
            </w:pPr>
            <w:r>
              <w:rPr>
                <w:rFonts w:hint="default" w:ascii="Times New Roman" w:hAnsi="Times New Roman" w:eastAsia="宋体" w:cs="Times New Roman"/>
                <w:color w:val="auto"/>
                <w:sz w:val="24"/>
                <w:szCs w:val="20"/>
                <w:lang w:val="en-US" w:eastAsia="zh-CN"/>
              </w:rPr>
              <w:t>⑤深度脱氮池</w:t>
            </w:r>
          </w:p>
          <w:p w14:paraId="06557C5F">
            <w:pPr>
              <w:spacing w:line="360" w:lineRule="auto"/>
              <w:ind w:firstLine="480" w:firstLineChars="200"/>
              <w:rPr>
                <w:rFonts w:hint="default" w:ascii="Times New Roman" w:hAnsi="Times New Roman" w:eastAsia="宋体" w:cs="Times New Roman"/>
                <w:color w:val="auto"/>
                <w:sz w:val="24"/>
                <w:szCs w:val="20"/>
                <w:lang w:val="en-US" w:eastAsia="zh-CN"/>
              </w:rPr>
            </w:pPr>
            <w:r>
              <w:rPr>
                <w:rFonts w:hint="default" w:ascii="Times New Roman" w:hAnsi="Times New Roman" w:eastAsia="宋体" w:cs="Times New Roman"/>
                <w:color w:val="auto"/>
                <w:sz w:val="24"/>
                <w:szCs w:val="20"/>
                <w:lang w:val="en-US" w:eastAsia="zh-CN"/>
              </w:rPr>
              <w:t>SDAD（Sulfur Driven Autotrophic Denitrification）硫自养反硝化深床滤池是集硫自养生物脱氮及过滤功能合二为一的处理单元，该滤池采用3～6</w:t>
            </w:r>
            <w:r>
              <w:rPr>
                <w:rFonts w:hint="eastAsia" w:cs="Times New Roman"/>
                <w:color w:val="auto"/>
                <w:sz w:val="24"/>
                <w:szCs w:val="20"/>
                <w:lang w:val="en-US" w:eastAsia="zh-CN"/>
              </w:rPr>
              <w:t>mm</w:t>
            </w:r>
            <w:r>
              <w:rPr>
                <w:rFonts w:hint="default" w:ascii="Times New Roman" w:hAnsi="Times New Roman" w:eastAsia="宋体" w:cs="Times New Roman"/>
                <w:color w:val="auto"/>
                <w:sz w:val="24"/>
                <w:szCs w:val="20"/>
                <w:lang w:val="en-US" w:eastAsia="zh-CN"/>
              </w:rPr>
              <w:t>含硫复合介质滤料，滤床深度通常为1.83</w:t>
            </w:r>
            <w:r>
              <w:rPr>
                <w:rFonts w:hint="eastAsia" w:cs="Times New Roman"/>
                <w:color w:val="auto"/>
                <w:sz w:val="24"/>
                <w:szCs w:val="20"/>
                <w:lang w:val="en-US" w:eastAsia="zh-CN"/>
              </w:rPr>
              <w:t>m</w:t>
            </w:r>
            <w:r>
              <w:rPr>
                <w:rFonts w:hint="default" w:ascii="Times New Roman" w:hAnsi="Times New Roman" w:eastAsia="宋体" w:cs="Times New Roman"/>
                <w:color w:val="auto"/>
                <w:sz w:val="24"/>
                <w:szCs w:val="20"/>
                <w:lang w:val="en-US" w:eastAsia="zh-CN"/>
              </w:rPr>
              <w:t>，滤池可保证出水SS低于5</w:t>
            </w:r>
            <w:r>
              <w:rPr>
                <w:rFonts w:hint="eastAsia" w:cs="Times New Roman"/>
                <w:color w:val="auto"/>
                <w:sz w:val="24"/>
                <w:szCs w:val="20"/>
                <w:lang w:val="en-US" w:eastAsia="zh-CN"/>
              </w:rPr>
              <w:t>m</w:t>
            </w:r>
            <w:r>
              <w:rPr>
                <w:rFonts w:hint="default" w:ascii="Times New Roman" w:hAnsi="Times New Roman" w:eastAsia="宋体" w:cs="Times New Roman"/>
                <w:color w:val="auto"/>
                <w:sz w:val="24"/>
                <w:szCs w:val="20"/>
                <w:lang w:val="en-US" w:eastAsia="zh-CN"/>
              </w:rPr>
              <w:t>g/L以下。绝大多数滤池表层很容易堵塞或板结，很快失去水头，而SDAD独特的均质滤料允许固体杂质透过滤床的表层，深入滤池的滤料中，达到整个滤池纵深截留固体物的优异效果。</w:t>
            </w:r>
          </w:p>
          <w:p w14:paraId="66D8B5FD">
            <w:pPr>
              <w:spacing w:line="360" w:lineRule="auto"/>
              <w:ind w:firstLine="480" w:firstLineChars="200"/>
              <w:rPr>
                <w:rFonts w:hint="default" w:ascii="Times New Roman" w:hAnsi="Times New Roman" w:eastAsia="宋体" w:cs="Times New Roman"/>
                <w:color w:val="auto"/>
                <w:sz w:val="24"/>
                <w:szCs w:val="20"/>
                <w:lang w:val="en-US" w:eastAsia="zh-CN"/>
              </w:rPr>
            </w:pPr>
            <w:r>
              <w:rPr>
                <w:rFonts w:hint="default" w:ascii="Times New Roman" w:hAnsi="Times New Roman" w:eastAsia="宋体" w:cs="Times New Roman"/>
                <w:color w:val="auto"/>
                <w:sz w:val="24"/>
                <w:szCs w:val="20"/>
                <w:lang w:val="en-US" w:eastAsia="zh-CN"/>
              </w:rPr>
              <w:t>反硝化滤池采用特殊规格及形状的硫自养滤料作为反硝化生物的挂膜介质，同时深床又是硝酸氮</w:t>
            </w:r>
            <w:r>
              <w:rPr>
                <w:rFonts w:hint="eastAsia" w:cs="Times New Roman"/>
                <w:color w:val="auto"/>
                <w:sz w:val="24"/>
                <w:szCs w:val="20"/>
                <w:lang w:val="en-US" w:eastAsia="zh-CN"/>
              </w:rPr>
              <w:t>（</w:t>
            </w:r>
            <w:r>
              <w:rPr>
                <w:rFonts w:hint="default" w:ascii="Times New Roman" w:hAnsi="Times New Roman" w:eastAsia="宋体" w:cs="Times New Roman"/>
                <w:color w:val="auto"/>
                <w:sz w:val="24"/>
                <w:szCs w:val="20"/>
                <w:lang w:val="en-US" w:eastAsia="zh-CN"/>
              </w:rPr>
              <w:t>NO</w:t>
            </w:r>
            <w:r>
              <w:rPr>
                <w:rFonts w:hint="default" w:ascii="Times New Roman" w:hAnsi="Times New Roman" w:eastAsia="宋体" w:cs="Times New Roman"/>
                <w:color w:val="auto"/>
                <w:sz w:val="24"/>
                <w:szCs w:val="20"/>
                <w:vertAlign w:val="subscript"/>
                <w:lang w:val="en-US" w:eastAsia="zh-CN"/>
              </w:rPr>
              <w:t>3</w:t>
            </w:r>
            <w:r>
              <w:rPr>
                <w:rFonts w:hint="default" w:ascii="Times New Roman" w:hAnsi="Times New Roman" w:eastAsia="宋体" w:cs="Times New Roman"/>
                <w:color w:val="auto"/>
                <w:sz w:val="24"/>
                <w:szCs w:val="20"/>
                <w:lang w:val="en-US" w:eastAsia="zh-CN"/>
              </w:rPr>
              <w:t>-N</w:t>
            </w:r>
            <w:r>
              <w:rPr>
                <w:rFonts w:hint="eastAsia" w:cs="Times New Roman"/>
                <w:color w:val="auto"/>
                <w:sz w:val="24"/>
                <w:szCs w:val="20"/>
                <w:lang w:val="en-US" w:eastAsia="zh-CN"/>
              </w:rPr>
              <w:t>）</w:t>
            </w:r>
            <w:r>
              <w:rPr>
                <w:rFonts w:hint="default" w:ascii="Times New Roman" w:hAnsi="Times New Roman" w:eastAsia="宋体" w:cs="Times New Roman"/>
                <w:color w:val="auto"/>
                <w:sz w:val="24"/>
                <w:szCs w:val="20"/>
                <w:lang w:val="en-US" w:eastAsia="zh-CN"/>
              </w:rPr>
              <w:t>及悬浮物极好的去除构筑物，3~6毫米介质的比表面积较大。1.83</w:t>
            </w:r>
            <w:r>
              <w:rPr>
                <w:rFonts w:hint="eastAsia" w:cs="Times New Roman"/>
                <w:color w:val="auto"/>
                <w:sz w:val="24"/>
                <w:szCs w:val="20"/>
                <w:lang w:val="en-US" w:eastAsia="zh-CN"/>
              </w:rPr>
              <w:t>m</w:t>
            </w:r>
            <w:r>
              <w:rPr>
                <w:rFonts w:hint="default" w:ascii="Times New Roman" w:hAnsi="Times New Roman" w:eastAsia="宋体" w:cs="Times New Roman"/>
                <w:color w:val="auto"/>
                <w:sz w:val="24"/>
                <w:szCs w:val="20"/>
                <w:lang w:val="en-US" w:eastAsia="zh-CN"/>
              </w:rPr>
              <w:t>深介质的滤床足以避免窜流或穿透现象，即使前段处理工艺发生污泥膨胀或异常情况也不会使滤床发生水力穿透。介质有极好的悬浮物截留功效，在反冲洗周期区间，每</w:t>
            </w:r>
            <w:r>
              <w:rPr>
                <w:rFonts w:hint="eastAsia" w:cs="Times New Roman"/>
                <w:color w:val="auto"/>
                <w:sz w:val="24"/>
                <w:szCs w:val="20"/>
                <w:vertAlign w:val="baseline"/>
                <w:lang w:val="en-US" w:eastAsia="zh-CN"/>
              </w:rPr>
              <w:t>m</w:t>
            </w:r>
            <w:r>
              <w:rPr>
                <w:rFonts w:hint="eastAsia" w:cs="Times New Roman"/>
                <w:color w:val="auto"/>
                <w:sz w:val="24"/>
                <w:szCs w:val="20"/>
                <w:vertAlign w:val="superscript"/>
                <w:lang w:val="en-US" w:eastAsia="zh-CN"/>
              </w:rPr>
              <w:t>2</w:t>
            </w:r>
            <w:r>
              <w:rPr>
                <w:rFonts w:hint="default" w:ascii="Times New Roman" w:hAnsi="Times New Roman" w:eastAsia="宋体" w:cs="Times New Roman"/>
                <w:color w:val="auto"/>
                <w:sz w:val="24"/>
                <w:szCs w:val="20"/>
                <w:lang w:val="en-US" w:eastAsia="zh-CN"/>
              </w:rPr>
              <w:t>过滤面积能保证截留≥7.0kg的固体悬浮物。固体物负荷高的特性大大延长了滤池过滤周期，减少了反冲洗次数，并能轻松应对峰值流量或处理厂污泥膨胀等异常情况。悬浮物不断</w:t>
            </w:r>
            <w:r>
              <w:rPr>
                <w:rFonts w:hint="eastAsia" w:cs="Times New Roman"/>
                <w:color w:val="auto"/>
                <w:sz w:val="24"/>
                <w:szCs w:val="20"/>
                <w:lang w:val="en-US" w:eastAsia="zh-CN"/>
              </w:rPr>
              <w:t>地</w:t>
            </w:r>
            <w:r>
              <w:rPr>
                <w:rFonts w:hint="default" w:ascii="Times New Roman" w:hAnsi="Times New Roman" w:eastAsia="宋体" w:cs="Times New Roman"/>
                <w:color w:val="auto"/>
                <w:sz w:val="24"/>
                <w:szCs w:val="20"/>
                <w:lang w:val="en-US" w:eastAsia="zh-CN"/>
              </w:rPr>
              <w:t>被截留会增加水头损失，因此需要反冲洗来去除截留的固体物。由于固体物负荷高、床体深，因此需要高强度的反冲洗。反硝化滤池采用气、水协同进行反冲洗。反冲洗污水一般返回到前段生物处理单元。由于滤床固体物</w:t>
            </w:r>
            <w:r>
              <w:rPr>
                <w:rFonts w:hint="eastAsia" w:cs="Times New Roman"/>
                <w:color w:val="auto"/>
                <w:sz w:val="24"/>
                <w:szCs w:val="20"/>
                <w:lang w:val="en-US" w:eastAsia="zh-CN"/>
              </w:rPr>
              <w:t>具有</w:t>
            </w:r>
            <w:r>
              <w:rPr>
                <w:rFonts w:hint="default" w:ascii="Times New Roman" w:hAnsi="Times New Roman" w:eastAsia="宋体" w:cs="Times New Roman"/>
                <w:color w:val="auto"/>
                <w:sz w:val="24"/>
                <w:szCs w:val="20"/>
                <w:lang w:val="en-US" w:eastAsia="zh-CN"/>
              </w:rPr>
              <w:t>高负荷的截留性能，反冲洗用水不超过处理厂水量的4%，通常&lt;2%。</w:t>
            </w:r>
          </w:p>
          <w:p w14:paraId="3392A16D">
            <w:pPr>
              <w:spacing w:line="360" w:lineRule="auto"/>
              <w:ind w:firstLine="480" w:firstLineChars="200"/>
              <w:rPr>
                <w:rFonts w:hint="default" w:ascii="Times New Roman" w:hAnsi="Times New Roman" w:eastAsia="宋体" w:cs="Times New Roman"/>
                <w:color w:val="auto"/>
                <w:sz w:val="24"/>
                <w:szCs w:val="20"/>
                <w:lang w:val="en-US" w:eastAsia="zh-CN"/>
              </w:rPr>
            </w:pPr>
            <w:r>
              <w:rPr>
                <w:rFonts w:hint="default" w:ascii="Times New Roman" w:hAnsi="Times New Roman" w:eastAsia="宋体" w:cs="Times New Roman"/>
                <w:color w:val="auto"/>
                <w:sz w:val="24"/>
                <w:szCs w:val="20"/>
                <w:lang w:val="en-US" w:eastAsia="zh-CN"/>
              </w:rPr>
              <w:t>滤池同步去除TN和SS，正常水质条件无需投加复合药剂，所用滤料为消耗性滤料，平均年增添率为20%；当进水水质负荷提升或环境条件显著变化，可通过适当补充药剂投加系统启动运行。</w:t>
            </w:r>
          </w:p>
          <w:p w14:paraId="5B36D0B4">
            <w:pPr>
              <w:spacing w:line="360" w:lineRule="auto"/>
              <w:jc w:val="center"/>
              <w:rPr>
                <w:rFonts w:hint="default" w:ascii="Times New Roman" w:hAnsi="Times New Roman" w:eastAsia="宋体" w:cs="Times New Roman"/>
                <w:color w:val="auto"/>
                <w:sz w:val="24"/>
                <w:szCs w:val="20"/>
                <w:lang w:val="en-US" w:eastAsia="zh-CN"/>
              </w:rPr>
            </w:pPr>
            <w:r>
              <w:rPr>
                <w:rFonts w:hint="default" w:ascii="Times New Roman" w:hAnsi="Times New Roman" w:eastAsia="宋体" w:cs="Times New Roman"/>
                <w:color w:val="auto"/>
                <w:sz w:val="24"/>
                <w:szCs w:val="20"/>
                <w:lang w:val="en-US" w:eastAsia="zh-CN"/>
              </w:rPr>
              <w:drawing>
                <wp:inline distT="0" distB="0" distL="114300" distR="114300">
                  <wp:extent cx="3587115" cy="2383155"/>
                  <wp:effectExtent l="0" t="0" r="13335" b="17145"/>
                  <wp:docPr id="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
                          <pic:cNvPicPr>
                            <a:picLocks noChangeAspect="1"/>
                          </pic:cNvPicPr>
                        </pic:nvPicPr>
                        <pic:blipFill>
                          <a:blip r:embed="rId9"/>
                          <a:stretch>
                            <a:fillRect/>
                          </a:stretch>
                        </pic:blipFill>
                        <pic:spPr>
                          <a:xfrm>
                            <a:off x="0" y="0"/>
                            <a:ext cx="3587115" cy="2383155"/>
                          </a:xfrm>
                          <a:prstGeom prst="rect">
                            <a:avLst/>
                          </a:prstGeom>
                          <a:noFill/>
                          <a:ln>
                            <a:noFill/>
                          </a:ln>
                        </pic:spPr>
                      </pic:pic>
                    </a:graphicData>
                  </a:graphic>
                </wp:inline>
              </w:drawing>
            </w:r>
          </w:p>
          <w:p w14:paraId="443E720E">
            <w:pPr>
              <w:spacing w:line="360" w:lineRule="auto"/>
              <w:jc w:val="center"/>
              <w:rPr>
                <w:rFonts w:hint="default" w:ascii="Times New Roman" w:hAnsi="Times New Roman" w:eastAsia="宋体" w:cs="Times New Roman"/>
                <w:color w:val="auto"/>
                <w:sz w:val="24"/>
                <w:szCs w:val="20"/>
                <w:lang w:val="en-US" w:eastAsia="zh-CN"/>
              </w:rPr>
            </w:pPr>
            <w:r>
              <w:rPr>
                <w:rFonts w:hint="default" w:ascii="Times New Roman" w:hAnsi="Times New Roman" w:eastAsia="宋体" w:cs="Times New Roman"/>
                <w:b/>
                <w:bCs/>
                <w:color w:val="auto"/>
                <w:sz w:val="24"/>
                <w:szCs w:val="20"/>
                <w:lang w:val="en-US" w:eastAsia="zh-CN"/>
              </w:rPr>
              <w:t>图2-4 SDAD反硝化深床滤池工艺流程图</w:t>
            </w:r>
          </w:p>
          <w:p w14:paraId="07E54D84">
            <w:pPr>
              <w:spacing w:line="360" w:lineRule="auto"/>
              <w:ind w:firstLine="480" w:firstLineChars="200"/>
              <w:rPr>
                <w:rFonts w:hint="default" w:ascii="Times New Roman" w:hAnsi="Times New Roman" w:eastAsia="宋体" w:cs="Times New Roman"/>
                <w:color w:val="auto"/>
                <w:sz w:val="24"/>
                <w:szCs w:val="20"/>
              </w:rPr>
            </w:pPr>
            <w:r>
              <w:rPr>
                <w:rFonts w:hint="default" w:ascii="Times New Roman" w:hAnsi="Times New Roman" w:eastAsia="宋体" w:cs="Times New Roman"/>
                <w:color w:val="auto"/>
                <w:sz w:val="24"/>
                <w:szCs w:val="20"/>
                <w:lang w:val="en-US" w:eastAsia="zh-CN"/>
              </w:rPr>
              <w:t>⑥消毒</w:t>
            </w:r>
            <w:r>
              <w:rPr>
                <w:rFonts w:hint="default" w:ascii="Times New Roman" w:hAnsi="Times New Roman" w:eastAsia="宋体" w:cs="Times New Roman"/>
                <w:color w:val="auto"/>
                <w:sz w:val="24"/>
                <w:szCs w:val="20"/>
              </w:rPr>
              <w:t>池</w:t>
            </w:r>
          </w:p>
          <w:p w14:paraId="42945D2D">
            <w:pPr>
              <w:spacing w:line="360" w:lineRule="auto"/>
              <w:ind w:firstLine="480" w:firstLineChars="200"/>
              <w:rPr>
                <w:rFonts w:hint="default" w:ascii="Times New Roman" w:hAnsi="Times New Roman" w:eastAsia="宋体" w:cs="Times New Roman"/>
                <w:color w:val="auto"/>
                <w:sz w:val="24"/>
                <w:szCs w:val="20"/>
              </w:rPr>
            </w:pPr>
            <w:r>
              <w:rPr>
                <w:rFonts w:hint="default" w:ascii="Times New Roman" w:hAnsi="Times New Roman" w:eastAsia="宋体" w:cs="Times New Roman"/>
                <w:color w:val="auto"/>
                <w:sz w:val="24"/>
                <w:szCs w:val="20"/>
                <w:lang w:val="en-US" w:eastAsia="zh-CN"/>
              </w:rPr>
              <w:t>污水厂一期工程采用二氧化氯发生器消毒，经过多年运行，现状消毒设施已损坏废弃</w:t>
            </w:r>
            <w:r>
              <w:rPr>
                <w:rFonts w:hint="eastAsia" w:cs="Times New Roman"/>
                <w:color w:val="auto"/>
                <w:sz w:val="24"/>
                <w:szCs w:val="20"/>
                <w:lang w:val="en-US" w:eastAsia="zh-CN"/>
              </w:rPr>
              <w:t>。</w:t>
            </w:r>
            <w:r>
              <w:rPr>
                <w:rFonts w:hint="default" w:ascii="Times New Roman" w:hAnsi="Times New Roman" w:eastAsia="宋体" w:cs="Times New Roman"/>
                <w:color w:val="auto"/>
                <w:sz w:val="24"/>
                <w:szCs w:val="20"/>
                <w:lang w:val="en-US" w:eastAsia="zh-CN"/>
              </w:rPr>
              <w:t>本项目采用次氯酸钠商品液。商品液设置于现状二氧化氯发生间，房间土建完好可利用。</w:t>
            </w:r>
          </w:p>
          <w:p w14:paraId="2A2C09E0">
            <w:pPr>
              <w:spacing w:line="360" w:lineRule="auto"/>
              <w:ind w:firstLine="480" w:firstLineChars="200"/>
              <w:rPr>
                <w:rFonts w:hint="default" w:ascii="Times New Roman" w:hAnsi="Times New Roman" w:eastAsia="宋体" w:cs="Times New Roman"/>
                <w:color w:val="auto"/>
                <w:sz w:val="24"/>
                <w:szCs w:val="20"/>
              </w:rPr>
            </w:pPr>
            <w:r>
              <w:rPr>
                <w:rFonts w:hint="default" w:ascii="Times New Roman" w:hAnsi="Times New Roman" w:eastAsia="宋体" w:cs="Times New Roman"/>
                <w:color w:val="auto"/>
                <w:sz w:val="24"/>
                <w:szCs w:val="20"/>
                <w:lang w:val="en-US" w:eastAsia="zh-CN"/>
              </w:rPr>
              <w:t>商品液由加药装置投至现状清水池，由出水管道经巴氏计量槽回用。</w:t>
            </w:r>
          </w:p>
          <w:p w14:paraId="667C88A1">
            <w:pPr>
              <w:spacing w:line="360" w:lineRule="auto"/>
              <w:ind w:firstLine="480" w:firstLineChars="200"/>
              <w:rPr>
                <w:rFonts w:hint="default" w:ascii="Times New Roman" w:hAnsi="Times New Roman" w:eastAsia="宋体" w:cs="Times New Roman"/>
                <w:color w:val="auto"/>
                <w:sz w:val="24"/>
                <w:szCs w:val="20"/>
              </w:rPr>
            </w:pPr>
            <w:r>
              <w:rPr>
                <w:rFonts w:hint="default" w:ascii="Times New Roman" w:hAnsi="Times New Roman" w:eastAsia="宋体" w:cs="Times New Roman"/>
                <w:color w:val="auto"/>
                <w:sz w:val="24"/>
                <w:szCs w:val="20"/>
                <w:lang w:val="en-US" w:eastAsia="zh-CN"/>
              </w:rPr>
              <w:t>2</w:t>
            </w:r>
            <w:r>
              <w:rPr>
                <w:rFonts w:hint="eastAsia" w:cs="Times New Roman"/>
                <w:color w:val="auto"/>
                <w:sz w:val="24"/>
                <w:szCs w:val="20"/>
                <w:lang w:val="en-US" w:eastAsia="zh-CN"/>
              </w:rPr>
              <w:t>.</w:t>
            </w:r>
            <w:r>
              <w:rPr>
                <w:rFonts w:hint="default" w:ascii="Times New Roman" w:hAnsi="Times New Roman" w:eastAsia="宋体" w:cs="Times New Roman"/>
                <w:color w:val="auto"/>
                <w:sz w:val="24"/>
                <w:szCs w:val="20"/>
              </w:rPr>
              <w:t>污泥处理部分</w:t>
            </w:r>
          </w:p>
          <w:p w14:paraId="46E9D32A">
            <w:pPr>
              <w:spacing w:line="360" w:lineRule="auto"/>
              <w:ind w:firstLine="480" w:firstLineChars="200"/>
              <w:rPr>
                <w:rFonts w:hint="default" w:ascii="Times New Roman" w:hAnsi="Times New Roman" w:eastAsia="宋体" w:cs="Times New Roman"/>
                <w:color w:val="auto"/>
                <w:sz w:val="24"/>
                <w:szCs w:val="20"/>
                <w:lang w:val="en-US" w:eastAsia="zh-CN"/>
              </w:rPr>
            </w:pPr>
            <w:r>
              <w:rPr>
                <w:rFonts w:hint="default" w:ascii="Times New Roman" w:hAnsi="Times New Roman" w:eastAsia="宋体" w:cs="Times New Roman"/>
                <w:color w:val="auto"/>
                <w:sz w:val="24"/>
                <w:szCs w:val="20"/>
                <w:lang w:val="en-US" w:eastAsia="zh-CN"/>
              </w:rPr>
              <w:t>污水处理厂一期设计脱泥采用高压带式脱泥机，经过多年运行出泥含水率较高，设备老化严重，无法达到</w:t>
            </w:r>
            <w:r>
              <w:rPr>
                <w:rFonts w:hint="default" w:ascii="Times New Roman" w:hAnsi="Times New Roman" w:eastAsia="宋体" w:cs="Times New Roman"/>
                <w:color w:val="auto"/>
                <w:sz w:val="24"/>
                <w:szCs w:val="20"/>
              </w:rPr>
              <w:t>污泥</w:t>
            </w:r>
            <w:r>
              <w:rPr>
                <w:rFonts w:hint="default" w:ascii="Times New Roman" w:hAnsi="Times New Roman" w:eastAsia="宋体" w:cs="Times New Roman"/>
                <w:color w:val="auto"/>
                <w:sz w:val="24"/>
                <w:szCs w:val="20"/>
                <w:lang w:val="en-US" w:eastAsia="zh-CN"/>
              </w:rPr>
              <w:t>填埋含水率</w:t>
            </w:r>
            <w:r>
              <w:rPr>
                <w:rFonts w:hint="eastAsia" w:cs="Times New Roman"/>
                <w:color w:val="auto"/>
                <w:sz w:val="24"/>
                <w:szCs w:val="20"/>
                <w:lang w:val="en-US" w:eastAsia="zh-CN"/>
              </w:rPr>
              <w:t>的</w:t>
            </w:r>
            <w:r>
              <w:rPr>
                <w:rFonts w:hint="default" w:ascii="Times New Roman" w:hAnsi="Times New Roman" w:eastAsia="宋体" w:cs="Times New Roman"/>
                <w:color w:val="auto"/>
                <w:sz w:val="24"/>
                <w:szCs w:val="20"/>
                <w:lang w:val="en-US" w:eastAsia="zh-CN"/>
              </w:rPr>
              <w:t>要求。</w:t>
            </w:r>
          </w:p>
          <w:p w14:paraId="41EF6348">
            <w:pPr>
              <w:spacing w:line="360" w:lineRule="auto"/>
              <w:ind w:firstLine="480" w:firstLineChars="200"/>
              <w:rPr>
                <w:rFonts w:hint="default" w:ascii="Times New Roman" w:hAnsi="Times New Roman" w:eastAsia="宋体" w:cs="Times New Roman"/>
                <w:color w:val="auto"/>
                <w:sz w:val="24"/>
                <w:szCs w:val="20"/>
                <w:lang w:val="en-US" w:eastAsia="zh-CN"/>
              </w:rPr>
            </w:pPr>
            <w:r>
              <w:rPr>
                <w:rFonts w:hint="default" w:ascii="Times New Roman" w:hAnsi="Times New Roman" w:eastAsia="宋体" w:cs="Times New Roman"/>
                <w:color w:val="auto"/>
                <w:sz w:val="24"/>
                <w:szCs w:val="20"/>
                <w:lang w:val="en-US" w:eastAsia="zh-CN"/>
              </w:rPr>
              <w:t>污水处理厂进泥含水率99.2%，绝干泥处理量0.8tDs/d，要求出泥含水率60%。污泥脱水采用</w:t>
            </w:r>
            <w:r>
              <w:rPr>
                <w:rFonts w:hint="eastAsia" w:ascii="Times New Roman" w:hAnsi="Times New Roman" w:eastAsia="宋体" w:cs="Times New Roman"/>
                <w:color w:val="auto"/>
                <w:sz w:val="24"/>
                <w:szCs w:val="20"/>
                <w:lang w:val="en-US" w:eastAsia="zh-CN"/>
              </w:rPr>
              <w:t>“</w:t>
            </w:r>
            <w:r>
              <w:rPr>
                <w:rFonts w:hint="default" w:ascii="Times New Roman" w:hAnsi="Times New Roman" w:eastAsia="宋体" w:cs="Times New Roman"/>
                <w:color w:val="auto"/>
                <w:sz w:val="24"/>
                <w:szCs w:val="20"/>
                <w:lang w:val="en-US" w:eastAsia="zh-CN"/>
              </w:rPr>
              <w:t>浓缩+调理+超高压压榨</w:t>
            </w:r>
            <w:r>
              <w:rPr>
                <w:rFonts w:hint="eastAsia" w:ascii="Times New Roman" w:hAnsi="Times New Roman" w:eastAsia="宋体" w:cs="Times New Roman"/>
                <w:color w:val="auto"/>
                <w:sz w:val="24"/>
                <w:szCs w:val="20"/>
                <w:lang w:val="en-US" w:eastAsia="zh-CN"/>
              </w:rPr>
              <w:t>”</w:t>
            </w:r>
            <w:r>
              <w:rPr>
                <w:rFonts w:hint="default" w:ascii="Times New Roman" w:hAnsi="Times New Roman" w:eastAsia="宋体" w:cs="Times New Roman"/>
                <w:color w:val="auto"/>
                <w:sz w:val="24"/>
                <w:szCs w:val="20"/>
                <w:lang w:val="en-US" w:eastAsia="zh-CN"/>
              </w:rPr>
              <w:t>工艺，设计泥饼密度1.2，泥饼厚度2.5c</w:t>
            </w:r>
            <w:r>
              <w:rPr>
                <w:rFonts w:hint="eastAsia" w:cs="Times New Roman"/>
                <w:color w:val="auto"/>
                <w:sz w:val="24"/>
                <w:szCs w:val="20"/>
                <w:lang w:val="en-US" w:eastAsia="zh-CN"/>
              </w:rPr>
              <w:t>m</w:t>
            </w:r>
            <w:r>
              <w:rPr>
                <w:rFonts w:hint="default" w:ascii="Times New Roman" w:hAnsi="Times New Roman" w:eastAsia="宋体" w:cs="Times New Roman"/>
                <w:color w:val="auto"/>
                <w:sz w:val="24"/>
                <w:szCs w:val="20"/>
                <w:lang w:val="en-US" w:eastAsia="zh-CN"/>
              </w:rPr>
              <w:t>，PAM投加量4‰，三氯化铁（38%浓度）投加量10</w:t>
            </w:r>
            <w:r>
              <w:rPr>
                <w:rFonts w:hint="eastAsia" w:cs="Times New Roman"/>
                <w:color w:val="auto"/>
                <w:sz w:val="24"/>
                <w:szCs w:val="20"/>
                <w:lang w:val="en-US" w:eastAsia="zh-CN"/>
              </w:rPr>
              <w:t>%～</w:t>
            </w:r>
            <w:r>
              <w:rPr>
                <w:rFonts w:hint="default" w:ascii="Times New Roman" w:hAnsi="Times New Roman" w:eastAsia="宋体" w:cs="Times New Roman"/>
                <w:color w:val="auto"/>
                <w:sz w:val="24"/>
                <w:szCs w:val="20"/>
                <w:lang w:val="en-US" w:eastAsia="zh-CN"/>
              </w:rPr>
              <w:t>15%，石灰投加比例20</w:t>
            </w:r>
            <w:r>
              <w:rPr>
                <w:rFonts w:hint="eastAsia" w:cs="Times New Roman"/>
                <w:color w:val="auto"/>
                <w:sz w:val="24"/>
                <w:szCs w:val="20"/>
                <w:lang w:val="en-US" w:eastAsia="zh-CN"/>
              </w:rPr>
              <w:t>%～</w:t>
            </w:r>
            <w:r>
              <w:rPr>
                <w:rFonts w:hint="default" w:ascii="Times New Roman" w:hAnsi="Times New Roman" w:eastAsia="宋体" w:cs="Times New Roman"/>
                <w:color w:val="auto"/>
                <w:sz w:val="24"/>
                <w:szCs w:val="20"/>
                <w:lang w:val="en-US" w:eastAsia="zh-CN"/>
              </w:rPr>
              <w:t>30%，选用1台40平TH型压榨机，单台批次处理量0.2t，运行时间8h，单台每天运行4批次，批次时间1.5~2h，脱水后的污泥经污泥斗缓存后接车外运。</w:t>
            </w:r>
          </w:p>
          <w:p w14:paraId="6D4F45E1">
            <w:pPr>
              <w:spacing w:line="360" w:lineRule="auto"/>
              <w:ind w:firstLine="480" w:firstLineChars="200"/>
              <w:rPr>
                <w:rFonts w:hint="default" w:ascii="Times New Roman" w:hAnsi="Times New Roman" w:eastAsia="宋体" w:cs="Times New Roman"/>
                <w:color w:val="auto"/>
                <w:sz w:val="24"/>
                <w:szCs w:val="20"/>
                <w:lang w:val="en-US" w:eastAsia="zh-CN"/>
              </w:rPr>
            </w:pPr>
            <w:r>
              <w:rPr>
                <w:rFonts w:hint="default" w:ascii="Times New Roman" w:hAnsi="Times New Roman" w:eastAsia="宋体" w:cs="Times New Roman"/>
                <w:color w:val="auto"/>
                <w:sz w:val="24"/>
                <w:szCs w:val="20"/>
                <w:lang w:val="en-US" w:eastAsia="zh-CN"/>
              </w:rPr>
              <w:t>3</w:t>
            </w:r>
            <w:r>
              <w:rPr>
                <w:rFonts w:hint="eastAsia" w:cs="Times New Roman"/>
                <w:color w:val="auto"/>
                <w:sz w:val="24"/>
                <w:szCs w:val="20"/>
                <w:lang w:val="en-US" w:eastAsia="zh-CN"/>
              </w:rPr>
              <w:t>.</w:t>
            </w:r>
            <w:r>
              <w:rPr>
                <w:rFonts w:hint="default" w:ascii="Times New Roman" w:hAnsi="Times New Roman" w:eastAsia="宋体" w:cs="Times New Roman"/>
                <w:color w:val="auto"/>
                <w:sz w:val="24"/>
                <w:szCs w:val="20"/>
                <w:lang w:val="en-US" w:eastAsia="zh-CN"/>
              </w:rPr>
              <w:t>除臭部分</w:t>
            </w:r>
          </w:p>
          <w:p w14:paraId="0F427C06">
            <w:pPr>
              <w:spacing w:line="360" w:lineRule="auto"/>
              <w:ind w:firstLine="480" w:firstLineChars="200"/>
              <w:rPr>
                <w:rFonts w:hint="default" w:ascii="Times New Roman" w:hAnsi="Times New Roman" w:eastAsia="宋体" w:cs="Times New Roman"/>
                <w:color w:val="auto"/>
                <w:sz w:val="24"/>
                <w:szCs w:val="20"/>
                <w:lang w:val="en-US" w:eastAsia="zh-CN"/>
              </w:rPr>
            </w:pPr>
            <w:r>
              <w:rPr>
                <w:rFonts w:hint="default" w:ascii="Times New Roman" w:hAnsi="Times New Roman" w:eastAsia="宋体" w:cs="Times New Roman"/>
                <w:color w:val="auto"/>
                <w:sz w:val="24"/>
                <w:szCs w:val="20"/>
                <w:lang w:val="en-US" w:eastAsia="zh-CN"/>
              </w:rPr>
              <w:t>项目对产生恶臭气体的格栅、生化池、污泥脱水</w:t>
            </w:r>
            <w:r>
              <w:rPr>
                <w:rFonts w:hint="eastAsia" w:cs="Times New Roman"/>
                <w:color w:val="auto"/>
                <w:sz w:val="24"/>
                <w:szCs w:val="20"/>
                <w:lang w:val="en-US" w:eastAsia="zh-CN"/>
              </w:rPr>
              <w:t>等</w:t>
            </w:r>
            <w:r>
              <w:rPr>
                <w:rFonts w:hint="default" w:ascii="Times New Roman" w:hAnsi="Times New Roman" w:eastAsia="宋体" w:cs="Times New Roman"/>
                <w:color w:val="auto"/>
                <w:sz w:val="24"/>
                <w:szCs w:val="20"/>
                <w:lang w:val="en-US" w:eastAsia="zh-CN"/>
              </w:rPr>
              <w:t>工序布置于全封闭厂房内，并在生物池的缺氧段安装微生物培养箱4台，采用全流程除臭工艺。利用微生物填料和培养箱，在污水处理厂生物池中培养出高效除臭微生物，将含高效除臭微生物的污泥回流于污水厂预处理段，除臭微生物与水中的恶臭物质发生吸附、凝聚和生物转化降解等作用，使得污水厂各构筑物恶臭物质在水中得到</w:t>
            </w:r>
            <w:r>
              <w:rPr>
                <w:rFonts w:hint="eastAsia" w:cs="Times New Roman"/>
                <w:color w:val="auto"/>
                <w:sz w:val="24"/>
                <w:szCs w:val="20"/>
                <w:lang w:val="en-US" w:eastAsia="zh-CN"/>
              </w:rPr>
              <w:t>去除</w:t>
            </w:r>
            <w:r>
              <w:rPr>
                <w:rFonts w:hint="default" w:ascii="Times New Roman" w:hAnsi="Times New Roman" w:eastAsia="宋体" w:cs="Times New Roman"/>
                <w:color w:val="auto"/>
                <w:sz w:val="24"/>
                <w:szCs w:val="20"/>
                <w:lang w:val="en-US" w:eastAsia="zh-CN"/>
              </w:rPr>
              <w:t>，实现污水厂恶臭的全过程控制。</w:t>
            </w:r>
          </w:p>
          <w:p w14:paraId="15DEBED7">
            <w:pPr>
              <w:spacing w:line="360" w:lineRule="auto"/>
              <w:rPr>
                <w:rFonts w:hint="default" w:ascii="Times New Roman" w:hAnsi="Times New Roman" w:eastAsia="宋体" w:cs="Times New Roman"/>
                <w:color w:val="auto"/>
                <w:sz w:val="24"/>
                <w:szCs w:val="20"/>
                <w:lang w:val="en-US" w:eastAsia="zh-CN"/>
              </w:rPr>
            </w:pPr>
            <w:r>
              <w:rPr>
                <w:rFonts w:hint="default" w:ascii="Times New Roman" w:hAnsi="Times New Roman" w:eastAsia="宋体" w:cs="Times New Roman"/>
                <w:color w:val="auto"/>
                <w:sz w:val="24"/>
                <w:szCs w:val="20"/>
                <w:lang w:val="en-US" w:eastAsia="zh-CN"/>
              </w:rPr>
              <w:drawing>
                <wp:inline distT="0" distB="0" distL="114300" distR="114300">
                  <wp:extent cx="5230495" cy="1743710"/>
                  <wp:effectExtent l="0" t="0" r="8255" b="8890"/>
                  <wp:docPr id="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
                          <pic:cNvPicPr>
                            <a:picLocks noChangeAspect="1"/>
                          </pic:cNvPicPr>
                        </pic:nvPicPr>
                        <pic:blipFill>
                          <a:blip r:embed="rId10"/>
                          <a:stretch>
                            <a:fillRect/>
                          </a:stretch>
                        </pic:blipFill>
                        <pic:spPr>
                          <a:xfrm>
                            <a:off x="0" y="0"/>
                            <a:ext cx="5230495" cy="1743710"/>
                          </a:xfrm>
                          <a:prstGeom prst="rect">
                            <a:avLst/>
                          </a:prstGeom>
                          <a:noFill/>
                          <a:ln>
                            <a:noFill/>
                          </a:ln>
                        </pic:spPr>
                      </pic:pic>
                    </a:graphicData>
                  </a:graphic>
                </wp:inline>
              </w:drawing>
            </w:r>
          </w:p>
          <w:p w14:paraId="4498EFE0">
            <w:pPr>
              <w:spacing w:line="360" w:lineRule="auto"/>
              <w:jc w:val="center"/>
              <w:rPr>
                <w:rFonts w:hint="default" w:ascii="Times New Roman" w:hAnsi="Times New Roman" w:eastAsia="宋体" w:cs="Times New Roman"/>
                <w:b/>
                <w:bCs/>
                <w:color w:val="auto"/>
                <w:sz w:val="24"/>
                <w:szCs w:val="20"/>
                <w:lang w:val="en-US" w:eastAsia="zh-CN"/>
              </w:rPr>
            </w:pPr>
            <w:r>
              <w:rPr>
                <w:rFonts w:hint="default" w:ascii="Times New Roman" w:hAnsi="Times New Roman" w:eastAsia="宋体" w:cs="Times New Roman"/>
                <w:b/>
                <w:bCs/>
                <w:color w:val="auto"/>
                <w:sz w:val="24"/>
                <w:szCs w:val="20"/>
                <w:lang w:val="en-US" w:eastAsia="zh-CN"/>
              </w:rPr>
              <w:t>图2-5 全过程除臭工艺示意图</w:t>
            </w:r>
          </w:p>
          <w:p w14:paraId="1A81784F">
            <w:pPr>
              <w:adjustRightInd w:val="0"/>
              <w:snapToGrid w:val="0"/>
              <w:spacing w:line="360" w:lineRule="auto"/>
              <w:rPr>
                <w:rFonts w:hint="default" w:ascii="Times New Roman" w:hAnsi="Times New Roman" w:eastAsia="宋体" w:cs="Times New Roman"/>
                <w:b/>
                <w:bCs/>
                <w:color w:val="auto"/>
                <w:sz w:val="24"/>
                <w:highlight w:val="none"/>
              </w:rPr>
            </w:pPr>
          </w:p>
          <w:p w14:paraId="37CABDF8">
            <w:pPr>
              <w:adjustRightInd w:val="0"/>
              <w:snapToGrid w:val="0"/>
              <w:spacing w:line="360" w:lineRule="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主要污染工序</w:t>
            </w:r>
          </w:p>
          <w:p w14:paraId="0657242B">
            <w:pPr>
              <w:adjustRightInd w:val="0"/>
              <w:snapToGrid w:val="0"/>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1.施工期主要污染工序</w:t>
            </w:r>
          </w:p>
          <w:p w14:paraId="7ED82D4D">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（1）废气：主要为扬尘以及施工机械、运输车辆</w:t>
            </w:r>
            <w:r>
              <w:rPr>
                <w:rFonts w:hint="eastAsia" w:cs="Times New Roman"/>
                <w:bCs/>
                <w:color w:val="auto"/>
                <w:sz w:val="24"/>
                <w:highlight w:val="none"/>
                <w:lang w:eastAsia="zh-CN"/>
              </w:rPr>
              <w:t>的</w:t>
            </w:r>
            <w:r>
              <w:rPr>
                <w:rFonts w:hint="default" w:ascii="Times New Roman" w:hAnsi="Times New Roman" w:eastAsia="宋体" w:cs="Times New Roman"/>
                <w:bCs/>
                <w:color w:val="auto"/>
                <w:sz w:val="24"/>
                <w:highlight w:val="none"/>
              </w:rPr>
              <w:t>废气。</w:t>
            </w:r>
          </w:p>
          <w:p w14:paraId="592E3A25">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（2）废水：主要为施工人员生活污水和施工废水。</w:t>
            </w:r>
          </w:p>
          <w:p w14:paraId="6E7DB33C">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（3）噪声：主要为施工过程中作业机械运行时产生的噪声。</w:t>
            </w:r>
          </w:p>
          <w:p w14:paraId="3F0C6833">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（4）固体废物：主要为</w:t>
            </w:r>
            <w:r>
              <w:rPr>
                <w:rFonts w:hint="default" w:ascii="Times New Roman" w:hAnsi="Times New Roman" w:eastAsia="宋体" w:cs="Times New Roman"/>
                <w:bCs/>
                <w:color w:val="auto"/>
                <w:sz w:val="24"/>
                <w:highlight w:val="none"/>
                <w:lang w:val="en-US" w:eastAsia="zh-CN"/>
              </w:rPr>
              <w:t>拆除的废旧设备、</w:t>
            </w:r>
            <w:r>
              <w:rPr>
                <w:rFonts w:hint="default" w:ascii="Times New Roman" w:hAnsi="Times New Roman" w:eastAsia="宋体" w:cs="Times New Roman"/>
                <w:bCs/>
                <w:color w:val="auto"/>
                <w:sz w:val="24"/>
                <w:highlight w:val="none"/>
              </w:rPr>
              <w:t>建筑垃圾和施工人员</w:t>
            </w:r>
            <w:r>
              <w:rPr>
                <w:rFonts w:hint="eastAsia" w:cs="Times New Roman"/>
                <w:bCs/>
                <w:color w:val="auto"/>
                <w:sz w:val="24"/>
                <w:highlight w:val="none"/>
                <w:lang w:eastAsia="zh-CN"/>
              </w:rPr>
              <w:t>的</w:t>
            </w:r>
            <w:r>
              <w:rPr>
                <w:rFonts w:hint="default" w:ascii="Times New Roman" w:hAnsi="Times New Roman" w:eastAsia="宋体" w:cs="Times New Roman"/>
                <w:bCs/>
                <w:color w:val="auto"/>
                <w:sz w:val="24"/>
                <w:highlight w:val="none"/>
              </w:rPr>
              <w:t>生活垃圾。</w:t>
            </w:r>
          </w:p>
          <w:p w14:paraId="735B5D86">
            <w:pPr>
              <w:adjustRightInd w:val="0"/>
              <w:snapToGrid w:val="0"/>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2.运营期主要污染工序</w:t>
            </w:r>
          </w:p>
          <w:p w14:paraId="46BE6743">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（1）废气：</w:t>
            </w:r>
            <w:r>
              <w:rPr>
                <w:rFonts w:hint="default" w:ascii="Times New Roman" w:hAnsi="Times New Roman" w:eastAsia="宋体" w:cs="Times New Roman"/>
                <w:bCs/>
                <w:color w:val="auto"/>
                <w:sz w:val="24"/>
                <w:highlight w:val="none"/>
                <w:lang w:val="en-US" w:eastAsia="zh-CN"/>
              </w:rPr>
              <w:t>本项目的大气污染物主要是恶臭气体</w:t>
            </w:r>
            <w:r>
              <w:rPr>
                <w:rFonts w:hint="default" w:ascii="Times New Roman" w:hAnsi="Times New Roman" w:eastAsia="宋体" w:cs="Times New Roman"/>
                <w:bCs/>
                <w:color w:val="auto"/>
                <w:sz w:val="24"/>
                <w:highlight w:val="none"/>
              </w:rPr>
              <w:t>。</w:t>
            </w:r>
          </w:p>
          <w:p w14:paraId="7ECA86AD">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（2）废水：</w:t>
            </w:r>
            <w:r>
              <w:rPr>
                <w:rFonts w:hint="default" w:ascii="Times New Roman" w:hAnsi="Times New Roman" w:eastAsia="宋体" w:cs="Times New Roman"/>
                <w:bCs/>
                <w:color w:val="auto"/>
                <w:sz w:val="24"/>
                <w:highlight w:val="none"/>
                <w:lang w:val="en-US" w:eastAsia="zh-CN"/>
              </w:rPr>
              <w:t>本项目不产生</w:t>
            </w:r>
            <w:r>
              <w:rPr>
                <w:rFonts w:hint="default" w:ascii="Times New Roman" w:hAnsi="Times New Roman" w:eastAsia="宋体" w:cs="Times New Roman"/>
                <w:bCs/>
                <w:color w:val="auto"/>
                <w:sz w:val="24"/>
                <w:highlight w:val="none"/>
              </w:rPr>
              <w:t>生活污水</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lang w:val="en-US" w:eastAsia="zh-CN"/>
              </w:rPr>
              <w:t>生产废水进入本污水厂污水处理系统</w:t>
            </w:r>
            <w:r>
              <w:rPr>
                <w:rFonts w:hint="default" w:ascii="Times New Roman" w:hAnsi="Times New Roman" w:eastAsia="宋体" w:cs="Times New Roman"/>
                <w:bCs/>
                <w:color w:val="auto"/>
                <w:sz w:val="24"/>
                <w:highlight w:val="none"/>
              </w:rPr>
              <w:t>。</w:t>
            </w:r>
          </w:p>
          <w:p w14:paraId="2B93DDA0">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（3）噪声：主要为设备运转过程中产生的噪声。</w:t>
            </w:r>
          </w:p>
          <w:p w14:paraId="2B2D8939">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（4）固体废物：主要为栅渣</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沉砂</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污泥等。</w:t>
            </w:r>
          </w:p>
        </w:tc>
      </w:tr>
      <w:tr w14:paraId="787A5A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59" w:hRule="atLeast"/>
          <w:jc w:val="center"/>
        </w:trPr>
        <w:tc>
          <w:tcPr>
            <w:tcW w:w="296" w:type="pct"/>
            <w:vAlign w:val="center"/>
          </w:tcPr>
          <w:p w14:paraId="13AFC305">
            <w:pPr>
              <w:pStyle w:val="8"/>
              <w:adjustRightInd w:val="0"/>
              <w:snapToGrid w:val="0"/>
              <w:spacing w:before="0" w:beforeAutospacing="0" w:after="0" w:afterAutospacing="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2"/>
                <w:sz w:val="21"/>
                <w:szCs w:val="21"/>
                <w:highlight w:val="none"/>
              </w:rPr>
              <w:t>与项目有关的原有环境污染问题</w:t>
            </w:r>
          </w:p>
        </w:tc>
        <w:tc>
          <w:tcPr>
            <w:tcW w:w="4703" w:type="pct"/>
            <w:vAlign w:val="center"/>
          </w:tcPr>
          <w:p w14:paraId="2FDEFE15">
            <w:pPr>
              <w:spacing w:line="360" w:lineRule="auto"/>
              <w:ind w:firstLine="482" w:firstLineChars="200"/>
              <w:rPr>
                <w:rFonts w:hint="default" w:ascii="Times New Roman" w:hAnsi="Times New Roman" w:eastAsia="宋体" w:cs="Times New Roman"/>
                <w:b/>
                <w:bCs/>
                <w:color w:val="auto"/>
                <w:kern w:val="0"/>
                <w:sz w:val="24"/>
                <w:highlight w:val="none"/>
                <w:lang w:val="en-US" w:eastAsia="zh-CN"/>
              </w:rPr>
            </w:pPr>
            <w:r>
              <w:rPr>
                <w:rFonts w:hint="default" w:ascii="Times New Roman" w:hAnsi="Times New Roman" w:eastAsia="宋体" w:cs="Times New Roman"/>
                <w:b/>
                <w:bCs/>
                <w:color w:val="auto"/>
                <w:kern w:val="0"/>
                <w:sz w:val="24"/>
                <w:highlight w:val="none"/>
                <w:lang w:val="en-US" w:eastAsia="zh-CN"/>
              </w:rPr>
              <w:t>1.环保手续履行情况</w:t>
            </w:r>
          </w:p>
          <w:p w14:paraId="39B1942D">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杭锦旗锡尼镇污水处理厂最初于2006年4月24日取得《鄂尔多斯市环境保护局关于鄂尔多斯市杭锦旗锡尼镇排水工程项目环境影响报告表的批复》（鄂环监发〔2006〕55号），并于2010年9月15日取得《鄂尔多斯市环境保护局关于鄂尔多斯市杭锦旗锡尼镇排水工程竣工环境保护验收意见的批复》（鄂环察验〔2010〕27号）完成验收工作，设计处理能力为5000t/d。该污水厂于2015年6月23日取得《鄂尔多斯市环境保护局关于鄂尔多斯市杭锦旗污水处理厂提标改造工程环境影响报告表的批复》（鄂环评字〔2015〕227号），对</w:t>
            </w:r>
            <w:r>
              <w:rPr>
                <w:rFonts w:hint="eastAsia" w:cs="Times New Roman"/>
                <w:color w:val="auto"/>
                <w:kern w:val="0"/>
                <w:sz w:val="24"/>
                <w:highlight w:val="none"/>
                <w:lang w:val="en-US" w:eastAsia="zh-CN"/>
              </w:rPr>
              <w:t>该</w:t>
            </w:r>
            <w:r>
              <w:rPr>
                <w:rFonts w:hint="default" w:ascii="Times New Roman" w:hAnsi="Times New Roman" w:eastAsia="宋体" w:cs="Times New Roman"/>
                <w:color w:val="auto"/>
                <w:kern w:val="0"/>
                <w:sz w:val="24"/>
                <w:highlight w:val="none"/>
                <w:lang w:val="en-US" w:eastAsia="zh-CN"/>
              </w:rPr>
              <w:t>污水厂进行了提标改造</w:t>
            </w:r>
            <w:r>
              <w:rPr>
                <w:rFonts w:hint="eastAsia"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lang w:val="en-US" w:eastAsia="zh-CN"/>
              </w:rPr>
              <w:t>本次改造不扩大处理能力，对处理工艺进行改造。2018年对新增污水厂进行扩建，于2018年4月23日取得《杭锦旗环境保护局关于杭锦旗锡尼镇污水处理厂扩建工程环境影响报告表的批复》（杭环评字〔2018〕9号），并于2019年8月14日完成自主验收工作。该扩建工程完成后处理能力为6500t/d（二期），原有污水厂处理能力减为原设计规模（5000t/d，一期）的40%，即2000t/d，从而提高水</w:t>
            </w:r>
            <w:r>
              <w:rPr>
                <w:rFonts w:hint="eastAsia" w:cs="Times New Roman"/>
                <w:color w:val="auto"/>
                <w:kern w:val="0"/>
                <w:sz w:val="24"/>
                <w:highlight w:val="none"/>
                <w:lang w:val="en-US" w:eastAsia="zh-CN"/>
              </w:rPr>
              <w:t>力停</w:t>
            </w:r>
            <w:r>
              <w:rPr>
                <w:rFonts w:hint="default" w:ascii="Times New Roman" w:hAnsi="Times New Roman" w:eastAsia="宋体" w:cs="Times New Roman"/>
                <w:color w:val="auto"/>
                <w:kern w:val="0"/>
                <w:sz w:val="24"/>
                <w:highlight w:val="none"/>
                <w:lang w:val="en-US" w:eastAsia="zh-CN"/>
              </w:rPr>
              <w:t>留时间，从而保证污水可以稳定达标，最终全厂处理能力为8500t/d。</w:t>
            </w:r>
          </w:p>
          <w:p w14:paraId="45EA5503">
            <w:pPr>
              <w:spacing w:line="360" w:lineRule="auto"/>
              <w:ind w:firstLine="482" w:firstLineChars="200"/>
              <w:rPr>
                <w:rFonts w:hint="default" w:ascii="Times New Roman" w:hAnsi="Times New Roman" w:eastAsia="宋体" w:cs="Times New Roman"/>
                <w:b/>
                <w:bCs/>
                <w:color w:val="auto"/>
                <w:kern w:val="0"/>
                <w:sz w:val="24"/>
                <w:highlight w:val="none"/>
                <w:lang w:val="en-US" w:eastAsia="zh-CN"/>
              </w:rPr>
            </w:pPr>
            <w:r>
              <w:rPr>
                <w:rFonts w:hint="default" w:ascii="Times New Roman" w:hAnsi="Times New Roman" w:eastAsia="宋体" w:cs="Times New Roman"/>
                <w:b/>
                <w:bCs/>
                <w:color w:val="auto"/>
                <w:kern w:val="0"/>
                <w:sz w:val="24"/>
                <w:highlight w:val="none"/>
                <w:lang w:val="en-US" w:eastAsia="zh-CN"/>
              </w:rPr>
              <w:t>2.现有工程概况</w:t>
            </w:r>
          </w:p>
          <w:p w14:paraId="500ED42B">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一期工程现有处理能力为2000</w:t>
            </w:r>
            <w:r>
              <w:rPr>
                <w:rFonts w:hint="eastAsia" w:cs="Times New Roman"/>
                <w:color w:val="auto"/>
                <w:kern w:val="0"/>
                <w:sz w:val="24"/>
                <w:highlight w:val="none"/>
                <w:vertAlign w:val="baseline"/>
                <w:lang w:val="en-US" w:eastAsia="zh-CN"/>
              </w:rPr>
              <w:t>t/d</w:t>
            </w:r>
            <w:r>
              <w:rPr>
                <w:rFonts w:hint="default" w:ascii="Times New Roman" w:hAnsi="Times New Roman" w:eastAsia="宋体" w:cs="Times New Roman"/>
                <w:color w:val="auto"/>
                <w:kern w:val="0"/>
                <w:sz w:val="24"/>
                <w:highlight w:val="none"/>
                <w:lang w:val="en-US" w:eastAsia="zh-CN"/>
              </w:rPr>
              <w:t>，处理工艺采用AAO法+磁混凝澄清池工艺，主要由预处理、AAO池、二沉池、磁混凝澄清池、消毒池和污泥处理等几部分组成。</w:t>
            </w:r>
          </w:p>
          <w:p w14:paraId="6B662536">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二期工程处理能力为6500</w:t>
            </w:r>
            <w:r>
              <w:rPr>
                <w:rFonts w:hint="eastAsia" w:cs="Times New Roman"/>
                <w:color w:val="auto"/>
                <w:kern w:val="0"/>
                <w:sz w:val="24"/>
                <w:highlight w:val="none"/>
                <w:vertAlign w:val="baseline"/>
                <w:lang w:val="en-US" w:eastAsia="zh-CN"/>
              </w:rPr>
              <w:t>t/d</w:t>
            </w:r>
            <w:r>
              <w:rPr>
                <w:rFonts w:hint="default" w:ascii="Times New Roman" w:hAnsi="Times New Roman" w:eastAsia="宋体" w:cs="Times New Roman"/>
                <w:color w:val="auto"/>
                <w:kern w:val="0"/>
                <w:sz w:val="24"/>
                <w:highlight w:val="none"/>
                <w:lang w:val="en-US" w:eastAsia="zh-CN"/>
              </w:rPr>
              <w:t>，选择五段Bardenpho+磁混凝澄清池作为本工程的污水处理工艺，即生物处理段采用五段Bardenpho工艺（A/A/O/A/O五段工艺，采用能独立分别控制厌氧、第一缺氧、第一好氧、第二缺氧、第二好氧区域组成的生物除磷脱氮反应池），后续深度处理采用磁混凝澄清池，最后再用O3进行去除色度，二氧化氯消毒的方案。</w:t>
            </w:r>
          </w:p>
          <w:p w14:paraId="1648CB6E">
            <w:pPr>
              <w:spacing w:line="360" w:lineRule="auto"/>
              <w:ind w:firstLine="482" w:firstLineChars="200"/>
              <w:rPr>
                <w:rFonts w:hint="default" w:ascii="Times New Roman" w:hAnsi="Times New Roman" w:eastAsia="宋体" w:cs="Times New Roman"/>
                <w:b/>
                <w:bCs/>
                <w:color w:val="auto"/>
                <w:kern w:val="0"/>
                <w:sz w:val="24"/>
                <w:highlight w:val="none"/>
                <w:lang w:val="zh-CN" w:eastAsia="zh-CN"/>
              </w:rPr>
            </w:pPr>
            <w:r>
              <w:rPr>
                <w:rFonts w:hint="default" w:ascii="Times New Roman" w:hAnsi="Times New Roman" w:eastAsia="宋体" w:cs="Times New Roman"/>
                <w:b/>
                <w:bCs/>
                <w:color w:val="auto"/>
                <w:kern w:val="0"/>
                <w:sz w:val="24"/>
                <w:highlight w:val="none"/>
                <w:lang w:val="en-US" w:eastAsia="zh-CN"/>
              </w:rPr>
              <w:t>3.</w:t>
            </w:r>
            <w:r>
              <w:rPr>
                <w:rFonts w:hint="default" w:ascii="Times New Roman" w:hAnsi="Times New Roman" w:eastAsia="宋体" w:cs="Times New Roman"/>
                <w:b/>
                <w:bCs/>
                <w:color w:val="auto"/>
                <w:kern w:val="0"/>
                <w:sz w:val="24"/>
                <w:highlight w:val="none"/>
                <w:lang w:val="zh-CN" w:eastAsia="zh-CN"/>
              </w:rPr>
              <w:t>现有工程污染物排放情况</w:t>
            </w:r>
          </w:p>
          <w:p w14:paraId="40C5D3C8">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根据《杭锦旗锡尼镇污水处理厂扩建工程竣工环境保护自主验收意见</w:t>
            </w:r>
            <w:r>
              <w:rPr>
                <w:rFonts w:hint="eastAsia"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lang w:val="en-US" w:eastAsia="zh-CN"/>
              </w:rPr>
              <w:t>内蒙古德源水务有限公司第三季度废气及噪声检测报告（2024年）</w:t>
            </w:r>
            <w:r>
              <w:rPr>
                <w:rFonts w:hint="eastAsia"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lang w:val="en-US" w:eastAsia="zh-CN"/>
              </w:rPr>
              <w:t>内蒙古德源水务有限公司5月份污水检测报告（2005年）》监测数据，污水厂现有工程污染物产生及排放</w:t>
            </w:r>
            <w:r>
              <w:rPr>
                <w:rFonts w:hint="eastAsia" w:cs="Times New Roman"/>
                <w:color w:val="auto"/>
                <w:kern w:val="0"/>
                <w:sz w:val="24"/>
                <w:highlight w:val="none"/>
                <w:lang w:val="en-US" w:eastAsia="zh-CN"/>
              </w:rPr>
              <w:t>情况</w:t>
            </w:r>
            <w:r>
              <w:rPr>
                <w:rFonts w:hint="default" w:ascii="Times New Roman" w:hAnsi="Times New Roman" w:eastAsia="宋体" w:cs="Times New Roman"/>
                <w:color w:val="auto"/>
                <w:kern w:val="0"/>
                <w:sz w:val="24"/>
                <w:highlight w:val="none"/>
                <w:lang w:val="en-US" w:eastAsia="zh-CN"/>
              </w:rPr>
              <w:t>如下：</w:t>
            </w:r>
          </w:p>
          <w:p w14:paraId="44455C15">
            <w:pPr>
              <w:spacing w:line="360" w:lineRule="auto"/>
              <w:ind w:firstLine="480" w:firstLineChars="200"/>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lang w:val="en-US" w:eastAsia="zh-CN"/>
              </w:rPr>
              <w:t>1</w:t>
            </w:r>
            <w:r>
              <w:rPr>
                <w:rFonts w:hint="default" w:ascii="Times New Roman" w:hAnsi="Times New Roman" w:eastAsia="宋体" w:cs="Times New Roman"/>
                <w:color w:val="auto"/>
                <w:kern w:val="0"/>
                <w:sz w:val="24"/>
                <w:highlight w:val="none"/>
                <w:lang w:eastAsia="zh-CN"/>
              </w:rPr>
              <w:t>）废气</w:t>
            </w:r>
          </w:p>
          <w:p w14:paraId="7D6B59D4">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一期现有工程对产生恶臭气体的格栅、污泥脱水工序布置于全封闭厂房内，但是无除臭设施。</w:t>
            </w:r>
          </w:p>
          <w:p w14:paraId="0EC2574C">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二期工程项目对产生恶臭气体的格栅、污泥脱水工序布置于全封闭厂房内，并在两座生物池的缺氧段安装微生物培养箱4台，采用全流程除臭工艺，利用微生物填料和培养箱，在污水处理厂生物池中培养出高效除臭微生物，将含高效除臭微生物的污泥回流于污水厂预处理段，除臭微生物与水中的恶臭物质发生吸附、凝聚和生物转化降解等作用，使得污水厂各构筑物</w:t>
            </w:r>
            <w:r>
              <w:rPr>
                <w:rFonts w:hint="eastAsia" w:cs="Times New Roman"/>
                <w:color w:val="auto"/>
                <w:kern w:val="0"/>
                <w:sz w:val="24"/>
                <w:highlight w:val="none"/>
                <w:lang w:val="en-US" w:eastAsia="zh-CN"/>
              </w:rPr>
              <w:t>中的</w:t>
            </w:r>
            <w:r>
              <w:rPr>
                <w:rFonts w:hint="default" w:ascii="Times New Roman" w:hAnsi="Times New Roman" w:eastAsia="宋体" w:cs="Times New Roman"/>
                <w:color w:val="auto"/>
                <w:kern w:val="0"/>
                <w:sz w:val="24"/>
                <w:highlight w:val="none"/>
                <w:lang w:val="en-US" w:eastAsia="zh-CN"/>
              </w:rPr>
              <w:t>恶臭物质在水中得到</w:t>
            </w:r>
            <w:r>
              <w:rPr>
                <w:rFonts w:hint="eastAsia" w:cs="Times New Roman"/>
                <w:color w:val="auto"/>
                <w:kern w:val="0"/>
                <w:sz w:val="24"/>
                <w:highlight w:val="none"/>
                <w:lang w:val="en-US" w:eastAsia="zh-CN"/>
              </w:rPr>
              <w:t>去除</w:t>
            </w:r>
            <w:r>
              <w:rPr>
                <w:rFonts w:hint="default" w:ascii="Times New Roman" w:hAnsi="Times New Roman" w:eastAsia="宋体" w:cs="Times New Roman"/>
                <w:color w:val="auto"/>
                <w:kern w:val="0"/>
                <w:sz w:val="24"/>
                <w:highlight w:val="none"/>
                <w:lang w:val="en-US" w:eastAsia="zh-CN"/>
              </w:rPr>
              <w:t>，实现污水厂二期工程恶臭</w:t>
            </w:r>
            <w:r>
              <w:rPr>
                <w:rFonts w:hint="eastAsia" w:cs="Times New Roman"/>
                <w:color w:val="auto"/>
                <w:kern w:val="0"/>
                <w:sz w:val="24"/>
                <w:highlight w:val="none"/>
                <w:lang w:val="en-US" w:eastAsia="zh-CN"/>
              </w:rPr>
              <w:t>物质</w:t>
            </w:r>
            <w:r>
              <w:rPr>
                <w:rFonts w:hint="default" w:ascii="Times New Roman" w:hAnsi="Times New Roman" w:eastAsia="宋体" w:cs="Times New Roman"/>
                <w:color w:val="auto"/>
                <w:kern w:val="0"/>
                <w:sz w:val="24"/>
                <w:highlight w:val="none"/>
                <w:lang w:val="en-US" w:eastAsia="zh-CN"/>
              </w:rPr>
              <w:t>的全过程控制。</w:t>
            </w:r>
          </w:p>
          <w:p w14:paraId="1C7541C0">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根据杭锦旗锡尼镇污水厂2024年度在线监测系统运行记录，2024年度平均处理水量7260t/d，根据年评价进出水水质指标，估算现有工程NH、</w:t>
            </w:r>
            <w:r>
              <w:rPr>
                <w:rFonts w:hint="default" w:ascii="Times New Roman" w:hAnsi="Times New Roman" w:eastAsia="宋体" w:cs="Times New Roman"/>
                <w:color w:val="auto"/>
                <w:kern w:val="0"/>
                <w:sz w:val="24"/>
                <w:highlight w:val="none"/>
                <w:vertAlign w:val="baseline"/>
                <w:lang w:val="en-US" w:eastAsia="zh-CN"/>
              </w:rPr>
              <w:t>H</w:t>
            </w:r>
            <w:r>
              <w:rPr>
                <w:rFonts w:hint="default" w:ascii="Times New Roman" w:hAnsi="Times New Roman" w:eastAsia="宋体" w:cs="Times New Roman"/>
                <w:color w:val="auto"/>
                <w:kern w:val="0"/>
                <w:sz w:val="24"/>
                <w:highlight w:val="none"/>
                <w:vertAlign w:val="subscript"/>
                <w:lang w:val="en-US" w:eastAsia="zh-CN"/>
              </w:rPr>
              <w:t>2</w:t>
            </w:r>
            <w:r>
              <w:rPr>
                <w:rFonts w:hint="default" w:ascii="Times New Roman" w:hAnsi="Times New Roman" w:eastAsia="宋体" w:cs="Times New Roman"/>
                <w:color w:val="auto"/>
                <w:kern w:val="0"/>
                <w:sz w:val="24"/>
                <w:highlight w:val="none"/>
                <w:lang w:val="en-US" w:eastAsia="zh-CN"/>
              </w:rPr>
              <w:t>S的排放量如下。</w:t>
            </w:r>
          </w:p>
          <w:p w14:paraId="7BF6A7D3">
            <w:pPr>
              <w:spacing w:line="360" w:lineRule="auto"/>
              <w:jc w:val="center"/>
              <w:rPr>
                <w:rFonts w:hint="default" w:ascii="Times New Roman" w:hAnsi="Times New Roman" w:eastAsia="宋体" w:cs="Times New Roman"/>
                <w:b/>
                <w:bCs/>
                <w:color w:val="auto"/>
                <w:kern w:val="0"/>
                <w:sz w:val="24"/>
                <w:highlight w:val="yellow"/>
                <w:lang w:val="en-US" w:eastAsia="zh-CN"/>
              </w:rPr>
            </w:pPr>
            <w:r>
              <w:rPr>
                <w:rFonts w:hint="default" w:ascii="Times New Roman" w:hAnsi="Times New Roman" w:eastAsia="宋体" w:cs="Times New Roman"/>
                <w:b/>
                <w:bCs/>
                <w:color w:val="auto"/>
                <w:kern w:val="0"/>
                <w:sz w:val="24"/>
                <w:highlight w:val="none"/>
                <w:lang w:val="en-US" w:eastAsia="zh-CN"/>
              </w:rPr>
              <w:t>表2-</w:t>
            </w:r>
            <w:r>
              <w:rPr>
                <w:rFonts w:hint="default" w:ascii="Times New Roman" w:hAnsi="Times New Roman" w:cs="Times New Roman"/>
                <w:b/>
                <w:bCs/>
                <w:color w:val="auto"/>
                <w:kern w:val="0"/>
                <w:sz w:val="24"/>
                <w:highlight w:val="none"/>
                <w:lang w:val="en-US" w:eastAsia="zh-CN"/>
              </w:rPr>
              <w:t>10</w:t>
            </w:r>
            <w:r>
              <w:rPr>
                <w:rFonts w:hint="default" w:ascii="Times New Roman" w:hAnsi="Times New Roman" w:eastAsia="宋体" w:cs="Times New Roman"/>
                <w:b/>
                <w:bCs/>
                <w:color w:val="auto"/>
                <w:kern w:val="0"/>
                <w:sz w:val="24"/>
                <w:highlight w:val="none"/>
                <w:lang w:val="en-US" w:eastAsia="zh-CN"/>
              </w:rPr>
              <w:t xml:space="preserve"> 现有工程大气污染物排放量汇总表</w:t>
            </w:r>
          </w:p>
          <w:tbl>
            <w:tblPr>
              <w:tblStyle w:val="10"/>
              <w:tblW w:w="5000" w:type="pct"/>
              <w:jc w:val="center"/>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567"/>
              <w:gridCol w:w="1218"/>
              <w:gridCol w:w="1832"/>
              <w:gridCol w:w="1824"/>
              <w:gridCol w:w="1698"/>
            </w:tblGrid>
            <w:tr w14:paraId="6E7DE914">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1567" w:type="dxa"/>
                  <w:vMerge w:val="restart"/>
                  <w:tcBorders>
                    <w:tl2br w:val="nil"/>
                    <w:tr2bl w:val="nil"/>
                  </w:tcBorders>
                  <w:shd w:val="clear" w:color="auto" w:fill="auto"/>
                  <w:vAlign w:val="center"/>
                </w:tcPr>
                <w:p w14:paraId="4D113210">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污染类型</w:t>
                  </w:r>
                </w:p>
              </w:tc>
              <w:tc>
                <w:tcPr>
                  <w:tcW w:w="1218" w:type="dxa"/>
                  <w:vMerge w:val="restart"/>
                  <w:tcBorders>
                    <w:tl2br w:val="nil"/>
                    <w:tr2bl w:val="nil"/>
                  </w:tcBorders>
                  <w:shd w:val="clear" w:color="auto" w:fill="auto"/>
                  <w:vAlign w:val="center"/>
                </w:tcPr>
                <w:p w14:paraId="4CBAB3B2">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污染物</w:t>
                  </w:r>
                </w:p>
              </w:tc>
              <w:tc>
                <w:tcPr>
                  <w:tcW w:w="5354" w:type="dxa"/>
                  <w:gridSpan w:val="3"/>
                  <w:tcBorders>
                    <w:tl2br w:val="nil"/>
                    <w:tr2bl w:val="nil"/>
                  </w:tcBorders>
                  <w:shd w:val="clear" w:color="auto" w:fill="auto"/>
                  <w:vAlign w:val="center"/>
                </w:tcPr>
                <w:p w14:paraId="3D3AE1AF">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排放量（t/a）</w:t>
                  </w:r>
                </w:p>
              </w:tc>
            </w:tr>
            <w:tr w14:paraId="6BA97492">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67" w:type="dxa"/>
                  <w:vMerge w:val="continue"/>
                  <w:tcBorders>
                    <w:tl2br w:val="nil"/>
                    <w:tr2bl w:val="nil"/>
                  </w:tcBorders>
                  <w:shd w:val="clear" w:color="auto" w:fill="auto"/>
                  <w:vAlign w:val="center"/>
                </w:tcPr>
                <w:p w14:paraId="3E2E036E">
                  <w:pPr>
                    <w:jc w:val="center"/>
                    <w:rPr>
                      <w:rFonts w:hint="default" w:ascii="Times New Roman" w:hAnsi="Times New Roman" w:eastAsia="宋体" w:cs="Times New Roman"/>
                      <w:b/>
                      <w:bCs/>
                      <w:i w:val="0"/>
                      <w:iCs w:val="0"/>
                      <w:color w:val="auto"/>
                      <w:sz w:val="21"/>
                      <w:szCs w:val="21"/>
                      <w:u w:val="none"/>
                    </w:rPr>
                  </w:pPr>
                </w:p>
              </w:tc>
              <w:tc>
                <w:tcPr>
                  <w:tcW w:w="1218" w:type="dxa"/>
                  <w:vMerge w:val="continue"/>
                  <w:tcBorders>
                    <w:tl2br w:val="nil"/>
                    <w:tr2bl w:val="nil"/>
                  </w:tcBorders>
                  <w:shd w:val="clear" w:color="auto" w:fill="auto"/>
                  <w:vAlign w:val="center"/>
                </w:tcPr>
                <w:p w14:paraId="5A9DD75E">
                  <w:pPr>
                    <w:jc w:val="center"/>
                    <w:rPr>
                      <w:rFonts w:hint="default" w:ascii="Times New Roman" w:hAnsi="Times New Roman" w:eastAsia="宋体" w:cs="Times New Roman"/>
                      <w:b/>
                      <w:bCs/>
                      <w:i w:val="0"/>
                      <w:iCs w:val="0"/>
                      <w:color w:val="auto"/>
                      <w:sz w:val="21"/>
                      <w:szCs w:val="21"/>
                      <w:u w:val="none"/>
                    </w:rPr>
                  </w:pPr>
                </w:p>
              </w:tc>
              <w:tc>
                <w:tcPr>
                  <w:tcW w:w="1832" w:type="dxa"/>
                  <w:tcBorders>
                    <w:tl2br w:val="nil"/>
                    <w:tr2bl w:val="nil"/>
                  </w:tcBorders>
                  <w:shd w:val="clear" w:color="auto" w:fill="auto"/>
                  <w:noWrap/>
                  <w:vAlign w:val="center"/>
                </w:tcPr>
                <w:p w14:paraId="1AC912D0">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一期</w:t>
                  </w:r>
                </w:p>
              </w:tc>
              <w:tc>
                <w:tcPr>
                  <w:tcW w:w="1824" w:type="dxa"/>
                  <w:tcBorders>
                    <w:tl2br w:val="nil"/>
                    <w:tr2bl w:val="nil"/>
                  </w:tcBorders>
                  <w:shd w:val="clear" w:color="auto" w:fill="auto"/>
                  <w:noWrap/>
                  <w:vAlign w:val="center"/>
                </w:tcPr>
                <w:p w14:paraId="6DEC069F">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二期</w:t>
                  </w:r>
                </w:p>
              </w:tc>
              <w:tc>
                <w:tcPr>
                  <w:tcW w:w="1698" w:type="dxa"/>
                  <w:tcBorders>
                    <w:tl2br w:val="nil"/>
                    <w:tr2bl w:val="nil"/>
                  </w:tcBorders>
                  <w:shd w:val="clear" w:color="auto" w:fill="auto"/>
                  <w:noWrap/>
                  <w:vAlign w:val="center"/>
                </w:tcPr>
                <w:p w14:paraId="59395C7D">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合计</w:t>
                  </w:r>
                </w:p>
              </w:tc>
            </w:tr>
            <w:tr w14:paraId="04A87582">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67" w:type="dxa"/>
                  <w:vMerge w:val="restart"/>
                  <w:tcBorders>
                    <w:tl2br w:val="nil"/>
                    <w:tr2bl w:val="nil"/>
                  </w:tcBorders>
                  <w:shd w:val="clear" w:color="auto" w:fill="auto"/>
                  <w:vAlign w:val="center"/>
                </w:tcPr>
                <w:p w14:paraId="3AADBDC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废气</w:t>
                  </w:r>
                </w:p>
              </w:tc>
              <w:tc>
                <w:tcPr>
                  <w:tcW w:w="1218" w:type="dxa"/>
                  <w:tcBorders>
                    <w:tl2br w:val="nil"/>
                    <w:tr2bl w:val="nil"/>
                  </w:tcBorders>
                  <w:shd w:val="clear" w:color="auto" w:fill="auto"/>
                  <w:vAlign w:val="center"/>
                </w:tcPr>
                <w:p w14:paraId="6B132EF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N</w:t>
                  </w:r>
                  <w:r>
                    <w:rPr>
                      <w:rFonts w:hint="default" w:ascii="Times New Roman" w:hAnsi="Times New Roman" w:eastAsia="宋体" w:cs="Times New Roman"/>
                      <w:i w:val="0"/>
                      <w:iCs w:val="0"/>
                      <w:color w:val="auto"/>
                      <w:kern w:val="0"/>
                      <w:sz w:val="21"/>
                      <w:szCs w:val="21"/>
                      <w:u w:val="none"/>
                      <w:vertAlign w:val="baseline"/>
                      <w:lang w:val="en-US" w:eastAsia="zh-CN" w:bidi="ar"/>
                    </w:rPr>
                    <w:t>H</w:t>
                  </w:r>
                  <w:r>
                    <w:rPr>
                      <w:rFonts w:hint="default" w:ascii="Times New Roman" w:hAnsi="Times New Roman" w:eastAsia="宋体" w:cs="Times New Roman"/>
                      <w:i w:val="0"/>
                      <w:iCs w:val="0"/>
                      <w:color w:val="auto"/>
                      <w:kern w:val="0"/>
                      <w:sz w:val="21"/>
                      <w:szCs w:val="21"/>
                      <w:u w:val="none"/>
                      <w:vertAlign w:val="subscript"/>
                      <w:lang w:val="en-US" w:eastAsia="zh-CN" w:bidi="ar"/>
                    </w:rPr>
                    <w:t>3</w:t>
                  </w:r>
                </w:p>
              </w:tc>
              <w:tc>
                <w:tcPr>
                  <w:tcW w:w="1832" w:type="dxa"/>
                  <w:tcBorders>
                    <w:tl2br w:val="nil"/>
                    <w:tr2bl w:val="nil"/>
                  </w:tcBorders>
                  <w:shd w:val="clear" w:color="auto" w:fill="auto"/>
                  <w:vAlign w:val="center"/>
                </w:tcPr>
                <w:p w14:paraId="0F455E8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0.043</w:t>
                  </w:r>
                </w:p>
              </w:tc>
              <w:tc>
                <w:tcPr>
                  <w:tcW w:w="1824" w:type="dxa"/>
                  <w:tcBorders>
                    <w:tl2br w:val="nil"/>
                    <w:tr2bl w:val="nil"/>
                  </w:tcBorders>
                  <w:shd w:val="clear" w:color="auto" w:fill="auto"/>
                  <w:vAlign w:val="center"/>
                </w:tcPr>
                <w:p w14:paraId="1BC43C3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0.140</w:t>
                  </w:r>
                </w:p>
              </w:tc>
              <w:tc>
                <w:tcPr>
                  <w:tcW w:w="1698" w:type="dxa"/>
                  <w:tcBorders>
                    <w:tl2br w:val="nil"/>
                    <w:tr2bl w:val="nil"/>
                  </w:tcBorders>
                  <w:shd w:val="clear" w:color="auto" w:fill="auto"/>
                  <w:noWrap/>
                  <w:vAlign w:val="center"/>
                </w:tcPr>
                <w:p w14:paraId="2F7381E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0.183</w:t>
                  </w:r>
                </w:p>
              </w:tc>
            </w:tr>
            <w:tr w14:paraId="121CE735">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67" w:type="dxa"/>
                  <w:vMerge w:val="continue"/>
                  <w:tcBorders>
                    <w:tl2br w:val="nil"/>
                    <w:tr2bl w:val="nil"/>
                  </w:tcBorders>
                  <w:shd w:val="clear" w:color="auto" w:fill="auto"/>
                  <w:vAlign w:val="center"/>
                </w:tcPr>
                <w:p w14:paraId="79B666B8">
                  <w:pPr>
                    <w:jc w:val="center"/>
                    <w:rPr>
                      <w:rFonts w:hint="default" w:ascii="Times New Roman" w:hAnsi="Times New Roman" w:eastAsia="宋体" w:cs="Times New Roman"/>
                      <w:i w:val="0"/>
                      <w:iCs w:val="0"/>
                      <w:color w:val="auto"/>
                      <w:sz w:val="21"/>
                      <w:szCs w:val="21"/>
                      <w:u w:val="none"/>
                    </w:rPr>
                  </w:pPr>
                </w:p>
              </w:tc>
              <w:tc>
                <w:tcPr>
                  <w:tcW w:w="1218" w:type="dxa"/>
                  <w:tcBorders>
                    <w:tl2br w:val="nil"/>
                    <w:tr2bl w:val="nil"/>
                  </w:tcBorders>
                  <w:shd w:val="clear" w:color="auto" w:fill="auto"/>
                  <w:vAlign w:val="center"/>
                </w:tcPr>
                <w:p w14:paraId="49FCFE3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vertAlign w:val="baseline"/>
                      <w:lang w:val="en-US" w:eastAsia="zh-CN" w:bidi="ar"/>
                    </w:rPr>
                    <w:t>H</w:t>
                  </w:r>
                  <w:r>
                    <w:rPr>
                      <w:rFonts w:hint="default" w:ascii="Times New Roman" w:hAnsi="Times New Roman" w:eastAsia="宋体" w:cs="Times New Roman"/>
                      <w:i w:val="0"/>
                      <w:iCs w:val="0"/>
                      <w:color w:val="auto"/>
                      <w:kern w:val="0"/>
                      <w:sz w:val="21"/>
                      <w:szCs w:val="21"/>
                      <w:u w:val="none"/>
                      <w:vertAlign w:val="subscript"/>
                      <w:lang w:val="en-US" w:eastAsia="zh-CN" w:bidi="ar"/>
                    </w:rPr>
                    <w:t>2</w:t>
                  </w:r>
                  <w:r>
                    <w:rPr>
                      <w:rFonts w:hint="default" w:ascii="Times New Roman" w:hAnsi="Times New Roman" w:eastAsia="宋体" w:cs="Times New Roman"/>
                      <w:i w:val="0"/>
                      <w:iCs w:val="0"/>
                      <w:color w:val="auto"/>
                      <w:kern w:val="0"/>
                      <w:sz w:val="21"/>
                      <w:szCs w:val="21"/>
                      <w:u w:val="none"/>
                      <w:lang w:val="en-US" w:eastAsia="zh-CN" w:bidi="ar"/>
                    </w:rPr>
                    <w:t>S</w:t>
                  </w:r>
                </w:p>
              </w:tc>
              <w:tc>
                <w:tcPr>
                  <w:tcW w:w="1832" w:type="dxa"/>
                  <w:tcBorders>
                    <w:tl2br w:val="nil"/>
                    <w:tr2bl w:val="nil"/>
                  </w:tcBorders>
                  <w:shd w:val="clear" w:color="auto" w:fill="auto"/>
                  <w:vAlign w:val="center"/>
                </w:tcPr>
                <w:p w14:paraId="2F5B50A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0.002</w:t>
                  </w:r>
                </w:p>
              </w:tc>
              <w:tc>
                <w:tcPr>
                  <w:tcW w:w="1824" w:type="dxa"/>
                  <w:tcBorders>
                    <w:tl2br w:val="nil"/>
                    <w:tr2bl w:val="nil"/>
                  </w:tcBorders>
                  <w:shd w:val="clear" w:color="auto" w:fill="auto"/>
                  <w:vAlign w:val="center"/>
                </w:tcPr>
                <w:p w14:paraId="2583462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0.005</w:t>
                  </w:r>
                </w:p>
              </w:tc>
              <w:tc>
                <w:tcPr>
                  <w:tcW w:w="1698" w:type="dxa"/>
                  <w:tcBorders>
                    <w:tl2br w:val="nil"/>
                    <w:tr2bl w:val="nil"/>
                  </w:tcBorders>
                  <w:shd w:val="clear" w:color="auto" w:fill="auto"/>
                  <w:noWrap/>
                  <w:vAlign w:val="center"/>
                </w:tcPr>
                <w:p w14:paraId="6F257A2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0.007</w:t>
                  </w:r>
                </w:p>
              </w:tc>
            </w:tr>
          </w:tbl>
          <w:p w14:paraId="35ACD2CF">
            <w:pPr>
              <w:spacing w:line="360" w:lineRule="auto"/>
              <w:rPr>
                <w:rFonts w:hint="default" w:ascii="Times New Roman" w:hAnsi="Times New Roman" w:eastAsia="宋体" w:cs="Times New Roman"/>
                <w:color w:val="auto"/>
                <w:kern w:val="0"/>
                <w:sz w:val="24"/>
                <w:highlight w:val="yellow"/>
                <w:lang w:val="en-US" w:eastAsia="zh-CN"/>
              </w:rPr>
            </w:pPr>
          </w:p>
          <w:p w14:paraId="6CE178CB">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项目现有工程臭气以无组织形式排放，根据《内蒙古德源水务有限公司第三季度废气及噪声检测报告（2024年）》，污水厂厂界氨、硫化氢的1小时平均值检测结果均可满足《城镇污水处理厂污染物排放标准》（GB18918-2002）及其修改单表4二级标准：N</w:t>
            </w:r>
            <w:r>
              <w:rPr>
                <w:rFonts w:hint="default" w:ascii="Times New Roman" w:hAnsi="Times New Roman" w:eastAsia="宋体" w:cs="Times New Roman"/>
                <w:color w:val="auto"/>
                <w:kern w:val="0"/>
                <w:sz w:val="24"/>
                <w:highlight w:val="none"/>
                <w:vertAlign w:val="baseline"/>
                <w:lang w:val="en-US" w:eastAsia="zh-CN"/>
              </w:rPr>
              <w:t>H</w:t>
            </w:r>
            <w:r>
              <w:rPr>
                <w:rFonts w:hint="default" w:ascii="Times New Roman" w:hAnsi="Times New Roman" w:eastAsia="宋体" w:cs="Times New Roman"/>
                <w:color w:val="auto"/>
                <w:kern w:val="0"/>
                <w:sz w:val="24"/>
                <w:highlight w:val="none"/>
                <w:vertAlign w:val="subscript"/>
                <w:lang w:val="en-US" w:eastAsia="zh-CN"/>
              </w:rPr>
              <w:t>3</w:t>
            </w:r>
            <w:r>
              <w:rPr>
                <w:rFonts w:hint="default" w:ascii="Times New Roman" w:hAnsi="Times New Roman" w:eastAsia="宋体" w:cs="Times New Roman"/>
                <w:color w:val="auto"/>
                <w:kern w:val="0"/>
                <w:sz w:val="24"/>
                <w:highlight w:val="none"/>
                <w:lang w:val="en-US" w:eastAsia="zh-CN"/>
              </w:rPr>
              <w:t>≤1.5</w:t>
            </w:r>
            <w:r>
              <w:rPr>
                <w:rFonts w:hint="eastAsia" w:cs="Times New Roman"/>
                <w:color w:val="auto"/>
                <w:kern w:val="0"/>
                <w:sz w:val="24"/>
                <w:highlight w:val="none"/>
                <w:lang w:val="en-US" w:eastAsia="zh-CN"/>
              </w:rPr>
              <w:t>m</w:t>
            </w:r>
            <w:r>
              <w:rPr>
                <w:rFonts w:hint="default" w:ascii="Times New Roman" w:hAnsi="Times New Roman" w:eastAsia="宋体" w:cs="Times New Roman"/>
                <w:color w:val="auto"/>
                <w:kern w:val="0"/>
                <w:sz w:val="24"/>
                <w:highlight w:val="none"/>
                <w:lang w:val="en-US" w:eastAsia="zh-CN"/>
              </w:rPr>
              <w:t>g/</w:t>
            </w:r>
            <w:r>
              <w:rPr>
                <w:rFonts w:hint="eastAsia" w:cs="Times New Roman"/>
                <w:color w:val="auto"/>
                <w:kern w:val="0"/>
                <w:sz w:val="24"/>
                <w:highlight w:val="none"/>
                <w:vertAlign w:val="baseline"/>
                <w:lang w:val="en-US" w:eastAsia="zh-CN"/>
              </w:rPr>
              <w:t>m</w:t>
            </w:r>
            <w:r>
              <w:rPr>
                <w:rFonts w:hint="eastAsia" w:cs="Times New Roman"/>
                <w:color w:val="auto"/>
                <w:kern w:val="0"/>
                <w:sz w:val="24"/>
                <w:highlight w:val="none"/>
                <w:vertAlign w:val="superscript"/>
                <w:lang w:val="en-US" w:eastAsia="zh-CN"/>
              </w:rPr>
              <w:t>3</w:t>
            </w:r>
            <w:r>
              <w:rPr>
                <w:rFonts w:hint="default" w:ascii="Times New Roman" w:hAnsi="Times New Roman" w:eastAsia="宋体"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vertAlign w:val="baseline"/>
                <w:lang w:val="en-US" w:eastAsia="zh-CN"/>
              </w:rPr>
              <w:t>H</w:t>
            </w:r>
            <w:r>
              <w:rPr>
                <w:rFonts w:hint="default" w:ascii="Times New Roman" w:hAnsi="Times New Roman" w:eastAsia="宋体" w:cs="Times New Roman"/>
                <w:color w:val="auto"/>
                <w:kern w:val="0"/>
                <w:sz w:val="24"/>
                <w:highlight w:val="none"/>
                <w:vertAlign w:val="subscript"/>
                <w:lang w:val="en-US" w:eastAsia="zh-CN"/>
              </w:rPr>
              <w:t>2</w:t>
            </w:r>
            <w:r>
              <w:rPr>
                <w:rFonts w:hint="default" w:ascii="Times New Roman" w:hAnsi="Times New Roman" w:eastAsia="宋体" w:cs="Times New Roman"/>
                <w:color w:val="auto"/>
                <w:kern w:val="0"/>
                <w:sz w:val="24"/>
                <w:highlight w:val="none"/>
                <w:lang w:val="en-US" w:eastAsia="zh-CN"/>
              </w:rPr>
              <w:t>S≤0.06</w:t>
            </w:r>
            <w:r>
              <w:rPr>
                <w:rFonts w:hint="eastAsia" w:cs="Times New Roman"/>
                <w:color w:val="auto"/>
                <w:kern w:val="0"/>
                <w:sz w:val="24"/>
                <w:highlight w:val="none"/>
                <w:lang w:val="en-US" w:eastAsia="zh-CN"/>
              </w:rPr>
              <w:t>m</w:t>
            </w:r>
            <w:r>
              <w:rPr>
                <w:rFonts w:hint="default" w:ascii="Times New Roman" w:hAnsi="Times New Roman" w:eastAsia="宋体" w:cs="Times New Roman"/>
                <w:color w:val="auto"/>
                <w:kern w:val="0"/>
                <w:sz w:val="24"/>
                <w:highlight w:val="none"/>
                <w:lang w:val="en-US" w:eastAsia="zh-CN"/>
              </w:rPr>
              <w:t>g/</w:t>
            </w:r>
            <w:r>
              <w:rPr>
                <w:rFonts w:hint="eastAsia" w:cs="Times New Roman"/>
                <w:color w:val="auto"/>
                <w:kern w:val="0"/>
                <w:sz w:val="24"/>
                <w:highlight w:val="none"/>
                <w:vertAlign w:val="baseline"/>
                <w:lang w:val="en-US" w:eastAsia="zh-CN"/>
              </w:rPr>
              <w:t>m</w:t>
            </w:r>
            <w:r>
              <w:rPr>
                <w:rFonts w:hint="eastAsia" w:cs="Times New Roman"/>
                <w:color w:val="auto"/>
                <w:kern w:val="0"/>
                <w:sz w:val="24"/>
                <w:highlight w:val="none"/>
                <w:vertAlign w:val="superscript"/>
                <w:lang w:val="en-US" w:eastAsia="zh-CN"/>
              </w:rPr>
              <w:t>3</w:t>
            </w:r>
            <w:r>
              <w:rPr>
                <w:rFonts w:hint="default" w:ascii="Times New Roman" w:hAnsi="Times New Roman" w:eastAsia="宋体" w:cs="Times New Roman"/>
                <w:color w:val="auto"/>
                <w:kern w:val="0"/>
                <w:sz w:val="24"/>
                <w:highlight w:val="none"/>
                <w:lang w:val="en-US" w:eastAsia="zh-CN"/>
              </w:rPr>
              <w:t>。</w:t>
            </w:r>
          </w:p>
          <w:p w14:paraId="6FB4FE30">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（2）废水</w:t>
            </w:r>
          </w:p>
          <w:p w14:paraId="2BE6C542">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污水厂现有处理能力为8500</w:t>
            </w:r>
            <w:r>
              <w:rPr>
                <w:rFonts w:hint="eastAsia" w:cs="Times New Roman"/>
                <w:color w:val="auto"/>
                <w:kern w:val="0"/>
                <w:sz w:val="24"/>
                <w:highlight w:val="none"/>
                <w:vertAlign w:val="baseline"/>
                <w:lang w:val="en-US" w:eastAsia="zh-CN"/>
              </w:rPr>
              <w:t>t/d</w:t>
            </w:r>
            <w:r>
              <w:rPr>
                <w:rFonts w:hint="default" w:ascii="Times New Roman" w:hAnsi="Times New Roman" w:eastAsia="宋体" w:cs="Times New Roman"/>
                <w:color w:val="auto"/>
                <w:kern w:val="0"/>
                <w:sz w:val="24"/>
                <w:highlight w:val="none"/>
                <w:lang w:val="en-US" w:eastAsia="zh-CN"/>
              </w:rPr>
              <w:t>，根据《杭锦旗锡尼镇污水处理厂扩建工程竣工环境保护自主验收意见》及《内蒙古德源水务有限公司5月份污水检测报告（2025年）》，污水处理厂处理后中水可达到《城镇污水处理厂污染物排放标准》（GB18918-2002）及其修改单中一级A标准。处理后的中水项目处理后的中水夏季用于园林绿化</w:t>
            </w:r>
            <w:r>
              <w:rPr>
                <w:rFonts w:hint="eastAsia"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lang w:val="en-US" w:eastAsia="zh-CN"/>
              </w:rPr>
              <w:t>鄂尔多斯市新能源产业示范区企业及内蒙古能源发电杭锦发电有限公司工业用水，</w:t>
            </w:r>
            <w:r>
              <w:rPr>
                <w:rFonts w:hint="eastAsia" w:cs="Times New Roman"/>
                <w:color w:val="auto"/>
                <w:kern w:val="0"/>
                <w:sz w:val="24"/>
                <w:highlight w:val="none"/>
                <w:lang w:val="en-US" w:eastAsia="zh-CN"/>
              </w:rPr>
              <w:t>冬季用于</w:t>
            </w:r>
            <w:r>
              <w:rPr>
                <w:rFonts w:hint="default" w:ascii="Times New Roman" w:hAnsi="Times New Roman" w:eastAsia="宋体" w:cs="Times New Roman"/>
                <w:color w:val="auto"/>
                <w:kern w:val="0"/>
                <w:sz w:val="24"/>
                <w:highlight w:val="none"/>
                <w:lang w:val="en-US" w:eastAsia="zh-CN"/>
              </w:rPr>
              <w:t>鄂尔多斯市新能源产业示范区生产用水，剩余部分排入陶赖沟水库暂存，冬储夏灌。</w:t>
            </w:r>
          </w:p>
          <w:p w14:paraId="277CD08D">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（3）噪声</w:t>
            </w:r>
          </w:p>
          <w:p w14:paraId="6C5D15A3">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项目采用低噪声设备，噪声较大的设备均安装了基础减振，均置于厂房中，风机安装隔声板隔声。</w:t>
            </w:r>
          </w:p>
          <w:p w14:paraId="76460FD5">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根据《内蒙古德源水务有限公司第一季度废气及噪声检测报告（2025年）》监测数据，厂界昼间噪声值满足《工业企业厂界环境噪声排放标准》（GB12348-2008）中2类标准。</w:t>
            </w:r>
          </w:p>
          <w:p w14:paraId="7D50DF85">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（4）固废</w:t>
            </w:r>
          </w:p>
          <w:p w14:paraId="040C4207">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现有工程固体废物主要为栅渣25.5t/a、脱水泥饼1530t/a、生活垃圾3.3t/a，均送至锡尼镇垃圾填埋场统一收集处理。危险废物产生量为分析废液0.8t/a、废机油0.2t/a，暂存的厂内危险废物定期交由有资质单位处理。</w:t>
            </w:r>
          </w:p>
          <w:p w14:paraId="5BC1DF7D">
            <w:pPr>
              <w:spacing w:line="360" w:lineRule="auto"/>
              <w:ind w:firstLine="482" w:firstLineChars="200"/>
              <w:rPr>
                <w:rFonts w:hint="default" w:ascii="Times New Roman" w:hAnsi="Times New Roman" w:eastAsia="宋体" w:cs="Times New Roman"/>
                <w:b/>
                <w:bCs/>
                <w:color w:val="auto"/>
                <w:kern w:val="0"/>
                <w:sz w:val="24"/>
                <w:highlight w:val="none"/>
                <w:lang w:val="en-US" w:eastAsia="zh-CN"/>
              </w:rPr>
            </w:pPr>
            <w:r>
              <w:rPr>
                <w:rFonts w:hint="default" w:ascii="Times New Roman" w:hAnsi="Times New Roman" w:eastAsia="宋体" w:cs="Times New Roman"/>
                <w:b/>
                <w:bCs/>
                <w:color w:val="auto"/>
                <w:kern w:val="0"/>
                <w:sz w:val="24"/>
                <w:highlight w:val="none"/>
                <w:lang w:val="en-US" w:eastAsia="zh-CN"/>
              </w:rPr>
              <w:t>4.现有工程排污许可情况</w:t>
            </w:r>
          </w:p>
          <w:p w14:paraId="7383DAC0">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排污许可证证书编号：91150625MA0Q2HWE6G001Z</w:t>
            </w:r>
          </w:p>
          <w:p w14:paraId="27F74223">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单位名称：内蒙古德源水务有限公司</w:t>
            </w:r>
          </w:p>
          <w:p w14:paraId="68DFFE3E">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行业类别：污水处理及其再生利用</w:t>
            </w:r>
          </w:p>
          <w:p w14:paraId="77F7A8EF">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有效期限：自2022年06月30日至2027年06月29日止</w:t>
            </w:r>
          </w:p>
          <w:p w14:paraId="5F88E717">
            <w:pPr>
              <w:spacing w:line="360" w:lineRule="auto"/>
              <w:ind w:firstLine="482" w:firstLineChars="200"/>
              <w:rPr>
                <w:rFonts w:hint="default" w:ascii="Times New Roman" w:hAnsi="Times New Roman" w:eastAsia="宋体" w:cs="Times New Roman"/>
                <w:b/>
                <w:bCs/>
                <w:color w:val="auto"/>
                <w:kern w:val="0"/>
                <w:sz w:val="24"/>
                <w:highlight w:val="none"/>
                <w:lang w:val="en-US"/>
              </w:rPr>
            </w:pPr>
            <w:r>
              <w:rPr>
                <w:rFonts w:hint="default" w:ascii="Times New Roman" w:hAnsi="Times New Roman" w:eastAsia="宋体" w:cs="Times New Roman"/>
                <w:b/>
                <w:bCs/>
                <w:color w:val="auto"/>
                <w:kern w:val="0"/>
                <w:sz w:val="24"/>
                <w:highlight w:val="none"/>
                <w:lang w:val="en-US" w:eastAsia="zh-CN"/>
              </w:rPr>
              <w:t>5.</w:t>
            </w:r>
            <w:r>
              <w:rPr>
                <w:rFonts w:hint="default" w:ascii="Times New Roman" w:hAnsi="Times New Roman" w:eastAsia="宋体" w:cs="Times New Roman"/>
                <w:b/>
                <w:bCs/>
                <w:color w:val="auto"/>
                <w:kern w:val="0"/>
                <w:sz w:val="24"/>
                <w:highlight w:val="none"/>
                <w:lang w:val="en-US"/>
              </w:rPr>
              <w:t>现有工程存在主要环境问题及整改措施</w:t>
            </w:r>
          </w:p>
          <w:p w14:paraId="18FD918D">
            <w:pPr>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rPr>
              <w:t>目前，鄂尔多斯市杭锦旗污水处理厂</w:t>
            </w:r>
            <w:r>
              <w:rPr>
                <w:rFonts w:hint="default" w:ascii="Times New Roman" w:hAnsi="Times New Roman" w:eastAsia="宋体" w:cs="Times New Roman"/>
                <w:color w:val="auto"/>
                <w:kern w:val="0"/>
                <w:sz w:val="24"/>
                <w:highlight w:val="none"/>
                <w:lang w:val="en-US" w:eastAsia="zh-CN"/>
              </w:rPr>
              <w:t>一期工程</w:t>
            </w:r>
            <w:r>
              <w:rPr>
                <w:rFonts w:hint="default" w:ascii="Times New Roman" w:hAnsi="Times New Roman" w:eastAsia="宋体" w:cs="Times New Roman"/>
                <w:color w:val="auto"/>
                <w:kern w:val="0"/>
                <w:sz w:val="24"/>
                <w:highlight w:val="none"/>
              </w:rPr>
              <w:t>运行至今</w:t>
            </w:r>
            <w:r>
              <w:rPr>
                <w:rFonts w:hint="default" w:ascii="Times New Roman" w:hAnsi="Times New Roman" w:eastAsia="宋体" w:cs="Times New Roman"/>
                <w:color w:val="auto"/>
                <w:kern w:val="0"/>
                <w:sz w:val="24"/>
                <w:highlight w:val="none"/>
                <w:lang w:val="en-US" w:eastAsia="zh-CN"/>
              </w:rPr>
              <w:t>主要存在如下问题：出水总氮不稳定，达不到一级A标准，急需优化脱氮除磷；设备老化严重，需更换改造；污泥脱水出泥效果不佳，需优化工艺加快脱泥进程；厂区自控系统、监控系统不全面，需统一规划设计；无除臭设施</w:t>
            </w:r>
            <w:r>
              <w:rPr>
                <w:rFonts w:hint="eastAsia" w:cs="Times New Roman"/>
                <w:color w:val="auto"/>
                <w:kern w:val="0"/>
                <w:sz w:val="24"/>
                <w:highlight w:val="none"/>
                <w:lang w:val="en-US" w:eastAsia="zh-CN"/>
              </w:rPr>
              <w:t>。</w:t>
            </w:r>
            <w:r>
              <w:rPr>
                <w:rFonts w:hint="default" w:ascii="Times New Roman" w:hAnsi="Times New Roman" w:cs="Times New Roman"/>
                <w:color w:val="auto"/>
                <w:lang w:val="en-US" w:eastAsia="zh-CN"/>
              </w:rPr>
              <w:t>随着城区排水规模持续增加，现运行</w:t>
            </w:r>
            <w:r>
              <w:rPr>
                <w:rFonts w:hint="eastAsia" w:cs="Times New Roman"/>
                <w:color w:val="auto"/>
                <w:lang w:val="en-US" w:eastAsia="zh-CN"/>
              </w:rPr>
              <w:t>的</w:t>
            </w:r>
            <w:r>
              <w:rPr>
                <w:rFonts w:hint="default" w:ascii="Times New Roman" w:hAnsi="Times New Roman" w:cs="Times New Roman"/>
                <w:color w:val="auto"/>
                <w:lang w:val="en-US" w:eastAsia="zh-CN"/>
              </w:rPr>
              <w:t>二期污水处理厂处于高负荷运行，急需改造一期工程使其满足达标处理需要。</w:t>
            </w:r>
          </w:p>
          <w:p w14:paraId="3AEAB3D9">
            <w:pPr>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综上，污水处理厂</w:t>
            </w:r>
            <w:r>
              <w:rPr>
                <w:rFonts w:hint="default" w:ascii="Times New Roman" w:hAnsi="Times New Roman" w:eastAsia="宋体" w:cs="Times New Roman"/>
                <w:color w:val="auto"/>
                <w:kern w:val="0"/>
                <w:sz w:val="24"/>
                <w:highlight w:val="none"/>
                <w:lang w:val="en-US" w:eastAsia="zh-CN"/>
              </w:rPr>
              <w:t>一期工程更新</w:t>
            </w:r>
            <w:r>
              <w:rPr>
                <w:rFonts w:hint="default" w:ascii="Times New Roman" w:hAnsi="Times New Roman" w:eastAsia="宋体" w:cs="Times New Roman"/>
                <w:color w:val="auto"/>
                <w:kern w:val="0"/>
                <w:sz w:val="24"/>
                <w:highlight w:val="none"/>
              </w:rPr>
              <w:t>改造迫在眉睫</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lang w:val="en-US" w:eastAsia="zh-CN"/>
              </w:rPr>
              <w:t>杭锦旗锡尼镇污水处理厂一期工程现有处理能力为2000t/d，处理工艺采用AAO法+磁混凝澄清池工艺，二期工程现有处理能力为6500t/d，处理工艺采用五段Bardenpho+磁混凝澄清池。本次改造后一期污水处理规模达到5000t/d，二期工程</w:t>
            </w:r>
            <w:r>
              <w:rPr>
                <w:rFonts w:hint="eastAsia" w:cs="Times New Roman"/>
                <w:color w:val="auto"/>
                <w:kern w:val="0"/>
                <w:sz w:val="24"/>
                <w:highlight w:val="none"/>
                <w:lang w:val="en-US" w:eastAsia="zh-CN"/>
              </w:rPr>
              <w:t>规模</w:t>
            </w:r>
            <w:r>
              <w:rPr>
                <w:rFonts w:hint="default" w:ascii="Times New Roman" w:hAnsi="Times New Roman" w:eastAsia="宋体" w:cs="Times New Roman"/>
                <w:color w:val="auto"/>
                <w:kern w:val="0"/>
                <w:sz w:val="24"/>
                <w:highlight w:val="none"/>
                <w:lang w:val="en-US" w:eastAsia="zh-CN"/>
              </w:rPr>
              <w:t>不变，合计污水厂总体处理能力为11500t/d。改造后一期工程采用改良AAO生物处理+磁絮凝池+深度脱氮+消毒工艺方案，设计出水水质达到《城镇污水处理厂污染物排放标准》（GB18918-2002）及其修改单中的一级A标准及《城市污水再生利用 工业用水水质》（GB/T19923-2024）、《城市污水再生利用 城市杂用水水质》（GB/T18920-2020）标准。</w:t>
            </w:r>
          </w:p>
        </w:tc>
      </w:tr>
    </w:tbl>
    <w:p w14:paraId="2BC17756">
      <w:pPr>
        <w:pStyle w:val="8"/>
        <w:jc w:val="center"/>
        <w:rPr>
          <w:rFonts w:hint="default" w:ascii="Times New Roman" w:hAnsi="Times New Roman" w:eastAsia="宋体" w:cs="Times New Roman"/>
          <w:snapToGrid w:val="0"/>
          <w:color w:val="auto"/>
          <w:sz w:val="36"/>
          <w:szCs w:val="36"/>
          <w:highlight w:val="none"/>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7D775470">
      <w:pPr>
        <w:pStyle w:val="8"/>
        <w:jc w:val="center"/>
        <w:outlineLvl w:val="0"/>
        <w:rPr>
          <w:rFonts w:hint="default" w:ascii="Times New Roman" w:hAnsi="Times New Roman" w:eastAsia="宋体" w:cs="Times New Roman"/>
          <w:b/>
          <w:bCs/>
          <w:snapToGrid w:val="0"/>
          <w:color w:val="auto"/>
          <w:sz w:val="30"/>
          <w:szCs w:val="30"/>
          <w:highlight w:val="none"/>
        </w:rPr>
      </w:pPr>
      <w:r>
        <w:rPr>
          <w:rFonts w:hint="default" w:ascii="Times New Roman" w:hAnsi="Times New Roman" w:eastAsia="宋体" w:cs="Times New Roman"/>
          <w:b/>
          <w:bCs/>
          <w:snapToGrid w:val="0"/>
          <w:color w:val="auto"/>
          <w:sz w:val="30"/>
          <w:szCs w:val="30"/>
          <w:highlight w:val="none"/>
        </w:rPr>
        <w:t>三、区域环境质量现状、环境保护目标及评价标准</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4"/>
        <w:gridCol w:w="8527"/>
      </w:tblGrid>
      <w:tr w14:paraId="65B971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534" w:type="dxa"/>
            <w:vAlign w:val="center"/>
          </w:tcPr>
          <w:p w14:paraId="65EF5847">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区域</w:t>
            </w:r>
          </w:p>
          <w:p w14:paraId="2A1A84EB">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环境</w:t>
            </w:r>
          </w:p>
          <w:p w14:paraId="5669FF24">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质量</w:t>
            </w:r>
          </w:p>
          <w:p w14:paraId="3B6DE4C4">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现状</w:t>
            </w:r>
          </w:p>
        </w:tc>
        <w:tc>
          <w:tcPr>
            <w:tcW w:w="8527" w:type="dxa"/>
            <w:vAlign w:val="center"/>
          </w:tcPr>
          <w:p w14:paraId="01EE0122">
            <w:pPr>
              <w:autoSpaceDE w:val="0"/>
              <w:autoSpaceDN w:val="0"/>
              <w:spacing w:line="360" w:lineRule="auto"/>
              <w:ind w:firstLine="482" w:firstLineChars="200"/>
              <w:jc w:val="left"/>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1.环境空气质量现状监测与评价</w:t>
            </w:r>
          </w:p>
          <w:p w14:paraId="22AE253C">
            <w:pPr>
              <w:spacing w:line="360" w:lineRule="auto"/>
              <w:ind w:firstLine="482" w:firstLineChars="200"/>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1.1达标区判断及基本污染物环境空气质量</w:t>
            </w:r>
          </w:p>
          <w:p w14:paraId="0DD724E7">
            <w:pPr>
              <w:widowControl/>
              <w:spacing w:line="360" w:lineRule="auto"/>
              <w:ind w:firstLine="480" w:firstLineChars="200"/>
              <w:jc w:val="left"/>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bCs/>
                <w:color w:val="auto"/>
                <w:kern w:val="0"/>
                <w:sz w:val="24"/>
                <w:highlight w:val="none"/>
                <w:lang w:eastAsia="zh-CN"/>
              </w:rPr>
              <w:t>2025年6月</w:t>
            </w:r>
            <w:r>
              <w:rPr>
                <w:rFonts w:hint="eastAsia" w:cs="Times New Roman"/>
                <w:bCs/>
                <w:color w:val="auto"/>
                <w:kern w:val="0"/>
                <w:sz w:val="24"/>
                <w:highlight w:val="none"/>
                <w:lang w:eastAsia="zh-CN"/>
              </w:rPr>
              <w:t>，</w:t>
            </w:r>
            <w:r>
              <w:rPr>
                <w:rFonts w:hint="default" w:ascii="Times New Roman" w:hAnsi="Times New Roman" w:eastAsia="宋体" w:cs="Times New Roman"/>
                <w:bCs/>
                <w:color w:val="auto"/>
                <w:kern w:val="0"/>
                <w:sz w:val="24"/>
                <w:highlight w:val="none"/>
              </w:rPr>
              <w:t>内蒙古自治区生态环境厅发布</w:t>
            </w:r>
            <w:r>
              <w:rPr>
                <w:rFonts w:hint="default" w:ascii="Times New Roman" w:hAnsi="Times New Roman" w:eastAsia="宋体" w:cs="Times New Roman"/>
                <w:bCs/>
                <w:color w:val="auto"/>
                <w:kern w:val="0"/>
                <w:sz w:val="24"/>
                <w:highlight w:val="none"/>
                <w:lang w:eastAsia="zh-CN"/>
              </w:rPr>
              <w:t>《2024年内蒙古自治区生态环境状况公报</w:t>
            </w:r>
            <w:r>
              <w:rPr>
                <w:rFonts w:hint="default" w:ascii="Times New Roman" w:hAnsi="Times New Roman" w:eastAsia="宋体" w:cs="Times New Roman"/>
                <w:bCs/>
                <w:color w:val="auto"/>
                <w:kern w:val="0"/>
                <w:sz w:val="24"/>
                <w:highlight w:val="none"/>
              </w:rPr>
              <w:t>》，报告指出</w:t>
            </w:r>
            <w:r>
              <w:rPr>
                <w:rFonts w:hint="eastAsia" w:ascii="Times New Roman" w:hAnsi="Times New Roman" w:eastAsia="宋体" w:cs="Times New Roman"/>
                <w:bCs/>
                <w:color w:val="auto"/>
                <w:kern w:val="0"/>
                <w:sz w:val="24"/>
                <w:highlight w:val="none"/>
                <w:lang w:eastAsia="zh-CN"/>
              </w:rPr>
              <w:t>“</w:t>
            </w:r>
            <w:r>
              <w:rPr>
                <w:rFonts w:hint="default" w:ascii="Times New Roman" w:hAnsi="Times New Roman" w:eastAsia="宋体" w:cs="Times New Roman"/>
                <w:bCs/>
                <w:color w:val="auto"/>
                <w:kern w:val="0"/>
                <w:sz w:val="24"/>
                <w:highlight w:val="none"/>
                <w:lang w:eastAsia="zh-CN"/>
              </w:rPr>
              <w:t>2024年，全区环境空气六项污染物年均浓度均达标</w:t>
            </w:r>
            <w:r>
              <w:rPr>
                <w:rFonts w:hint="eastAsia" w:ascii="Times New Roman" w:hAnsi="Times New Roman" w:eastAsia="宋体" w:cs="Times New Roman"/>
                <w:bCs/>
                <w:color w:val="auto"/>
                <w:kern w:val="0"/>
                <w:sz w:val="24"/>
                <w:highlight w:val="none"/>
                <w:lang w:eastAsia="zh-CN"/>
              </w:rPr>
              <w:t>”</w:t>
            </w:r>
            <w:r>
              <w:rPr>
                <w:rFonts w:hint="default" w:ascii="Times New Roman" w:hAnsi="Times New Roman" w:eastAsia="宋体" w:cs="Times New Roman"/>
                <w:bCs/>
                <w:color w:val="auto"/>
                <w:kern w:val="0"/>
                <w:sz w:val="24"/>
                <w:highlight w:val="none"/>
              </w:rPr>
              <w:t>。</w:t>
            </w:r>
          </w:p>
          <w:p w14:paraId="11AF5B95">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color w:val="auto"/>
                <w:kern w:val="0"/>
                <w:sz w:val="24"/>
                <w:highlight w:val="none"/>
              </w:rPr>
              <w:t>项目所在区域为达标区域</w:t>
            </w:r>
            <w:r>
              <w:rPr>
                <w:rFonts w:hint="default" w:ascii="Times New Roman" w:hAnsi="Times New Roman" w:eastAsia="宋体" w:cs="Times New Roman"/>
                <w:bCs/>
                <w:color w:val="auto"/>
                <w:sz w:val="24"/>
                <w:highlight w:val="none"/>
              </w:rPr>
              <w:t>。</w:t>
            </w:r>
          </w:p>
          <w:p w14:paraId="0F59164F">
            <w:pPr>
              <w:adjustRightInd w:val="0"/>
              <w:snapToGrid w:val="0"/>
              <w:spacing w:line="360" w:lineRule="auto"/>
              <w:ind w:firstLine="482" w:firstLineChars="200"/>
              <w:jc w:val="left"/>
              <w:rPr>
                <w:rFonts w:hint="default" w:ascii="Times New Roman" w:hAnsi="Times New Roman" w:eastAsia="宋体" w:cs="Times New Roman"/>
                <w:b/>
                <w:bCs w:val="0"/>
                <w:color w:val="auto"/>
                <w:sz w:val="24"/>
                <w:highlight w:val="none"/>
              </w:rPr>
            </w:pPr>
            <w:r>
              <w:rPr>
                <w:rFonts w:hint="default" w:ascii="Times New Roman" w:hAnsi="Times New Roman" w:eastAsia="宋体" w:cs="Times New Roman"/>
                <w:b/>
                <w:bCs w:val="0"/>
                <w:color w:val="auto"/>
                <w:sz w:val="24"/>
                <w:highlight w:val="none"/>
              </w:rPr>
              <w:t>1.2环境空气质量现状补充监测</w:t>
            </w:r>
          </w:p>
          <w:p w14:paraId="4CEDF05E">
            <w:pPr>
              <w:kinsoku w:val="0"/>
              <w:overflowPunct w:val="0"/>
              <w:adjustRightInd w:val="0"/>
              <w:snapToGri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本项目按《环境影响评价技术导则 大气环境》（</w:t>
            </w:r>
            <w:r>
              <w:rPr>
                <w:rFonts w:hint="default" w:ascii="Times New Roman" w:hAnsi="Times New Roman" w:eastAsia="宋体" w:cs="Times New Roman"/>
                <w:color w:val="auto"/>
                <w:kern w:val="0"/>
                <w:sz w:val="24"/>
                <w:lang w:eastAsia="zh-CN"/>
              </w:rPr>
              <w:t>H</w:t>
            </w:r>
            <w:r>
              <w:rPr>
                <w:rFonts w:hint="default" w:ascii="Times New Roman" w:hAnsi="Times New Roman" w:eastAsia="宋体" w:cs="Times New Roman"/>
                <w:color w:val="auto"/>
                <w:kern w:val="0"/>
                <w:sz w:val="24"/>
              </w:rPr>
              <w:t>J 2.2-2018）</w:t>
            </w:r>
            <w:r>
              <w:rPr>
                <w:rFonts w:hint="eastAsia"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6.3补充监测</w:t>
            </w:r>
            <w:r>
              <w:rPr>
                <w:rFonts w:hint="eastAsia"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要求，需要补充</w:t>
            </w:r>
            <w:r>
              <w:rPr>
                <w:rFonts w:hint="default" w:ascii="Times New Roman" w:hAnsi="Times New Roman" w:eastAsia="宋体" w:cs="Times New Roman"/>
                <w:color w:val="auto"/>
                <w:kern w:val="0"/>
                <w:sz w:val="24"/>
                <w:lang w:val="en-US" w:eastAsia="zh-CN"/>
              </w:rPr>
              <w:t>氨、硫化氢</w:t>
            </w:r>
            <w:r>
              <w:rPr>
                <w:rFonts w:hint="default" w:ascii="Times New Roman" w:hAnsi="Times New Roman" w:eastAsia="宋体" w:cs="Times New Roman"/>
                <w:color w:val="auto"/>
                <w:kern w:val="0"/>
                <w:sz w:val="24"/>
              </w:rPr>
              <w:t>特征因子的数据。</w:t>
            </w:r>
          </w:p>
          <w:p w14:paraId="466E15D8">
            <w:pPr>
              <w:kinsoku w:val="0"/>
              <w:overflowPunct w:val="0"/>
              <w:adjustRightInd w:val="0"/>
              <w:snapToGri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根据《建设项目环境影响报告表编制技术指南（污染影响类）（试行）》中</w:t>
            </w:r>
            <w:r>
              <w:rPr>
                <w:rFonts w:hint="eastAsia"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排放国家、地方环境空气质量标准中有标准限值要求的特征污染物时，引用建设项目周边5千米范围内近3年的现有监测数据</w:t>
            </w:r>
            <w:r>
              <w:rPr>
                <w:rFonts w:hint="eastAsia"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w:t>
            </w:r>
          </w:p>
          <w:p w14:paraId="7E2FFF79">
            <w:pPr>
              <w:widowControl w:val="0"/>
              <w:spacing w:line="360" w:lineRule="auto"/>
              <w:ind w:firstLine="0"/>
              <w:jc w:val="center"/>
              <w:rPr>
                <w:rFonts w:hint="default" w:ascii="Times New Roman" w:hAnsi="Times New Roman" w:eastAsia="宋体" w:cs="Times New Roman"/>
                <w:b/>
                <w:bCs/>
                <w:color w:val="auto"/>
                <w:kern w:val="2"/>
                <w:sz w:val="24"/>
                <w:szCs w:val="32"/>
                <w:lang w:val="en-US" w:eastAsia="zh-CN" w:bidi="ar-SA"/>
              </w:rPr>
            </w:pPr>
            <w:r>
              <w:rPr>
                <w:rFonts w:hint="default" w:ascii="Times New Roman" w:hAnsi="Times New Roman" w:eastAsia="宋体" w:cs="Times New Roman"/>
                <w:b/>
                <w:bCs/>
                <w:color w:val="auto"/>
                <w:kern w:val="2"/>
                <w:sz w:val="24"/>
                <w:szCs w:val="32"/>
                <w:lang w:val="en-US" w:eastAsia="zh-CN" w:bidi="ar-SA"/>
              </w:rPr>
              <w:drawing>
                <wp:inline distT="0" distB="0" distL="114300" distR="114300">
                  <wp:extent cx="5176520" cy="3294380"/>
                  <wp:effectExtent l="0" t="0" r="5080" b="1270"/>
                  <wp:docPr id="9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5"/>
                          <pic:cNvPicPr>
                            <a:picLocks noChangeAspect="1"/>
                          </pic:cNvPicPr>
                        </pic:nvPicPr>
                        <pic:blipFill>
                          <a:blip r:embed="rId11"/>
                          <a:stretch>
                            <a:fillRect/>
                          </a:stretch>
                        </pic:blipFill>
                        <pic:spPr>
                          <a:xfrm>
                            <a:off x="0" y="0"/>
                            <a:ext cx="5176520" cy="3294380"/>
                          </a:xfrm>
                          <a:prstGeom prst="rect">
                            <a:avLst/>
                          </a:prstGeom>
                          <a:noFill/>
                          <a:ln>
                            <a:noFill/>
                          </a:ln>
                        </pic:spPr>
                      </pic:pic>
                    </a:graphicData>
                  </a:graphic>
                </wp:inline>
              </w:drawing>
            </w:r>
          </w:p>
          <w:p w14:paraId="63B728B7">
            <w:pPr>
              <w:widowControl w:val="0"/>
              <w:spacing w:line="360" w:lineRule="auto"/>
              <w:ind w:firstLine="0"/>
              <w:jc w:val="center"/>
              <w:rPr>
                <w:rFonts w:hint="default" w:ascii="Times New Roman" w:hAnsi="Times New Roman" w:eastAsia="宋体" w:cs="Times New Roman"/>
                <w:b/>
                <w:bCs/>
                <w:color w:val="auto"/>
                <w:kern w:val="2"/>
                <w:sz w:val="24"/>
                <w:szCs w:val="32"/>
                <w:lang w:val="en-US" w:eastAsia="zh-CN" w:bidi="ar-SA"/>
              </w:rPr>
            </w:pPr>
            <w:r>
              <w:rPr>
                <w:rFonts w:hint="default" w:ascii="Times New Roman" w:hAnsi="Times New Roman" w:eastAsia="宋体" w:cs="Times New Roman"/>
                <w:b/>
                <w:bCs/>
                <w:color w:val="auto"/>
                <w:kern w:val="2"/>
                <w:sz w:val="24"/>
                <w:szCs w:val="32"/>
                <w:lang w:val="en-US" w:eastAsia="zh-CN" w:bidi="ar-SA"/>
              </w:rPr>
              <w:t>图3-1</w:t>
            </w:r>
            <w:r>
              <w:rPr>
                <w:rFonts w:hint="eastAsia" w:cs="Times New Roman"/>
                <w:b/>
                <w:bCs/>
                <w:color w:val="auto"/>
                <w:kern w:val="2"/>
                <w:sz w:val="24"/>
                <w:szCs w:val="32"/>
                <w:lang w:val="en-US" w:eastAsia="zh-CN" w:bidi="ar-SA"/>
              </w:rPr>
              <w:t>：</w:t>
            </w:r>
            <w:r>
              <w:rPr>
                <w:rFonts w:hint="default" w:ascii="Times New Roman" w:hAnsi="Times New Roman" w:eastAsia="宋体" w:cs="Times New Roman"/>
                <w:b/>
                <w:bCs/>
                <w:color w:val="auto"/>
                <w:kern w:val="2"/>
                <w:sz w:val="24"/>
                <w:szCs w:val="32"/>
                <w:lang w:val="en-US" w:eastAsia="zh-CN" w:bidi="ar-SA"/>
              </w:rPr>
              <w:t>本项目与引用检测点位位置关系</w:t>
            </w:r>
          </w:p>
          <w:p w14:paraId="6D6727A0">
            <w:pPr>
              <w:kinsoku w:val="0"/>
              <w:overflowPunct w:val="0"/>
              <w:adjustRightInd w:val="0"/>
              <w:snapToGri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本次氨、硫化氢</w:t>
            </w:r>
            <w:r>
              <w:rPr>
                <w:rFonts w:hint="eastAsia" w:cs="Times New Roman"/>
                <w:color w:val="auto"/>
                <w:kern w:val="0"/>
                <w:sz w:val="24"/>
                <w:lang w:eastAsia="zh-CN"/>
              </w:rPr>
              <w:t>检测</w:t>
            </w:r>
            <w:r>
              <w:rPr>
                <w:rFonts w:hint="default" w:ascii="Times New Roman" w:hAnsi="Times New Roman" w:eastAsia="宋体" w:cs="Times New Roman"/>
                <w:color w:val="auto"/>
                <w:kern w:val="0"/>
                <w:sz w:val="24"/>
              </w:rPr>
              <w:t>引用《杭锦旗蒙医综合医院</w:t>
            </w:r>
            <w:r>
              <w:rPr>
                <w:rFonts w:hint="eastAsia"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治未病</w:t>
            </w:r>
            <w:r>
              <w:rPr>
                <w:rFonts w:hint="eastAsia"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综合楼建设项目环境空气及现状检测》数据，该项目位于本项目东南侧3.</w:t>
            </w:r>
            <w:r>
              <w:rPr>
                <w:rFonts w:hint="default" w:ascii="Times New Roman" w:hAnsi="Times New Roman" w:eastAsia="宋体" w:cs="Times New Roman"/>
                <w:color w:val="auto"/>
                <w:kern w:val="0"/>
                <w:sz w:val="24"/>
                <w:lang w:val="en-US" w:eastAsia="zh-CN"/>
              </w:rPr>
              <w:t>75</w:t>
            </w:r>
            <w:r>
              <w:rPr>
                <w:rFonts w:hint="default" w:ascii="Times New Roman" w:hAnsi="Times New Roman" w:eastAsia="宋体" w:cs="Times New Roman"/>
                <w:color w:val="auto"/>
                <w:kern w:val="0"/>
                <w:sz w:val="24"/>
              </w:rPr>
              <w:t>k</w:t>
            </w:r>
            <w:r>
              <w:rPr>
                <w:rFonts w:hint="eastAsia" w:cs="Times New Roman"/>
                <w:color w:val="auto"/>
                <w:kern w:val="0"/>
                <w:sz w:val="24"/>
                <w:lang w:eastAsia="zh-CN"/>
              </w:rPr>
              <w:t>m</w:t>
            </w:r>
            <w:r>
              <w:rPr>
                <w:rFonts w:hint="default" w:ascii="Times New Roman" w:hAnsi="Times New Roman" w:eastAsia="宋体" w:cs="Times New Roman"/>
                <w:color w:val="auto"/>
                <w:kern w:val="0"/>
                <w:sz w:val="24"/>
              </w:rPr>
              <w:t>处。项目地大气环境现状由内蒙古皓天环境检测有限责任公司于2023年5月6日</w:t>
            </w:r>
            <w:r>
              <w:rPr>
                <w:rFonts w:hint="eastAsia" w:cs="Times New Roman"/>
                <w:color w:val="auto"/>
                <w:kern w:val="0"/>
                <w:sz w:val="24"/>
                <w:lang w:eastAsia="zh-CN"/>
              </w:rPr>
              <w:t>—</w:t>
            </w:r>
            <w:r>
              <w:rPr>
                <w:rFonts w:hint="default" w:ascii="Times New Roman" w:hAnsi="Times New Roman" w:eastAsia="宋体" w:cs="Times New Roman"/>
                <w:color w:val="auto"/>
                <w:kern w:val="0"/>
                <w:sz w:val="24"/>
              </w:rPr>
              <w:t>8日进行监测。监测及评价结果见表3-2。</w:t>
            </w:r>
          </w:p>
          <w:p w14:paraId="1A921160">
            <w:pPr>
              <w:adjustRightInd w:val="0"/>
              <w:snapToGrid w:val="0"/>
              <w:spacing w:before="120" w:beforeLines="5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b/>
                <w:color w:val="auto"/>
                <w:kern w:val="0"/>
                <w:sz w:val="24"/>
              </w:rPr>
              <w:t>表3-2</w:t>
            </w:r>
            <w:r>
              <w:rPr>
                <w:rFonts w:hint="eastAsia" w:cs="Times New Roman"/>
                <w:b/>
                <w:color w:val="auto"/>
                <w:kern w:val="0"/>
                <w:sz w:val="24"/>
                <w:lang w:eastAsia="zh-CN"/>
              </w:rPr>
              <w:t>：</w:t>
            </w:r>
            <w:r>
              <w:rPr>
                <w:rFonts w:hint="default" w:ascii="Times New Roman" w:hAnsi="Times New Roman" w:eastAsia="宋体" w:cs="Times New Roman"/>
                <w:b/>
                <w:color w:val="auto"/>
                <w:kern w:val="0"/>
                <w:sz w:val="24"/>
              </w:rPr>
              <w:t>环境空气质量现状监测及评价结果</w:t>
            </w:r>
          </w:p>
          <w:tbl>
            <w:tblPr>
              <w:tblStyle w:val="10"/>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99"/>
              <w:gridCol w:w="882"/>
              <w:gridCol w:w="1286"/>
              <w:gridCol w:w="1191"/>
              <w:gridCol w:w="1193"/>
              <w:gridCol w:w="1005"/>
              <w:gridCol w:w="1005"/>
              <w:gridCol w:w="961"/>
            </w:tblGrid>
            <w:tr w14:paraId="166564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699" w:type="dxa"/>
                  <w:noWrap w:val="0"/>
                  <w:vAlign w:val="center"/>
                </w:tcPr>
                <w:p w14:paraId="57BC0880">
                  <w:pPr>
                    <w:widowControl/>
                    <w:kinsoku w:val="0"/>
                    <w:overflowPunct w:val="0"/>
                    <w:adjustRightInd w:val="0"/>
                    <w:snapToGrid w:val="0"/>
                    <w:ind w:left="105" w:right="103"/>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监测项目</w:t>
                  </w:r>
                </w:p>
              </w:tc>
              <w:tc>
                <w:tcPr>
                  <w:tcW w:w="882" w:type="dxa"/>
                  <w:noWrap w:val="0"/>
                  <w:vAlign w:val="center"/>
                </w:tcPr>
                <w:p w14:paraId="185F46B4">
                  <w:pPr>
                    <w:widowControl/>
                    <w:kinsoku w:val="0"/>
                    <w:overflowPunct w:val="0"/>
                    <w:adjustRightInd w:val="0"/>
                    <w:snapToGrid w:val="0"/>
                    <w:ind w:left="177" w:right="173"/>
                    <w:jc w:val="center"/>
                    <w:rPr>
                      <w:rFonts w:hint="default" w:ascii="Times New Roman" w:hAnsi="Times New Roman" w:eastAsia="宋体" w:cs="Times New Roman"/>
                      <w:b/>
                      <w:color w:val="auto"/>
                      <w:spacing w:val="-103"/>
                      <w:sz w:val="21"/>
                      <w:szCs w:val="21"/>
                    </w:rPr>
                  </w:pPr>
                  <w:r>
                    <w:rPr>
                      <w:rFonts w:hint="default" w:ascii="Times New Roman" w:hAnsi="Times New Roman" w:eastAsia="宋体" w:cs="Times New Roman"/>
                      <w:b/>
                      <w:color w:val="auto"/>
                      <w:sz w:val="21"/>
                      <w:szCs w:val="21"/>
                    </w:rPr>
                    <w:t>监测</w:t>
                  </w:r>
                </w:p>
                <w:p w14:paraId="69DFE57E">
                  <w:pPr>
                    <w:widowControl/>
                    <w:kinsoku w:val="0"/>
                    <w:overflowPunct w:val="0"/>
                    <w:adjustRightInd w:val="0"/>
                    <w:snapToGrid w:val="0"/>
                    <w:ind w:left="177" w:right="173"/>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点位</w:t>
                  </w:r>
                </w:p>
              </w:tc>
              <w:tc>
                <w:tcPr>
                  <w:tcW w:w="1286" w:type="dxa"/>
                  <w:noWrap w:val="0"/>
                  <w:vAlign w:val="center"/>
                </w:tcPr>
                <w:p w14:paraId="7C00EA74">
                  <w:pPr>
                    <w:widowControl/>
                    <w:kinsoku w:val="0"/>
                    <w:overflowPunct w:val="0"/>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取值类型</w:t>
                  </w:r>
                </w:p>
              </w:tc>
              <w:tc>
                <w:tcPr>
                  <w:tcW w:w="1191" w:type="dxa"/>
                  <w:noWrap w:val="0"/>
                  <w:vAlign w:val="center"/>
                </w:tcPr>
                <w:p w14:paraId="42062DE0">
                  <w:pPr>
                    <w:widowControl/>
                    <w:kinsoku w:val="0"/>
                    <w:overflowPunct w:val="0"/>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浓度范围</w:t>
                  </w:r>
                </w:p>
                <w:p w14:paraId="28F070B6">
                  <w:pPr>
                    <w:widowControl/>
                    <w:kinsoku w:val="0"/>
                    <w:overflowPunct w:val="0"/>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w:t>
                  </w:r>
                  <w:r>
                    <w:rPr>
                      <w:rFonts w:hint="eastAsia" w:cs="Times New Roman"/>
                      <w:b/>
                      <w:color w:val="auto"/>
                      <w:sz w:val="21"/>
                      <w:szCs w:val="21"/>
                      <w:lang w:eastAsia="zh-CN"/>
                    </w:rPr>
                    <w:t>m</w:t>
                  </w:r>
                  <w:r>
                    <w:rPr>
                      <w:rFonts w:hint="default" w:ascii="Times New Roman" w:hAnsi="Times New Roman" w:eastAsia="宋体" w:cs="Times New Roman"/>
                      <w:b/>
                      <w:color w:val="auto"/>
                      <w:sz w:val="21"/>
                      <w:szCs w:val="21"/>
                    </w:rPr>
                    <w:t>g/</w:t>
                  </w:r>
                  <w:r>
                    <w:rPr>
                      <w:rFonts w:hint="eastAsia" w:cs="Times New Roman"/>
                      <w:b/>
                      <w:color w:val="auto"/>
                      <w:sz w:val="21"/>
                      <w:szCs w:val="21"/>
                      <w:vertAlign w:val="baseline"/>
                      <w:lang w:eastAsia="zh-CN"/>
                    </w:rPr>
                    <w:t>m</w:t>
                  </w:r>
                  <w:r>
                    <w:rPr>
                      <w:rFonts w:hint="eastAsia" w:cs="Times New Roman"/>
                      <w:b/>
                      <w:color w:val="auto"/>
                      <w:sz w:val="21"/>
                      <w:szCs w:val="21"/>
                      <w:vertAlign w:val="superscript"/>
                      <w:lang w:eastAsia="zh-CN"/>
                    </w:rPr>
                    <w:t>3</w:t>
                  </w:r>
                  <w:r>
                    <w:rPr>
                      <w:rFonts w:hint="default" w:ascii="Times New Roman" w:hAnsi="Times New Roman" w:eastAsia="宋体" w:cs="Times New Roman"/>
                      <w:b/>
                      <w:color w:val="auto"/>
                      <w:sz w:val="21"/>
                      <w:szCs w:val="21"/>
                    </w:rPr>
                    <w:t>）</w:t>
                  </w:r>
                </w:p>
              </w:tc>
              <w:tc>
                <w:tcPr>
                  <w:tcW w:w="1193" w:type="dxa"/>
                  <w:noWrap w:val="0"/>
                  <w:vAlign w:val="center"/>
                </w:tcPr>
                <w:p w14:paraId="0A6B4133">
                  <w:pPr>
                    <w:widowControl/>
                    <w:kinsoku w:val="0"/>
                    <w:overflowPunct w:val="0"/>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标准值</w:t>
                  </w:r>
                </w:p>
                <w:p w14:paraId="57F098DE">
                  <w:pPr>
                    <w:widowControl/>
                    <w:kinsoku w:val="0"/>
                    <w:overflowPunct w:val="0"/>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w:t>
                  </w:r>
                  <w:r>
                    <w:rPr>
                      <w:rFonts w:hint="eastAsia" w:cs="Times New Roman"/>
                      <w:b/>
                      <w:color w:val="auto"/>
                      <w:sz w:val="21"/>
                      <w:szCs w:val="21"/>
                      <w:lang w:eastAsia="zh-CN"/>
                    </w:rPr>
                    <w:t>m</w:t>
                  </w:r>
                  <w:r>
                    <w:rPr>
                      <w:rFonts w:hint="default" w:ascii="Times New Roman" w:hAnsi="Times New Roman" w:eastAsia="宋体" w:cs="Times New Roman"/>
                      <w:b/>
                      <w:color w:val="auto"/>
                      <w:sz w:val="21"/>
                      <w:szCs w:val="21"/>
                    </w:rPr>
                    <w:t>g/</w:t>
                  </w:r>
                  <w:r>
                    <w:rPr>
                      <w:rFonts w:hint="eastAsia" w:cs="Times New Roman"/>
                      <w:b/>
                      <w:color w:val="auto"/>
                      <w:sz w:val="21"/>
                      <w:szCs w:val="21"/>
                      <w:vertAlign w:val="baseline"/>
                      <w:lang w:eastAsia="zh-CN"/>
                    </w:rPr>
                    <w:t>m</w:t>
                  </w:r>
                  <w:r>
                    <w:rPr>
                      <w:rFonts w:hint="eastAsia" w:cs="Times New Roman"/>
                      <w:b/>
                      <w:color w:val="auto"/>
                      <w:sz w:val="21"/>
                      <w:szCs w:val="21"/>
                      <w:vertAlign w:val="superscript"/>
                      <w:lang w:eastAsia="zh-CN"/>
                    </w:rPr>
                    <w:t>3</w:t>
                  </w:r>
                  <w:r>
                    <w:rPr>
                      <w:rFonts w:hint="default" w:ascii="Times New Roman" w:hAnsi="Times New Roman" w:eastAsia="宋体" w:cs="Times New Roman"/>
                      <w:b/>
                      <w:color w:val="auto"/>
                      <w:sz w:val="21"/>
                      <w:szCs w:val="21"/>
                    </w:rPr>
                    <w:t>）</w:t>
                  </w:r>
                </w:p>
              </w:tc>
              <w:tc>
                <w:tcPr>
                  <w:tcW w:w="1005" w:type="dxa"/>
                  <w:noWrap w:val="0"/>
                  <w:vAlign w:val="center"/>
                </w:tcPr>
                <w:p w14:paraId="4771BE90">
                  <w:pPr>
                    <w:widowControl/>
                    <w:kinsoku w:val="0"/>
                    <w:overflowPunct w:val="0"/>
                    <w:adjustRightInd w:val="0"/>
                    <w:snapToGrid w:val="0"/>
                    <w:ind w:left="141" w:right="98" w:hanging="36"/>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超标个数（个）</w:t>
                  </w:r>
                </w:p>
              </w:tc>
              <w:tc>
                <w:tcPr>
                  <w:tcW w:w="1005" w:type="dxa"/>
                  <w:noWrap w:val="0"/>
                  <w:vAlign w:val="center"/>
                </w:tcPr>
                <w:p w14:paraId="265879B7">
                  <w:pPr>
                    <w:widowControl/>
                    <w:kinsoku w:val="0"/>
                    <w:overflowPunct w:val="0"/>
                    <w:adjustRightInd w:val="0"/>
                    <w:snapToGrid w:val="0"/>
                    <w:ind w:left="228" w:right="120" w:hanging="104"/>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最大标准指数</w:t>
                  </w:r>
                </w:p>
              </w:tc>
              <w:tc>
                <w:tcPr>
                  <w:tcW w:w="961" w:type="dxa"/>
                  <w:noWrap w:val="0"/>
                  <w:vAlign w:val="center"/>
                </w:tcPr>
                <w:p w14:paraId="7672B845">
                  <w:pPr>
                    <w:widowControl/>
                    <w:kinsoku w:val="0"/>
                    <w:overflowPunct w:val="0"/>
                    <w:adjustRightInd w:val="0"/>
                    <w:snapToGrid w:val="0"/>
                    <w:ind w:left="228" w:right="120" w:hanging="104"/>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超标率</w:t>
                  </w:r>
                </w:p>
                <w:p w14:paraId="4C123EC6">
                  <w:pPr>
                    <w:widowControl/>
                    <w:kinsoku w:val="0"/>
                    <w:overflowPunct w:val="0"/>
                    <w:adjustRightInd w:val="0"/>
                    <w:snapToGrid w:val="0"/>
                    <w:ind w:left="127" w:right="125"/>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w:t>
                  </w:r>
                </w:p>
              </w:tc>
            </w:tr>
            <w:tr w14:paraId="0CC5C6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699" w:type="dxa"/>
                  <w:noWrap w:val="0"/>
                  <w:vAlign w:val="center"/>
                </w:tcPr>
                <w:p w14:paraId="64A364D1">
                  <w:pPr>
                    <w:widowControl/>
                    <w:kinsoku w:val="0"/>
                    <w:overflowPunct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氨</w:t>
                  </w:r>
                </w:p>
              </w:tc>
              <w:tc>
                <w:tcPr>
                  <w:tcW w:w="882" w:type="dxa"/>
                  <w:vMerge w:val="restart"/>
                  <w:noWrap w:val="0"/>
                  <w:vAlign w:val="center"/>
                </w:tcPr>
                <w:p w14:paraId="74A8107B">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杭锦旗蒙医综合医院</w:t>
                  </w:r>
                </w:p>
              </w:tc>
              <w:tc>
                <w:tcPr>
                  <w:tcW w:w="1286" w:type="dxa"/>
                  <w:noWrap w:val="0"/>
                  <w:vAlign w:val="center"/>
                </w:tcPr>
                <w:p w14:paraId="37047FE5">
                  <w:pPr>
                    <w:widowControl/>
                    <w:kinsoku w:val="0"/>
                    <w:overflowPunct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1小时平均</w:t>
                  </w:r>
                </w:p>
              </w:tc>
              <w:tc>
                <w:tcPr>
                  <w:tcW w:w="1191" w:type="dxa"/>
                  <w:noWrap w:val="0"/>
                  <w:vAlign w:val="center"/>
                </w:tcPr>
                <w:p w14:paraId="201986C5">
                  <w:pPr>
                    <w:widowControl/>
                    <w:kinsoku w:val="0"/>
                    <w:overflowPunct w:val="0"/>
                    <w:adjustRightInd w:val="0"/>
                    <w:snapToGrid w:val="0"/>
                    <w:spacing w:before="64"/>
                    <w:jc w:val="center"/>
                    <w:rPr>
                      <w:rFonts w:hint="default" w:ascii="Times New Roman" w:hAnsi="Times New Roman" w:eastAsia="宋体" w:cs="Times New Roman"/>
                      <w:color w:val="auto"/>
                      <w:spacing w:val="-4"/>
                      <w:position w:val="1"/>
                      <w:sz w:val="21"/>
                      <w:szCs w:val="21"/>
                    </w:rPr>
                  </w:pPr>
                  <w:r>
                    <w:rPr>
                      <w:rFonts w:hint="default" w:ascii="Times New Roman" w:hAnsi="Times New Roman" w:eastAsia="宋体" w:cs="Times New Roman"/>
                      <w:color w:val="auto"/>
                      <w:spacing w:val="-4"/>
                      <w:position w:val="1"/>
                      <w:sz w:val="21"/>
                      <w:szCs w:val="21"/>
                    </w:rPr>
                    <w:t>0.02-0.04</w:t>
                  </w:r>
                </w:p>
              </w:tc>
              <w:tc>
                <w:tcPr>
                  <w:tcW w:w="1193" w:type="dxa"/>
                  <w:noWrap w:val="0"/>
                  <w:vAlign w:val="center"/>
                </w:tcPr>
                <w:p w14:paraId="77ADDFD8">
                  <w:pPr>
                    <w:widowControl/>
                    <w:kinsoku w:val="0"/>
                    <w:overflowPunct w:val="0"/>
                    <w:adjustRightInd w:val="0"/>
                    <w:snapToGrid w:val="0"/>
                    <w:spacing w:before="64"/>
                    <w:jc w:val="center"/>
                    <w:rPr>
                      <w:rFonts w:hint="default" w:ascii="Times New Roman" w:hAnsi="Times New Roman" w:eastAsia="宋体" w:cs="Times New Roman"/>
                      <w:color w:val="auto"/>
                      <w:spacing w:val="-4"/>
                      <w:position w:val="1"/>
                      <w:sz w:val="21"/>
                      <w:szCs w:val="21"/>
                    </w:rPr>
                  </w:pPr>
                  <w:r>
                    <w:rPr>
                      <w:rFonts w:hint="default" w:ascii="Times New Roman" w:hAnsi="Times New Roman" w:eastAsia="宋体" w:cs="Times New Roman"/>
                      <w:color w:val="auto"/>
                      <w:spacing w:val="-4"/>
                      <w:position w:val="1"/>
                      <w:sz w:val="21"/>
                      <w:szCs w:val="21"/>
                    </w:rPr>
                    <w:t>0.2</w:t>
                  </w:r>
                </w:p>
              </w:tc>
              <w:tc>
                <w:tcPr>
                  <w:tcW w:w="1005" w:type="dxa"/>
                  <w:noWrap w:val="0"/>
                  <w:vAlign w:val="center"/>
                </w:tcPr>
                <w:p w14:paraId="29740088">
                  <w:pPr>
                    <w:widowControl/>
                    <w:kinsoku w:val="0"/>
                    <w:overflowPunct w:val="0"/>
                    <w:adjustRightInd w:val="0"/>
                    <w:snapToGrid w:val="0"/>
                    <w:spacing w:before="108"/>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1005" w:type="dxa"/>
                  <w:noWrap w:val="0"/>
                  <w:vAlign w:val="center"/>
                </w:tcPr>
                <w:p w14:paraId="1DF4F56D">
                  <w:pPr>
                    <w:widowControl/>
                    <w:kinsoku w:val="0"/>
                    <w:overflowPunct w:val="0"/>
                    <w:adjustRightInd w:val="0"/>
                    <w:snapToGrid w:val="0"/>
                    <w:spacing w:before="108"/>
                    <w:ind w:right="1"/>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0.2</w:t>
                  </w:r>
                </w:p>
              </w:tc>
              <w:tc>
                <w:tcPr>
                  <w:tcW w:w="961" w:type="dxa"/>
                  <w:noWrap w:val="0"/>
                  <w:vAlign w:val="center"/>
                </w:tcPr>
                <w:p w14:paraId="0278BCA1">
                  <w:pPr>
                    <w:widowControl/>
                    <w:kinsoku w:val="0"/>
                    <w:overflowPunct w:val="0"/>
                    <w:adjustRightInd w:val="0"/>
                    <w:snapToGrid w:val="0"/>
                    <w:spacing w:before="108"/>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r>
            <w:tr w14:paraId="6D0F3B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699" w:type="dxa"/>
                  <w:noWrap w:val="0"/>
                  <w:vAlign w:val="center"/>
                </w:tcPr>
                <w:p w14:paraId="02C97D9B">
                  <w:pPr>
                    <w:widowControl/>
                    <w:kinsoku w:val="0"/>
                    <w:overflowPunct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硫化氢</w:t>
                  </w:r>
                </w:p>
              </w:tc>
              <w:tc>
                <w:tcPr>
                  <w:tcW w:w="882" w:type="dxa"/>
                  <w:vMerge w:val="continue"/>
                  <w:noWrap w:val="0"/>
                  <w:vAlign w:val="center"/>
                </w:tcPr>
                <w:p w14:paraId="678CB9D3">
                  <w:pPr>
                    <w:adjustRightInd w:val="0"/>
                    <w:snapToGrid w:val="0"/>
                    <w:jc w:val="center"/>
                    <w:rPr>
                      <w:rFonts w:hint="default" w:ascii="Times New Roman" w:hAnsi="Times New Roman" w:eastAsia="宋体" w:cs="Times New Roman"/>
                      <w:bCs/>
                      <w:color w:val="auto"/>
                      <w:sz w:val="21"/>
                      <w:szCs w:val="21"/>
                    </w:rPr>
                  </w:pPr>
                </w:p>
              </w:tc>
              <w:tc>
                <w:tcPr>
                  <w:tcW w:w="1286" w:type="dxa"/>
                  <w:noWrap w:val="0"/>
                  <w:vAlign w:val="center"/>
                </w:tcPr>
                <w:p w14:paraId="6773DEDB">
                  <w:pPr>
                    <w:widowControl/>
                    <w:kinsoku w:val="0"/>
                    <w:overflowPunct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1小时平均</w:t>
                  </w:r>
                </w:p>
              </w:tc>
              <w:tc>
                <w:tcPr>
                  <w:tcW w:w="1191" w:type="dxa"/>
                  <w:noWrap w:val="0"/>
                  <w:vAlign w:val="center"/>
                </w:tcPr>
                <w:p w14:paraId="1D102E5A">
                  <w:pPr>
                    <w:widowControl/>
                    <w:kinsoku w:val="0"/>
                    <w:overflowPunct w:val="0"/>
                    <w:adjustRightInd w:val="0"/>
                    <w:snapToGrid w:val="0"/>
                    <w:spacing w:before="64"/>
                    <w:jc w:val="center"/>
                    <w:rPr>
                      <w:rFonts w:hint="default" w:ascii="Times New Roman" w:hAnsi="Times New Roman" w:eastAsia="宋体" w:cs="Times New Roman"/>
                      <w:color w:val="auto"/>
                      <w:spacing w:val="-4"/>
                      <w:position w:val="1"/>
                      <w:sz w:val="21"/>
                      <w:szCs w:val="21"/>
                    </w:rPr>
                  </w:pPr>
                  <w:r>
                    <w:rPr>
                      <w:rFonts w:hint="default" w:ascii="Times New Roman" w:hAnsi="Times New Roman" w:eastAsia="宋体" w:cs="Times New Roman"/>
                      <w:color w:val="auto"/>
                      <w:spacing w:val="-4"/>
                      <w:position w:val="1"/>
                      <w:sz w:val="21"/>
                      <w:szCs w:val="21"/>
                    </w:rPr>
                    <w:t>ND-0.001</w:t>
                  </w:r>
                </w:p>
              </w:tc>
              <w:tc>
                <w:tcPr>
                  <w:tcW w:w="1193" w:type="dxa"/>
                  <w:noWrap w:val="0"/>
                  <w:vAlign w:val="center"/>
                </w:tcPr>
                <w:p w14:paraId="09C75B96">
                  <w:pPr>
                    <w:widowControl/>
                    <w:kinsoku w:val="0"/>
                    <w:overflowPunct w:val="0"/>
                    <w:adjustRightInd w:val="0"/>
                    <w:snapToGrid w:val="0"/>
                    <w:spacing w:before="64"/>
                    <w:jc w:val="center"/>
                    <w:rPr>
                      <w:rFonts w:hint="default" w:ascii="Times New Roman" w:hAnsi="Times New Roman" w:eastAsia="宋体" w:cs="Times New Roman"/>
                      <w:color w:val="auto"/>
                      <w:spacing w:val="-4"/>
                      <w:position w:val="1"/>
                      <w:sz w:val="21"/>
                      <w:szCs w:val="21"/>
                    </w:rPr>
                  </w:pPr>
                  <w:r>
                    <w:rPr>
                      <w:rFonts w:hint="default" w:ascii="Times New Roman" w:hAnsi="Times New Roman" w:eastAsia="宋体" w:cs="Times New Roman"/>
                      <w:color w:val="auto"/>
                      <w:spacing w:val="-4"/>
                      <w:position w:val="1"/>
                      <w:sz w:val="21"/>
                      <w:szCs w:val="21"/>
                    </w:rPr>
                    <w:t>0.01</w:t>
                  </w:r>
                </w:p>
              </w:tc>
              <w:tc>
                <w:tcPr>
                  <w:tcW w:w="1005" w:type="dxa"/>
                  <w:noWrap w:val="0"/>
                  <w:vAlign w:val="center"/>
                </w:tcPr>
                <w:p w14:paraId="427AB6E1">
                  <w:pPr>
                    <w:widowControl/>
                    <w:kinsoku w:val="0"/>
                    <w:overflowPunct w:val="0"/>
                    <w:adjustRightInd w:val="0"/>
                    <w:snapToGrid w:val="0"/>
                    <w:spacing w:before="108"/>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1005" w:type="dxa"/>
                  <w:noWrap w:val="0"/>
                  <w:vAlign w:val="center"/>
                </w:tcPr>
                <w:p w14:paraId="5A1E67FF">
                  <w:pPr>
                    <w:widowControl/>
                    <w:kinsoku w:val="0"/>
                    <w:overflowPunct w:val="0"/>
                    <w:adjustRightInd w:val="0"/>
                    <w:snapToGrid w:val="0"/>
                    <w:spacing w:before="108"/>
                    <w:ind w:right="1"/>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0.1</w:t>
                  </w:r>
                </w:p>
              </w:tc>
              <w:tc>
                <w:tcPr>
                  <w:tcW w:w="961" w:type="dxa"/>
                  <w:noWrap w:val="0"/>
                  <w:vAlign w:val="center"/>
                </w:tcPr>
                <w:p w14:paraId="30C21430">
                  <w:pPr>
                    <w:widowControl/>
                    <w:kinsoku w:val="0"/>
                    <w:overflowPunct w:val="0"/>
                    <w:adjustRightInd w:val="0"/>
                    <w:snapToGrid w:val="0"/>
                    <w:spacing w:before="108"/>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r>
            <w:tr w14:paraId="77109B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699" w:type="dxa"/>
                  <w:noWrap w:val="0"/>
                  <w:vAlign w:val="center"/>
                </w:tcPr>
                <w:p w14:paraId="29BE18A4">
                  <w:pPr>
                    <w:widowControl/>
                    <w:kinsoku w:val="0"/>
                    <w:overflowPunct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备注</w:t>
                  </w:r>
                </w:p>
              </w:tc>
              <w:tc>
                <w:tcPr>
                  <w:tcW w:w="7523" w:type="dxa"/>
                  <w:gridSpan w:val="7"/>
                  <w:noWrap w:val="0"/>
                  <w:vAlign w:val="center"/>
                </w:tcPr>
                <w:p w14:paraId="2AEBF5BE">
                  <w:pPr>
                    <w:widowControl/>
                    <w:kinsoku w:val="0"/>
                    <w:overflowPunct w:val="0"/>
                    <w:adjustRightInd w:val="0"/>
                    <w:snapToGrid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执行标准：《环境影响评价技术导则 大气环境》（HJ2.2-2018）附录D中最高允许浓度限值，结果中</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ND</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表示结果未检出</w:t>
                  </w:r>
                </w:p>
              </w:tc>
            </w:tr>
          </w:tbl>
          <w:p w14:paraId="1A2AFD8E">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textAlignment w:val="auto"/>
              <w:rPr>
                <w:rFonts w:hint="default" w:ascii="Times New Roman" w:hAnsi="Times New Roman" w:cs="Times New Roman"/>
                <w:color w:val="auto"/>
              </w:rPr>
            </w:pPr>
            <w:r>
              <w:rPr>
                <w:rFonts w:hint="default" w:ascii="Times New Roman" w:hAnsi="Times New Roman" w:eastAsia="宋体" w:cs="Times New Roman"/>
                <w:bCs/>
                <w:color w:val="auto"/>
                <w:sz w:val="24"/>
                <w:szCs w:val="20"/>
              </w:rPr>
              <w:t>根据监测结果，环境空气中氨、硫化氢的</w:t>
            </w:r>
            <w:r>
              <w:rPr>
                <w:rFonts w:hint="default" w:ascii="Times New Roman" w:hAnsi="Times New Roman" w:eastAsia="宋体" w:cs="Times New Roman"/>
                <w:bCs/>
                <w:color w:val="auto"/>
                <w:sz w:val="24"/>
                <w:szCs w:val="20"/>
                <w:lang w:eastAsia="zh-CN"/>
              </w:rPr>
              <w:t>小时均值</w:t>
            </w:r>
            <w:r>
              <w:rPr>
                <w:rFonts w:hint="default" w:ascii="Times New Roman" w:hAnsi="Times New Roman" w:eastAsia="宋体" w:cs="Times New Roman"/>
                <w:bCs/>
                <w:color w:val="auto"/>
                <w:sz w:val="24"/>
                <w:szCs w:val="20"/>
              </w:rPr>
              <w:t>检测结果均可满足《环境影响评价技术导则 大气环境》（HJ2.2-2018）附录D中最高允许浓度限值要求，区域环境空气质量较好</w:t>
            </w:r>
            <w:r>
              <w:rPr>
                <w:rFonts w:hint="default" w:ascii="Times New Roman" w:hAnsi="Times New Roman" w:eastAsia="宋体" w:cs="Times New Roman"/>
                <w:bCs/>
                <w:color w:val="auto"/>
                <w:sz w:val="24"/>
                <w:szCs w:val="20"/>
                <w:lang w:eastAsia="zh-CN"/>
              </w:rPr>
              <w:t>。</w:t>
            </w:r>
          </w:p>
          <w:p w14:paraId="60EA0A9B">
            <w:pPr>
              <w:adjustRightInd w:val="0"/>
              <w:snapToGrid w:val="0"/>
              <w:spacing w:line="360" w:lineRule="auto"/>
              <w:ind w:firstLine="482"/>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2.声环境质量现状</w:t>
            </w:r>
          </w:p>
          <w:p w14:paraId="0DA5D4B9">
            <w:pPr>
              <w:spacing w:line="360" w:lineRule="auto"/>
              <w:ind w:firstLine="480" w:firstLineChars="200"/>
              <w:rPr>
                <w:rFonts w:hint="default" w:ascii="Times New Roman" w:hAnsi="Times New Roman" w:eastAsia="宋体" w:cs="Times New Roman"/>
                <w:color w:val="auto"/>
                <w:sz w:val="24"/>
                <w:highlight w:val="none"/>
              </w:rPr>
            </w:pPr>
            <w:r>
              <w:rPr>
                <w:rFonts w:hint="eastAsia" w:cs="Times New Roman"/>
                <w:bCs/>
                <w:color w:val="auto"/>
                <w:sz w:val="24"/>
                <w:highlight w:val="none"/>
                <w:lang w:eastAsia="zh-CN"/>
              </w:rPr>
              <w:t>根据</w:t>
            </w:r>
            <w:r>
              <w:rPr>
                <w:rFonts w:hint="default" w:ascii="Times New Roman" w:hAnsi="Times New Roman" w:eastAsia="宋体" w:cs="Times New Roman"/>
                <w:bCs/>
                <w:color w:val="auto"/>
                <w:sz w:val="24"/>
                <w:highlight w:val="none"/>
              </w:rPr>
              <w:t>《建设项目环境影响报告表编制技术指南（污染影响类）</w:t>
            </w:r>
            <w:r>
              <w:rPr>
                <w:rFonts w:hint="eastAsia" w:cs="Times New Roman"/>
                <w:bCs/>
                <w:color w:val="auto"/>
                <w:sz w:val="24"/>
                <w:highlight w:val="none"/>
                <w:lang w:eastAsia="zh-CN"/>
              </w:rPr>
              <w:t>（试行）》</w:t>
            </w:r>
            <w:r>
              <w:rPr>
                <w:rFonts w:hint="default" w:ascii="Times New Roman" w:hAnsi="Times New Roman" w:eastAsia="宋体" w:cs="Times New Roman"/>
                <w:bCs/>
                <w:color w:val="auto"/>
                <w:sz w:val="24"/>
                <w:highlight w:val="none"/>
              </w:rPr>
              <w:t>，项目厂界外50</w:t>
            </w:r>
            <w:r>
              <w:rPr>
                <w:rFonts w:hint="eastAsia" w:cs="Times New Roman"/>
                <w:bCs/>
                <w:color w:val="auto"/>
                <w:sz w:val="24"/>
                <w:highlight w:val="none"/>
                <w:lang w:eastAsia="zh-CN"/>
              </w:rPr>
              <w:t>m</w:t>
            </w:r>
            <w:r>
              <w:rPr>
                <w:rFonts w:hint="default" w:ascii="Times New Roman" w:hAnsi="Times New Roman" w:eastAsia="宋体" w:cs="Times New Roman"/>
                <w:bCs/>
                <w:color w:val="auto"/>
                <w:sz w:val="24"/>
                <w:highlight w:val="none"/>
              </w:rPr>
              <w:t>范围内无声环境敏感目标</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因此，本次未开展声环境质量现状调查</w:t>
            </w:r>
            <w:r>
              <w:rPr>
                <w:rFonts w:hint="default" w:ascii="Times New Roman" w:hAnsi="Times New Roman" w:eastAsia="宋体" w:cs="Times New Roman"/>
                <w:color w:val="auto"/>
                <w:sz w:val="24"/>
                <w:highlight w:val="none"/>
              </w:rPr>
              <w:t>。</w:t>
            </w:r>
          </w:p>
          <w:p w14:paraId="4E2E74BD">
            <w:pPr>
              <w:spacing w:line="360" w:lineRule="auto"/>
              <w:ind w:firstLine="482" w:firstLineChars="200"/>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3.地下水质量现状</w:t>
            </w:r>
          </w:p>
          <w:p w14:paraId="38BC3EF3">
            <w:pPr>
              <w:spacing w:line="360" w:lineRule="auto"/>
              <w:ind w:firstLine="480" w:firstLineChars="200"/>
              <w:rPr>
                <w:rFonts w:hint="default" w:ascii="Times New Roman" w:hAnsi="Times New Roman" w:eastAsia="宋体" w:cs="Times New Roman"/>
                <w:bCs/>
                <w:color w:val="auto"/>
                <w:kern w:val="0"/>
                <w:sz w:val="24"/>
              </w:rPr>
            </w:pPr>
            <w:r>
              <w:rPr>
                <w:rFonts w:hint="default" w:ascii="Times New Roman" w:hAnsi="Times New Roman" w:eastAsia="宋体" w:cs="Times New Roman"/>
                <w:bCs/>
                <w:color w:val="auto"/>
                <w:kern w:val="0"/>
                <w:sz w:val="24"/>
              </w:rPr>
              <w:t>根据《建设项目环境影响报告表编制技术指南（污染影响类）</w:t>
            </w:r>
            <w:r>
              <w:rPr>
                <w:rFonts w:hint="eastAsia" w:cs="Times New Roman"/>
                <w:bCs/>
                <w:color w:val="auto"/>
                <w:kern w:val="0"/>
                <w:sz w:val="24"/>
                <w:lang w:eastAsia="zh-CN"/>
              </w:rPr>
              <w:t>（试行）》</w:t>
            </w:r>
            <w:r>
              <w:rPr>
                <w:rFonts w:hint="default" w:ascii="Times New Roman" w:hAnsi="Times New Roman" w:eastAsia="宋体" w:cs="Times New Roman"/>
                <w:bCs/>
                <w:color w:val="auto"/>
                <w:kern w:val="0"/>
                <w:sz w:val="24"/>
              </w:rPr>
              <w:t>，地下水、土壤环境原则上不开展环境质量现状调查。建设项目存在土壤、地下水污染途径的，应结合污染源、保护目标分布情况开展现状调查以留作背景值，以确保项目的可持续发展。针对环境保护目标，指南中针对地下水给出的内容为：地下水环境需明确厂界外500米范围内的地下水</w:t>
            </w:r>
            <w:r>
              <w:rPr>
                <w:rFonts w:hint="eastAsia" w:cs="Times New Roman"/>
                <w:bCs/>
                <w:color w:val="auto"/>
                <w:kern w:val="0"/>
                <w:sz w:val="24"/>
                <w:lang w:eastAsia="zh-CN"/>
              </w:rPr>
              <w:t>包括</w:t>
            </w:r>
            <w:r>
              <w:rPr>
                <w:rFonts w:hint="default" w:ascii="Times New Roman" w:hAnsi="Times New Roman" w:eastAsia="宋体" w:cs="Times New Roman"/>
                <w:bCs/>
                <w:color w:val="auto"/>
                <w:kern w:val="0"/>
                <w:sz w:val="24"/>
              </w:rPr>
              <w:t>集中式饮用水水源和热水、矿泉水、温泉等特殊地下水资源。</w:t>
            </w:r>
          </w:p>
          <w:p w14:paraId="51968570">
            <w:pPr>
              <w:spacing w:line="360" w:lineRule="auto"/>
              <w:ind w:firstLine="480" w:firstLineChars="200"/>
              <w:rPr>
                <w:rFonts w:hint="default" w:ascii="Times New Roman" w:hAnsi="Times New Roman" w:eastAsia="宋体" w:cs="Times New Roman"/>
                <w:bCs/>
                <w:color w:val="auto"/>
                <w:kern w:val="0"/>
                <w:sz w:val="24"/>
              </w:rPr>
            </w:pPr>
            <w:r>
              <w:rPr>
                <w:rFonts w:hint="default" w:ascii="Times New Roman" w:hAnsi="Times New Roman" w:eastAsia="宋体" w:cs="Times New Roman"/>
                <w:bCs/>
                <w:color w:val="auto"/>
                <w:kern w:val="0"/>
                <w:sz w:val="24"/>
              </w:rPr>
              <w:t>经调查，本项目西侧1.</w:t>
            </w:r>
            <w:r>
              <w:rPr>
                <w:rFonts w:hint="default" w:ascii="Times New Roman" w:hAnsi="Times New Roman" w:eastAsia="宋体" w:cs="Times New Roman"/>
                <w:bCs/>
                <w:color w:val="auto"/>
                <w:kern w:val="0"/>
                <w:sz w:val="24"/>
                <w:lang w:val="en-US" w:eastAsia="zh-CN"/>
              </w:rPr>
              <w:t>5</w:t>
            </w:r>
            <w:r>
              <w:rPr>
                <w:rFonts w:hint="default" w:ascii="Times New Roman" w:hAnsi="Times New Roman" w:eastAsia="宋体" w:cs="Times New Roman"/>
                <w:bCs/>
                <w:color w:val="auto"/>
                <w:kern w:val="0"/>
                <w:sz w:val="24"/>
              </w:rPr>
              <w:t>k</w:t>
            </w:r>
            <w:r>
              <w:rPr>
                <w:rFonts w:hint="eastAsia" w:cs="Times New Roman"/>
                <w:bCs/>
                <w:color w:val="auto"/>
                <w:kern w:val="0"/>
                <w:sz w:val="24"/>
                <w:lang w:eastAsia="zh-CN"/>
              </w:rPr>
              <w:t>m</w:t>
            </w:r>
            <w:r>
              <w:rPr>
                <w:rFonts w:hint="default" w:ascii="Times New Roman" w:hAnsi="Times New Roman" w:eastAsia="宋体" w:cs="Times New Roman"/>
                <w:bCs/>
                <w:color w:val="auto"/>
                <w:kern w:val="0"/>
                <w:sz w:val="24"/>
              </w:rPr>
              <w:t>处为锡尼镇北水源地。202</w:t>
            </w:r>
            <w:r>
              <w:rPr>
                <w:rFonts w:hint="default" w:ascii="Times New Roman" w:hAnsi="Times New Roman" w:cs="Times New Roman"/>
                <w:bCs/>
                <w:color w:val="auto"/>
                <w:kern w:val="0"/>
                <w:sz w:val="24"/>
                <w:lang w:val="en-US" w:eastAsia="zh-CN"/>
              </w:rPr>
              <w:t>5</w:t>
            </w:r>
            <w:r>
              <w:rPr>
                <w:rFonts w:hint="default" w:ascii="Times New Roman" w:hAnsi="Times New Roman" w:eastAsia="宋体" w:cs="Times New Roman"/>
                <w:bCs/>
                <w:color w:val="auto"/>
                <w:kern w:val="0"/>
                <w:sz w:val="24"/>
              </w:rPr>
              <w:t>年</w:t>
            </w:r>
            <w:r>
              <w:rPr>
                <w:rFonts w:hint="default" w:ascii="Times New Roman" w:hAnsi="Times New Roman" w:eastAsia="宋体" w:cs="Times New Roman"/>
                <w:bCs/>
                <w:color w:val="auto"/>
                <w:kern w:val="0"/>
                <w:sz w:val="24"/>
                <w:lang w:val="en-US" w:eastAsia="zh-CN"/>
              </w:rPr>
              <w:t>4</w:t>
            </w:r>
            <w:r>
              <w:rPr>
                <w:rFonts w:hint="default" w:ascii="Times New Roman" w:hAnsi="Times New Roman" w:eastAsia="宋体" w:cs="Times New Roman"/>
                <w:bCs/>
                <w:color w:val="auto"/>
                <w:kern w:val="0"/>
                <w:sz w:val="24"/>
              </w:rPr>
              <w:t>月</w:t>
            </w:r>
            <w:r>
              <w:rPr>
                <w:rFonts w:hint="default" w:ascii="Times New Roman" w:hAnsi="Times New Roman" w:eastAsia="宋体" w:cs="Times New Roman"/>
                <w:bCs/>
                <w:color w:val="auto"/>
                <w:kern w:val="0"/>
                <w:sz w:val="24"/>
                <w:lang w:val="en-US" w:eastAsia="zh-CN"/>
              </w:rPr>
              <w:t>16</w:t>
            </w:r>
            <w:r>
              <w:rPr>
                <w:rFonts w:hint="default" w:ascii="Times New Roman" w:hAnsi="Times New Roman" w:eastAsia="宋体" w:cs="Times New Roman"/>
                <w:bCs/>
                <w:color w:val="auto"/>
                <w:kern w:val="0"/>
                <w:sz w:val="24"/>
              </w:rPr>
              <w:t>日，杭锦旗人民政府网站发布了《关于公布</w:t>
            </w:r>
            <w:r>
              <w:rPr>
                <w:rFonts w:hint="eastAsia" w:cs="Times New Roman"/>
                <w:bCs/>
                <w:color w:val="auto"/>
                <w:kern w:val="0"/>
                <w:sz w:val="24"/>
                <w:lang w:eastAsia="zh-CN"/>
              </w:rPr>
              <w:t>鄂尔多斯市同圆水务有限公司</w:t>
            </w:r>
            <w:r>
              <w:rPr>
                <w:rFonts w:hint="default" w:ascii="Times New Roman" w:hAnsi="Times New Roman" w:eastAsia="宋体" w:cs="Times New Roman"/>
                <w:bCs/>
                <w:color w:val="auto"/>
                <w:kern w:val="0"/>
                <w:sz w:val="24"/>
              </w:rPr>
              <w:t>2025年3月份水质检验报告》，对锡尼镇北水源地</w:t>
            </w:r>
            <w:r>
              <w:rPr>
                <w:rFonts w:hint="eastAsia" w:cs="Times New Roman"/>
                <w:bCs/>
                <w:color w:val="auto"/>
                <w:kern w:val="0"/>
                <w:sz w:val="24"/>
                <w:lang w:eastAsia="zh-CN"/>
              </w:rPr>
              <w:t>的</w:t>
            </w:r>
            <w:r>
              <w:rPr>
                <w:rFonts w:hint="default" w:ascii="Times New Roman" w:hAnsi="Times New Roman" w:eastAsia="宋体" w:cs="Times New Roman"/>
                <w:bCs/>
                <w:color w:val="auto"/>
                <w:kern w:val="0"/>
                <w:sz w:val="24"/>
              </w:rPr>
              <w:t>生活饮用水水源地进行了水质检测。经检测，各检测项目均满足《生活饮用水卫生标准》（GB5749-2022）标准限值要求。地下水检测报告详见附件8。</w:t>
            </w:r>
          </w:p>
          <w:p w14:paraId="682DF925">
            <w:pPr>
              <w:spacing w:line="360" w:lineRule="auto"/>
              <w:ind w:firstLine="480" w:firstLineChars="200"/>
              <w:rPr>
                <w:rFonts w:hint="default" w:ascii="Times New Roman" w:hAnsi="Times New Roman" w:eastAsia="宋体" w:cs="Times New Roman"/>
                <w:bCs/>
                <w:color w:val="auto"/>
                <w:kern w:val="0"/>
                <w:sz w:val="24"/>
              </w:rPr>
            </w:pPr>
            <w:r>
              <w:rPr>
                <w:rFonts w:hint="default" w:ascii="Times New Roman" w:hAnsi="Times New Roman" w:eastAsia="宋体" w:cs="Times New Roman"/>
                <w:bCs/>
                <w:color w:val="auto"/>
                <w:kern w:val="0"/>
                <w:sz w:val="24"/>
              </w:rPr>
              <w:t>引用</w:t>
            </w:r>
            <w:r>
              <w:rPr>
                <w:rFonts w:hint="eastAsia" w:cs="Times New Roman"/>
                <w:bCs/>
                <w:color w:val="auto"/>
                <w:kern w:val="0"/>
                <w:sz w:val="24"/>
                <w:lang w:val="en-US" w:eastAsia="zh-CN"/>
              </w:rPr>
              <w:t>的</w:t>
            </w:r>
            <w:r>
              <w:rPr>
                <w:rFonts w:hint="default" w:ascii="Times New Roman" w:hAnsi="Times New Roman" w:eastAsia="宋体" w:cs="Times New Roman"/>
                <w:bCs/>
                <w:color w:val="auto"/>
                <w:kern w:val="0"/>
                <w:sz w:val="24"/>
              </w:rPr>
              <w:t>水源地水质检测结果与《地下水质量标准》（GB/T 14848-2017）Ⅲ类标准限值分析如下。</w:t>
            </w:r>
          </w:p>
          <w:p w14:paraId="27B858C3">
            <w:pPr>
              <w:widowControl w:val="0"/>
              <w:ind w:firstLine="0"/>
              <w:jc w:val="center"/>
              <w:rPr>
                <w:rFonts w:hint="default" w:ascii="Times New Roman" w:hAnsi="Times New Roman" w:eastAsia="宋体" w:cs="Times New Roman"/>
                <w:b/>
                <w:bCs/>
                <w:color w:val="auto"/>
                <w:kern w:val="2"/>
                <w:sz w:val="21"/>
                <w:szCs w:val="24"/>
                <w:lang w:val="en-US" w:eastAsia="zh-CN" w:bidi="ar-SA"/>
              </w:rPr>
            </w:pPr>
            <w:r>
              <w:rPr>
                <w:rFonts w:hint="default" w:ascii="Times New Roman" w:hAnsi="Times New Roman" w:eastAsia="宋体" w:cs="Times New Roman"/>
                <w:b/>
                <w:bCs/>
                <w:color w:val="auto"/>
                <w:kern w:val="2"/>
                <w:sz w:val="21"/>
                <w:szCs w:val="24"/>
                <w:lang w:val="en-US" w:eastAsia="zh-CN" w:bidi="ar-SA"/>
              </w:rPr>
              <w:t>表3-2</w:t>
            </w:r>
            <w:r>
              <w:rPr>
                <w:rFonts w:hint="eastAsia" w:cs="Times New Roman"/>
                <w:b/>
                <w:bCs/>
                <w:color w:val="auto"/>
                <w:kern w:val="2"/>
                <w:sz w:val="21"/>
                <w:szCs w:val="24"/>
                <w:lang w:val="en-US" w:eastAsia="zh-CN" w:bidi="ar-SA"/>
              </w:rPr>
              <w:t>：</w:t>
            </w:r>
            <w:r>
              <w:rPr>
                <w:rFonts w:hint="default" w:ascii="Times New Roman" w:hAnsi="Times New Roman" w:eastAsia="宋体" w:cs="Times New Roman"/>
                <w:b/>
                <w:bCs/>
                <w:color w:val="auto"/>
                <w:kern w:val="2"/>
                <w:sz w:val="21"/>
                <w:szCs w:val="24"/>
                <w:lang w:val="en-US" w:eastAsia="zh-CN" w:bidi="ar-SA"/>
              </w:rPr>
              <w:t>地下水现状监测与评价结果统计</w:t>
            </w:r>
          </w:p>
          <w:tbl>
            <w:tblPr>
              <w:tblStyle w:val="10"/>
              <w:tblW w:w="839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37"/>
              <w:gridCol w:w="1155"/>
              <w:gridCol w:w="1255"/>
              <w:gridCol w:w="1851"/>
              <w:gridCol w:w="1842"/>
              <w:gridCol w:w="752"/>
            </w:tblGrid>
            <w:tr w14:paraId="779703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3869F9EE">
                  <w:pPr>
                    <w:widowControl w:val="0"/>
                    <w:ind w:firstLine="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检测项目</w:t>
                  </w:r>
                </w:p>
              </w:tc>
              <w:tc>
                <w:tcPr>
                  <w:tcW w:w="1155" w:type="dxa"/>
                  <w:noWrap w:val="0"/>
                  <w:vAlign w:val="center"/>
                </w:tcPr>
                <w:p w14:paraId="15CD8AC3">
                  <w:pPr>
                    <w:widowControl w:val="0"/>
                    <w:ind w:firstLine="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单位</w:t>
                  </w:r>
                </w:p>
              </w:tc>
              <w:tc>
                <w:tcPr>
                  <w:tcW w:w="1255" w:type="dxa"/>
                  <w:noWrap w:val="0"/>
                  <w:vAlign w:val="center"/>
                </w:tcPr>
                <w:p w14:paraId="60A6FD73">
                  <w:pPr>
                    <w:widowControl w:val="0"/>
                    <w:ind w:firstLine="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检测值</w:t>
                  </w:r>
                </w:p>
              </w:tc>
              <w:tc>
                <w:tcPr>
                  <w:tcW w:w="1851" w:type="dxa"/>
                  <w:noWrap w:val="0"/>
                  <w:vAlign w:val="top"/>
                </w:tcPr>
                <w:p w14:paraId="2F615D6C">
                  <w:pPr>
                    <w:widowControl w:val="0"/>
                    <w:ind w:firstLine="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《生活饮用水卫生标准》（GB5749-2022）标准</w:t>
                  </w:r>
                </w:p>
              </w:tc>
              <w:tc>
                <w:tcPr>
                  <w:tcW w:w="1842" w:type="dxa"/>
                  <w:noWrap w:val="0"/>
                  <w:vAlign w:val="center"/>
                </w:tcPr>
                <w:p w14:paraId="3A5A660C">
                  <w:pPr>
                    <w:widowControl w:val="0"/>
                    <w:ind w:firstLine="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《地下水质量标准》（GB/T 14848-2017）Ⅲ类标准</w:t>
                  </w:r>
                </w:p>
              </w:tc>
              <w:tc>
                <w:tcPr>
                  <w:tcW w:w="752" w:type="dxa"/>
                  <w:noWrap w:val="0"/>
                  <w:vAlign w:val="center"/>
                </w:tcPr>
                <w:p w14:paraId="3258F5C6">
                  <w:pPr>
                    <w:widowControl w:val="0"/>
                    <w:ind w:firstLine="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是否达标</w:t>
                  </w:r>
                </w:p>
              </w:tc>
            </w:tr>
            <w:tr w14:paraId="31B0A0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34ABAF8C">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总大肠菌群</w:t>
                  </w:r>
                </w:p>
              </w:tc>
              <w:tc>
                <w:tcPr>
                  <w:tcW w:w="1155" w:type="dxa"/>
                  <w:noWrap w:val="0"/>
                  <w:vAlign w:val="center"/>
                </w:tcPr>
                <w:p w14:paraId="04F608F9">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 xml:space="preserve">MPN/100 </w:t>
                  </w:r>
                  <w:r>
                    <w:rPr>
                      <w:rFonts w:hint="eastAsia"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L</w:t>
                  </w:r>
                </w:p>
              </w:tc>
              <w:tc>
                <w:tcPr>
                  <w:tcW w:w="1255" w:type="dxa"/>
                  <w:noWrap w:val="0"/>
                  <w:vAlign w:val="center"/>
                </w:tcPr>
                <w:p w14:paraId="2B4E6415">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未检出</w:t>
                  </w:r>
                </w:p>
              </w:tc>
              <w:tc>
                <w:tcPr>
                  <w:tcW w:w="1851" w:type="dxa"/>
                  <w:noWrap w:val="0"/>
                  <w:vAlign w:val="center"/>
                </w:tcPr>
                <w:p w14:paraId="018EB978">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3.0</w:t>
                  </w:r>
                </w:p>
              </w:tc>
              <w:tc>
                <w:tcPr>
                  <w:tcW w:w="1842" w:type="dxa"/>
                  <w:noWrap w:val="0"/>
                  <w:vAlign w:val="center"/>
                </w:tcPr>
                <w:p w14:paraId="00EA75B4">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3.0</w:t>
                  </w:r>
                </w:p>
              </w:tc>
              <w:tc>
                <w:tcPr>
                  <w:tcW w:w="752" w:type="dxa"/>
                  <w:noWrap w:val="0"/>
                  <w:vAlign w:val="center"/>
                </w:tcPr>
                <w:p w14:paraId="5291836D">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3F67E2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6B8D3674">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大肠埃希氏菌</w:t>
                  </w:r>
                </w:p>
              </w:tc>
              <w:tc>
                <w:tcPr>
                  <w:tcW w:w="1155" w:type="dxa"/>
                  <w:noWrap w:val="0"/>
                  <w:vAlign w:val="center"/>
                </w:tcPr>
                <w:p w14:paraId="5D62BCAD">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 xml:space="preserve">MPN/100 </w:t>
                  </w:r>
                  <w:r>
                    <w:rPr>
                      <w:rFonts w:hint="eastAsia"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L</w:t>
                  </w:r>
                </w:p>
              </w:tc>
              <w:tc>
                <w:tcPr>
                  <w:tcW w:w="1255" w:type="dxa"/>
                  <w:noWrap w:val="0"/>
                  <w:vAlign w:val="center"/>
                </w:tcPr>
                <w:p w14:paraId="609F799A">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未检出</w:t>
                  </w:r>
                </w:p>
              </w:tc>
              <w:tc>
                <w:tcPr>
                  <w:tcW w:w="1851" w:type="dxa"/>
                  <w:noWrap w:val="0"/>
                  <w:vAlign w:val="center"/>
                </w:tcPr>
                <w:p w14:paraId="4FD2800B">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1842" w:type="dxa"/>
                  <w:noWrap w:val="0"/>
                  <w:vAlign w:val="center"/>
                </w:tcPr>
                <w:p w14:paraId="650EAC5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752" w:type="dxa"/>
                  <w:noWrap w:val="0"/>
                  <w:vAlign w:val="center"/>
                </w:tcPr>
                <w:p w14:paraId="01E16339">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1F1ADD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52731EAB">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菌落总数</w:t>
                  </w:r>
                </w:p>
              </w:tc>
              <w:tc>
                <w:tcPr>
                  <w:tcW w:w="1155" w:type="dxa"/>
                  <w:noWrap w:val="0"/>
                  <w:vAlign w:val="center"/>
                </w:tcPr>
                <w:p w14:paraId="759882A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CFU/</w:t>
                  </w:r>
                  <w:r>
                    <w:rPr>
                      <w:rFonts w:hint="eastAsia"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L</w:t>
                  </w:r>
                </w:p>
              </w:tc>
              <w:tc>
                <w:tcPr>
                  <w:tcW w:w="1255" w:type="dxa"/>
                  <w:noWrap w:val="0"/>
                  <w:vAlign w:val="center"/>
                </w:tcPr>
                <w:p w14:paraId="1DF46C59">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未检出</w:t>
                  </w:r>
                </w:p>
              </w:tc>
              <w:tc>
                <w:tcPr>
                  <w:tcW w:w="1851" w:type="dxa"/>
                  <w:noWrap w:val="0"/>
                  <w:vAlign w:val="center"/>
                </w:tcPr>
                <w:p w14:paraId="00EB454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100</w:t>
                  </w:r>
                </w:p>
              </w:tc>
              <w:tc>
                <w:tcPr>
                  <w:tcW w:w="1842" w:type="dxa"/>
                  <w:noWrap w:val="0"/>
                  <w:vAlign w:val="center"/>
                </w:tcPr>
                <w:p w14:paraId="1707306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100</w:t>
                  </w:r>
                </w:p>
              </w:tc>
              <w:tc>
                <w:tcPr>
                  <w:tcW w:w="752" w:type="dxa"/>
                  <w:noWrap w:val="0"/>
                  <w:vAlign w:val="center"/>
                </w:tcPr>
                <w:p w14:paraId="0E913C49">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77062D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0EEBA1C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砷</w:t>
                  </w:r>
                </w:p>
              </w:tc>
              <w:tc>
                <w:tcPr>
                  <w:tcW w:w="1155" w:type="dxa"/>
                  <w:noWrap w:val="0"/>
                  <w:vAlign w:val="center"/>
                </w:tcPr>
                <w:p w14:paraId="56316AF3">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790A3EFA">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2.2</w:t>
                  </w:r>
                </w:p>
              </w:tc>
              <w:tc>
                <w:tcPr>
                  <w:tcW w:w="1851" w:type="dxa"/>
                  <w:noWrap w:val="0"/>
                  <w:vAlign w:val="center"/>
                </w:tcPr>
                <w:p w14:paraId="3954A4EB">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1842" w:type="dxa"/>
                  <w:noWrap w:val="0"/>
                  <w:vAlign w:val="center"/>
                </w:tcPr>
                <w:p w14:paraId="49BC42C9">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752" w:type="dxa"/>
                  <w:noWrap w:val="0"/>
                  <w:vAlign w:val="center"/>
                </w:tcPr>
                <w:p w14:paraId="22AE6C1F">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339025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6DCC71E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镉</w:t>
                  </w:r>
                </w:p>
              </w:tc>
              <w:tc>
                <w:tcPr>
                  <w:tcW w:w="1155" w:type="dxa"/>
                  <w:noWrap w:val="0"/>
                  <w:vAlign w:val="center"/>
                </w:tcPr>
                <w:p w14:paraId="31B1201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377A42E3">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&lt;0.5</w:t>
                  </w:r>
                </w:p>
              </w:tc>
              <w:tc>
                <w:tcPr>
                  <w:tcW w:w="1851" w:type="dxa"/>
                  <w:noWrap w:val="0"/>
                  <w:vAlign w:val="center"/>
                </w:tcPr>
                <w:p w14:paraId="71764EA0">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w:t>
                  </w:r>
                </w:p>
              </w:tc>
              <w:tc>
                <w:tcPr>
                  <w:tcW w:w="1842" w:type="dxa"/>
                  <w:noWrap w:val="0"/>
                  <w:vAlign w:val="center"/>
                </w:tcPr>
                <w:p w14:paraId="15A59918">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w:t>
                  </w:r>
                </w:p>
              </w:tc>
              <w:tc>
                <w:tcPr>
                  <w:tcW w:w="752" w:type="dxa"/>
                  <w:noWrap w:val="0"/>
                  <w:vAlign w:val="center"/>
                </w:tcPr>
                <w:p w14:paraId="56CD3DFD">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0D8A3E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55351E62">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铬（六价）</w:t>
                  </w:r>
                </w:p>
              </w:tc>
              <w:tc>
                <w:tcPr>
                  <w:tcW w:w="1155" w:type="dxa"/>
                  <w:noWrap w:val="0"/>
                  <w:vAlign w:val="center"/>
                </w:tcPr>
                <w:p w14:paraId="7FB4556D">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28619375">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0.004</w:t>
                  </w:r>
                </w:p>
              </w:tc>
              <w:tc>
                <w:tcPr>
                  <w:tcW w:w="1851" w:type="dxa"/>
                  <w:noWrap w:val="0"/>
                  <w:vAlign w:val="center"/>
                </w:tcPr>
                <w:p w14:paraId="5122567A">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0.05</w:t>
                  </w:r>
                </w:p>
              </w:tc>
              <w:tc>
                <w:tcPr>
                  <w:tcW w:w="1842" w:type="dxa"/>
                  <w:noWrap w:val="0"/>
                  <w:vAlign w:val="center"/>
                </w:tcPr>
                <w:p w14:paraId="31E74C00">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0.05</w:t>
                  </w:r>
                </w:p>
              </w:tc>
              <w:tc>
                <w:tcPr>
                  <w:tcW w:w="752" w:type="dxa"/>
                  <w:noWrap w:val="0"/>
                  <w:vAlign w:val="center"/>
                </w:tcPr>
                <w:p w14:paraId="781AFAB5">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653754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24C8847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铅</w:t>
                  </w:r>
                </w:p>
              </w:tc>
              <w:tc>
                <w:tcPr>
                  <w:tcW w:w="1155" w:type="dxa"/>
                  <w:noWrap w:val="0"/>
                  <w:vAlign w:val="center"/>
                </w:tcPr>
                <w:p w14:paraId="2AE0F38B">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5A811251">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&lt;2.5</w:t>
                  </w:r>
                </w:p>
              </w:tc>
              <w:tc>
                <w:tcPr>
                  <w:tcW w:w="1851" w:type="dxa"/>
                  <w:noWrap w:val="0"/>
                  <w:vAlign w:val="center"/>
                </w:tcPr>
                <w:p w14:paraId="07AADFF6">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1842" w:type="dxa"/>
                  <w:noWrap w:val="0"/>
                  <w:vAlign w:val="center"/>
                </w:tcPr>
                <w:p w14:paraId="4200ACE9">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752" w:type="dxa"/>
                  <w:noWrap w:val="0"/>
                  <w:vAlign w:val="center"/>
                </w:tcPr>
                <w:p w14:paraId="1FD2F0B9">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2F6D09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5C0F9D17">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汞</w:t>
                  </w:r>
                </w:p>
              </w:tc>
              <w:tc>
                <w:tcPr>
                  <w:tcW w:w="1155" w:type="dxa"/>
                  <w:noWrap w:val="0"/>
                  <w:vAlign w:val="center"/>
                </w:tcPr>
                <w:p w14:paraId="789D961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19221D42">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0.2</w:t>
                  </w:r>
                </w:p>
              </w:tc>
              <w:tc>
                <w:tcPr>
                  <w:tcW w:w="1851" w:type="dxa"/>
                  <w:noWrap w:val="0"/>
                  <w:vAlign w:val="center"/>
                </w:tcPr>
                <w:p w14:paraId="7392E5D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w:t>
                  </w:r>
                </w:p>
              </w:tc>
              <w:tc>
                <w:tcPr>
                  <w:tcW w:w="1842" w:type="dxa"/>
                  <w:noWrap w:val="0"/>
                  <w:vAlign w:val="center"/>
                </w:tcPr>
                <w:p w14:paraId="12CFAFD5">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w:t>
                  </w:r>
                </w:p>
              </w:tc>
              <w:tc>
                <w:tcPr>
                  <w:tcW w:w="752" w:type="dxa"/>
                  <w:noWrap w:val="0"/>
                  <w:vAlign w:val="center"/>
                </w:tcPr>
                <w:p w14:paraId="751B8FBF">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5C12C2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6EF9E04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氰化物</w:t>
                  </w:r>
                </w:p>
              </w:tc>
              <w:tc>
                <w:tcPr>
                  <w:tcW w:w="1155" w:type="dxa"/>
                  <w:noWrap w:val="0"/>
                  <w:vAlign w:val="center"/>
                </w:tcPr>
                <w:p w14:paraId="159AF374">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56B725EC">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&lt;0.0016</w:t>
                  </w:r>
                </w:p>
              </w:tc>
              <w:tc>
                <w:tcPr>
                  <w:tcW w:w="1851" w:type="dxa"/>
                  <w:noWrap w:val="0"/>
                  <w:vAlign w:val="center"/>
                </w:tcPr>
                <w:p w14:paraId="795A2883">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0.05</w:t>
                  </w:r>
                </w:p>
              </w:tc>
              <w:tc>
                <w:tcPr>
                  <w:tcW w:w="1842" w:type="dxa"/>
                  <w:noWrap w:val="0"/>
                  <w:vAlign w:val="center"/>
                </w:tcPr>
                <w:p w14:paraId="2F39B09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0.05</w:t>
                  </w:r>
                </w:p>
              </w:tc>
              <w:tc>
                <w:tcPr>
                  <w:tcW w:w="752" w:type="dxa"/>
                  <w:noWrap w:val="0"/>
                  <w:vAlign w:val="center"/>
                </w:tcPr>
                <w:p w14:paraId="5B56822B">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73A679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644B3005">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氟化物</w:t>
                  </w:r>
                </w:p>
              </w:tc>
              <w:tc>
                <w:tcPr>
                  <w:tcW w:w="1155" w:type="dxa"/>
                  <w:noWrap w:val="0"/>
                  <w:vAlign w:val="center"/>
                </w:tcPr>
                <w:p w14:paraId="2F924A3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5B9262B9">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0.8</w:t>
                  </w:r>
                </w:p>
              </w:tc>
              <w:tc>
                <w:tcPr>
                  <w:tcW w:w="1851" w:type="dxa"/>
                  <w:noWrap w:val="0"/>
                  <w:vAlign w:val="center"/>
                </w:tcPr>
                <w:p w14:paraId="7CA21DE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1842" w:type="dxa"/>
                  <w:noWrap w:val="0"/>
                  <w:vAlign w:val="center"/>
                </w:tcPr>
                <w:p w14:paraId="48818AF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752" w:type="dxa"/>
                  <w:noWrap w:val="0"/>
                  <w:vAlign w:val="center"/>
                </w:tcPr>
                <w:p w14:paraId="459B7203">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5CA396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06AC6A49">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硝酸盐（以N计）</w:t>
                  </w:r>
                </w:p>
              </w:tc>
              <w:tc>
                <w:tcPr>
                  <w:tcW w:w="1155" w:type="dxa"/>
                  <w:noWrap w:val="0"/>
                  <w:vAlign w:val="center"/>
                </w:tcPr>
                <w:p w14:paraId="14F075FB">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6A4AD398">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1.49</w:t>
                  </w:r>
                </w:p>
              </w:tc>
              <w:tc>
                <w:tcPr>
                  <w:tcW w:w="1851" w:type="dxa"/>
                  <w:noWrap w:val="0"/>
                  <w:vAlign w:val="center"/>
                </w:tcPr>
                <w:p w14:paraId="14363695">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1842" w:type="dxa"/>
                  <w:noWrap w:val="0"/>
                  <w:vAlign w:val="center"/>
                </w:tcPr>
                <w:p w14:paraId="4DDD2A13">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20</w:t>
                  </w:r>
                </w:p>
              </w:tc>
              <w:tc>
                <w:tcPr>
                  <w:tcW w:w="752" w:type="dxa"/>
                  <w:noWrap w:val="0"/>
                  <w:vAlign w:val="center"/>
                </w:tcPr>
                <w:p w14:paraId="5F6172F5">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748227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20A3C91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三氯甲烷</w:t>
                  </w:r>
                </w:p>
              </w:tc>
              <w:tc>
                <w:tcPr>
                  <w:tcW w:w="1155" w:type="dxa"/>
                  <w:noWrap w:val="0"/>
                  <w:vAlign w:val="center"/>
                </w:tcPr>
                <w:p w14:paraId="5A182FE0">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1C44D206">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6.68</w:t>
                  </w:r>
                </w:p>
              </w:tc>
              <w:tc>
                <w:tcPr>
                  <w:tcW w:w="1851" w:type="dxa"/>
                  <w:noWrap w:val="0"/>
                  <w:vAlign w:val="center"/>
                </w:tcPr>
                <w:p w14:paraId="54C5FD07">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60</w:t>
                  </w:r>
                </w:p>
              </w:tc>
              <w:tc>
                <w:tcPr>
                  <w:tcW w:w="1842" w:type="dxa"/>
                  <w:noWrap w:val="0"/>
                  <w:vAlign w:val="center"/>
                </w:tcPr>
                <w:p w14:paraId="0694C7E4">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752" w:type="dxa"/>
                  <w:noWrap w:val="0"/>
                  <w:vAlign w:val="center"/>
                </w:tcPr>
                <w:p w14:paraId="5625C67A">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w:t>
                  </w:r>
                </w:p>
              </w:tc>
            </w:tr>
            <w:tr w14:paraId="071D44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3A7DDA6A">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一氯二溴甲烷</w:t>
                  </w:r>
                </w:p>
              </w:tc>
              <w:tc>
                <w:tcPr>
                  <w:tcW w:w="1155" w:type="dxa"/>
                  <w:noWrap w:val="0"/>
                  <w:vAlign w:val="center"/>
                </w:tcPr>
                <w:p w14:paraId="1F864BA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58D01DA1">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8.70</w:t>
                  </w:r>
                </w:p>
              </w:tc>
              <w:tc>
                <w:tcPr>
                  <w:tcW w:w="1851" w:type="dxa"/>
                  <w:noWrap w:val="0"/>
                  <w:vAlign w:val="center"/>
                </w:tcPr>
                <w:p w14:paraId="46DE9B4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100</w:t>
                  </w:r>
                </w:p>
              </w:tc>
              <w:tc>
                <w:tcPr>
                  <w:tcW w:w="1842" w:type="dxa"/>
                  <w:noWrap w:val="0"/>
                  <w:vAlign w:val="center"/>
                </w:tcPr>
                <w:p w14:paraId="411E4DF6">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752" w:type="dxa"/>
                  <w:noWrap w:val="0"/>
                  <w:vAlign w:val="center"/>
                </w:tcPr>
                <w:p w14:paraId="4AB5BDCA">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w:t>
                  </w:r>
                </w:p>
              </w:tc>
            </w:tr>
            <w:tr w14:paraId="6C71A1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3BFA5DC8">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二氯一溴甲烷</w:t>
                  </w:r>
                </w:p>
              </w:tc>
              <w:tc>
                <w:tcPr>
                  <w:tcW w:w="1155" w:type="dxa"/>
                  <w:noWrap w:val="0"/>
                  <w:vAlign w:val="center"/>
                </w:tcPr>
                <w:p w14:paraId="031D452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63937EF9">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7.89</w:t>
                  </w:r>
                </w:p>
              </w:tc>
              <w:tc>
                <w:tcPr>
                  <w:tcW w:w="1851" w:type="dxa"/>
                  <w:noWrap w:val="0"/>
                  <w:vAlign w:val="center"/>
                </w:tcPr>
                <w:p w14:paraId="65B2AE58">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60</w:t>
                  </w:r>
                </w:p>
              </w:tc>
              <w:tc>
                <w:tcPr>
                  <w:tcW w:w="1842" w:type="dxa"/>
                  <w:noWrap w:val="0"/>
                  <w:vAlign w:val="center"/>
                </w:tcPr>
                <w:p w14:paraId="1413C643">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752" w:type="dxa"/>
                  <w:noWrap w:val="0"/>
                  <w:vAlign w:val="center"/>
                </w:tcPr>
                <w:p w14:paraId="7CF88AEF">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w:t>
                  </w:r>
                </w:p>
              </w:tc>
            </w:tr>
            <w:tr w14:paraId="78DC8B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088DF3D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三溴甲烷</w:t>
                  </w:r>
                </w:p>
              </w:tc>
              <w:tc>
                <w:tcPr>
                  <w:tcW w:w="1155" w:type="dxa"/>
                  <w:noWrap w:val="0"/>
                  <w:vAlign w:val="center"/>
                </w:tcPr>
                <w:p w14:paraId="0660F856">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7806E576">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4.04</w:t>
                  </w:r>
                </w:p>
              </w:tc>
              <w:tc>
                <w:tcPr>
                  <w:tcW w:w="1851" w:type="dxa"/>
                  <w:noWrap w:val="0"/>
                  <w:vAlign w:val="center"/>
                </w:tcPr>
                <w:p w14:paraId="02024762">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100</w:t>
                  </w:r>
                </w:p>
              </w:tc>
              <w:tc>
                <w:tcPr>
                  <w:tcW w:w="1842" w:type="dxa"/>
                  <w:noWrap w:val="0"/>
                  <w:vAlign w:val="center"/>
                </w:tcPr>
                <w:p w14:paraId="132249D8">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752" w:type="dxa"/>
                  <w:noWrap w:val="0"/>
                  <w:vAlign w:val="center"/>
                </w:tcPr>
                <w:p w14:paraId="75E51845">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w:t>
                  </w:r>
                </w:p>
              </w:tc>
            </w:tr>
            <w:tr w14:paraId="16535C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6A19BB6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二氯乙酸</w:t>
                  </w:r>
                </w:p>
              </w:tc>
              <w:tc>
                <w:tcPr>
                  <w:tcW w:w="1155" w:type="dxa"/>
                  <w:noWrap w:val="0"/>
                  <w:vAlign w:val="center"/>
                </w:tcPr>
                <w:p w14:paraId="4A713AF7">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68D71B06">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&lt;3.7</w:t>
                  </w:r>
                </w:p>
              </w:tc>
              <w:tc>
                <w:tcPr>
                  <w:tcW w:w="1851" w:type="dxa"/>
                  <w:noWrap w:val="0"/>
                  <w:vAlign w:val="center"/>
                </w:tcPr>
                <w:p w14:paraId="09053D56">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50</w:t>
                  </w:r>
                </w:p>
              </w:tc>
              <w:tc>
                <w:tcPr>
                  <w:tcW w:w="1842" w:type="dxa"/>
                  <w:noWrap w:val="0"/>
                  <w:vAlign w:val="center"/>
                </w:tcPr>
                <w:p w14:paraId="6B3D81A3">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752" w:type="dxa"/>
                  <w:noWrap w:val="0"/>
                  <w:vAlign w:val="center"/>
                </w:tcPr>
                <w:p w14:paraId="6393A34F">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w:t>
                  </w:r>
                </w:p>
              </w:tc>
            </w:tr>
            <w:tr w14:paraId="40EC54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43EA13F6">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三氯乙酸</w:t>
                  </w:r>
                </w:p>
              </w:tc>
              <w:tc>
                <w:tcPr>
                  <w:tcW w:w="1155" w:type="dxa"/>
                  <w:noWrap w:val="0"/>
                  <w:vAlign w:val="center"/>
                </w:tcPr>
                <w:p w14:paraId="15B9BA6B">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65736740">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&lt;4.4</w:t>
                  </w:r>
                </w:p>
              </w:tc>
              <w:tc>
                <w:tcPr>
                  <w:tcW w:w="1851" w:type="dxa"/>
                  <w:noWrap w:val="0"/>
                  <w:vAlign w:val="center"/>
                </w:tcPr>
                <w:p w14:paraId="382B535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100</w:t>
                  </w:r>
                </w:p>
              </w:tc>
              <w:tc>
                <w:tcPr>
                  <w:tcW w:w="1842" w:type="dxa"/>
                  <w:noWrap w:val="0"/>
                  <w:vAlign w:val="center"/>
                </w:tcPr>
                <w:p w14:paraId="4E7D893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752" w:type="dxa"/>
                  <w:noWrap w:val="0"/>
                  <w:vAlign w:val="center"/>
                </w:tcPr>
                <w:p w14:paraId="27C89859">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w:t>
                  </w:r>
                </w:p>
              </w:tc>
            </w:tr>
            <w:tr w14:paraId="0A70D0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1B8A1ED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氯酸盐</w:t>
                  </w:r>
                </w:p>
              </w:tc>
              <w:tc>
                <w:tcPr>
                  <w:tcW w:w="1155" w:type="dxa"/>
                  <w:noWrap w:val="0"/>
                  <w:vAlign w:val="center"/>
                </w:tcPr>
                <w:p w14:paraId="743BB48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μg/L</w:t>
                  </w:r>
                </w:p>
              </w:tc>
              <w:tc>
                <w:tcPr>
                  <w:tcW w:w="1255" w:type="dxa"/>
                  <w:noWrap w:val="0"/>
                  <w:vAlign w:val="center"/>
                </w:tcPr>
                <w:p w14:paraId="68061D4C">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497</w:t>
                  </w:r>
                </w:p>
              </w:tc>
              <w:tc>
                <w:tcPr>
                  <w:tcW w:w="1851" w:type="dxa"/>
                  <w:noWrap w:val="0"/>
                  <w:vAlign w:val="center"/>
                </w:tcPr>
                <w:p w14:paraId="184361AA">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700</w:t>
                  </w:r>
                </w:p>
              </w:tc>
              <w:tc>
                <w:tcPr>
                  <w:tcW w:w="1842" w:type="dxa"/>
                  <w:noWrap w:val="0"/>
                  <w:vAlign w:val="center"/>
                </w:tcPr>
                <w:p w14:paraId="6897C08B">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752" w:type="dxa"/>
                  <w:noWrap w:val="0"/>
                  <w:vAlign w:val="center"/>
                </w:tcPr>
                <w:p w14:paraId="203CC760">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w:t>
                  </w:r>
                </w:p>
              </w:tc>
            </w:tr>
            <w:tr w14:paraId="697A47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1B4E306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色度</w:t>
                  </w:r>
                </w:p>
              </w:tc>
              <w:tc>
                <w:tcPr>
                  <w:tcW w:w="1155" w:type="dxa"/>
                  <w:noWrap w:val="0"/>
                  <w:vAlign w:val="center"/>
                </w:tcPr>
                <w:p w14:paraId="6FB39172">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度</w:t>
                  </w:r>
                </w:p>
              </w:tc>
              <w:tc>
                <w:tcPr>
                  <w:tcW w:w="1255" w:type="dxa"/>
                  <w:noWrap w:val="0"/>
                  <w:vAlign w:val="center"/>
                </w:tcPr>
                <w:p w14:paraId="787B0F77">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&lt;5</w:t>
                  </w:r>
                </w:p>
              </w:tc>
              <w:tc>
                <w:tcPr>
                  <w:tcW w:w="1851" w:type="dxa"/>
                  <w:noWrap w:val="0"/>
                  <w:vAlign w:val="center"/>
                </w:tcPr>
                <w:p w14:paraId="71D7D3D2">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15</w:t>
                  </w:r>
                </w:p>
              </w:tc>
              <w:tc>
                <w:tcPr>
                  <w:tcW w:w="1842" w:type="dxa"/>
                  <w:noWrap w:val="0"/>
                  <w:vAlign w:val="center"/>
                </w:tcPr>
                <w:p w14:paraId="1B7E231D">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15</w:t>
                  </w:r>
                </w:p>
              </w:tc>
              <w:tc>
                <w:tcPr>
                  <w:tcW w:w="752" w:type="dxa"/>
                  <w:noWrap w:val="0"/>
                  <w:vAlign w:val="center"/>
                </w:tcPr>
                <w:p w14:paraId="5A2BEC4E">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434EE5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23689032">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臭和味</w:t>
                  </w:r>
                </w:p>
              </w:tc>
              <w:tc>
                <w:tcPr>
                  <w:tcW w:w="1155" w:type="dxa"/>
                  <w:noWrap w:val="0"/>
                  <w:vAlign w:val="center"/>
                </w:tcPr>
                <w:p w14:paraId="74C0D6B8">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1255" w:type="dxa"/>
                  <w:noWrap w:val="0"/>
                  <w:vAlign w:val="center"/>
                </w:tcPr>
                <w:p w14:paraId="44B3B951">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无</w:t>
                  </w:r>
                </w:p>
              </w:tc>
              <w:tc>
                <w:tcPr>
                  <w:tcW w:w="1851" w:type="dxa"/>
                  <w:noWrap w:val="0"/>
                  <w:vAlign w:val="center"/>
                </w:tcPr>
                <w:p w14:paraId="08F86024">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无</w:t>
                  </w:r>
                </w:p>
              </w:tc>
              <w:tc>
                <w:tcPr>
                  <w:tcW w:w="1842" w:type="dxa"/>
                  <w:noWrap w:val="0"/>
                  <w:vAlign w:val="center"/>
                </w:tcPr>
                <w:p w14:paraId="2384BBF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无</w:t>
                  </w:r>
                </w:p>
              </w:tc>
              <w:tc>
                <w:tcPr>
                  <w:tcW w:w="752" w:type="dxa"/>
                  <w:noWrap w:val="0"/>
                  <w:vAlign w:val="center"/>
                </w:tcPr>
                <w:p w14:paraId="4683EBAD">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7D9758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1CCA8293">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浑浊度</w:t>
                  </w:r>
                </w:p>
              </w:tc>
              <w:tc>
                <w:tcPr>
                  <w:tcW w:w="1155" w:type="dxa"/>
                  <w:noWrap w:val="0"/>
                  <w:vAlign w:val="center"/>
                </w:tcPr>
                <w:p w14:paraId="393906A0">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NTU</w:t>
                  </w:r>
                </w:p>
              </w:tc>
              <w:tc>
                <w:tcPr>
                  <w:tcW w:w="1255" w:type="dxa"/>
                  <w:noWrap w:val="0"/>
                  <w:vAlign w:val="center"/>
                </w:tcPr>
                <w:p w14:paraId="3B7DCCAF">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&lt;0.5</w:t>
                  </w:r>
                </w:p>
              </w:tc>
              <w:tc>
                <w:tcPr>
                  <w:tcW w:w="1851" w:type="dxa"/>
                  <w:noWrap w:val="0"/>
                  <w:vAlign w:val="center"/>
                </w:tcPr>
                <w:p w14:paraId="5D33299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w:t>
                  </w:r>
                </w:p>
              </w:tc>
              <w:tc>
                <w:tcPr>
                  <w:tcW w:w="1842" w:type="dxa"/>
                  <w:noWrap w:val="0"/>
                  <w:vAlign w:val="center"/>
                </w:tcPr>
                <w:p w14:paraId="3515F60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w:t>
                  </w:r>
                </w:p>
              </w:tc>
              <w:tc>
                <w:tcPr>
                  <w:tcW w:w="752" w:type="dxa"/>
                  <w:noWrap w:val="0"/>
                  <w:vAlign w:val="center"/>
                </w:tcPr>
                <w:p w14:paraId="1B992B1C">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4C8A52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2793F0E2">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肉眼可见物</w:t>
                  </w:r>
                </w:p>
              </w:tc>
              <w:tc>
                <w:tcPr>
                  <w:tcW w:w="1155" w:type="dxa"/>
                  <w:noWrap w:val="0"/>
                  <w:vAlign w:val="center"/>
                </w:tcPr>
                <w:p w14:paraId="67C91FE5">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1255" w:type="dxa"/>
                  <w:noWrap w:val="0"/>
                  <w:vAlign w:val="center"/>
                </w:tcPr>
                <w:p w14:paraId="189E9140">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无</w:t>
                  </w:r>
                </w:p>
              </w:tc>
              <w:tc>
                <w:tcPr>
                  <w:tcW w:w="1851" w:type="dxa"/>
                  <w:noWrap w:val="0"/>
                  <w:vAlign w:val="center"/>
                </w:tcPr>
                <w:p w14:paraId="37B12DC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无</w:t>
                  </w:r>
                </w:p>
              </w:tc>
              <w:tc>
                <w:tcPr>
                  <w:tcW w:w="1842" w:type="dxa"/>
                  <w:noWrap w:val="0"/>
                  <w:vAlign w:val="center"/>
                </w:tcPr>
                <w:p w14:paraId="7F740210">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无</w:t>
                  </w:r>
                </w:p>
              </w:tc>
              <w:tc>
                <w:tcPr>
                  <w:tcW w:w="752" w:type="dxa"/>
                  <w:noWrap w:val="0"/>
                  <w:vAlign w:val="center"/>
                </w:tcPr>
                <w:p w14:paraId="6F977073">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7712B5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6538867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pH值</w:t>
                  </w:r>
                </w:p>
              </w:tc>
              <w:tc>
                <w:tcPr>
                  <w:tcW w:w="1155" w:type="dxa"/>
                  <w:noWrap w:val="0"/>
                  <w:vAlign w:val="center"/>
                </w:tcPr>
                <w:p w14:paraId="1D557F9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无量纲</w:t>
                  </w:r>
                </w:p>
              </w:tc>
              <w:tc>
                <w:tcPr>
                  <w:tcW w:w="1255" w:type="dxa"/>
                  <w:noWrap w:val="0"/>
                  <w:vAlign w:val="center"/>
                </w:tcPr>
                <w:p w14:paraId="01B987F2">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8.48</w:t>
                  </w:r>
                </w:p>
              </w:tc>
              <w:tc>
                <w:tcPr>
                  <w:tcW w:w="1851" w:type="dxa"/>
                  <w:noWrap w:val="0"/>
                  <w:vAlign w:val="center"/>
                </w:tcPr>
                <w:p w14:paraId="6B3F095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6.5~8.5</w:t>
                  </w:r>
                </w:p>
              </w:tc>
              <w:tc>
                <w:tcPr>
                  <w:tcW w:w="1842" w:type="dxa"/>
                  <w:noWrap w:val="0"/>
                  <w:vAlign w:val="center"/>
                </w:tcPr>
                <w:p w14:paraId="631805B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6.5~8.5</w:t>
                  </w:r>
                </w:p>
              </w:tc>
              <w:tc>
                <w:tcPr>
                  <w:tcW w:w="752" w:type="dxa"/>
                  <w:noWrap w:val="0"/>
                  <w:vAlign w:val="center"/>
                </w:tcPr>
                <w:p w14:paraId="2F962D3D">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5D6EC8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116D5779">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铝</w:t>
                  </w:r>
                </w:p>
              </w:tc>
              <w:tc>
                <w:tcPr>
                  <w:tcW w:w="1155" w:type="dxa"/>
                  <w:noWrap w:val="0"/>
                  <w:vAlign w:val="center"/>
                </w:tcPr>
                <w:p w14:paraId="11F34A73">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6EB349E4">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&lt;0.008</w:t>
                  </w:r>
                </w:p>
              </w:tc>
              <w:tc>
                <w:tcPr>
                  <w:tcW w:w="1851" w:type="dxa"/>
                  <w:noWrap w:val="0"/>
                  <w:vAlign w:val="center"/>
                </w:tcPr>
                <w:p w14:paraId="2F033FF2">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0.2</w:t>
                  </w:r>
                </w:p>
              </w:tc>
              <w:tc>
                <w:tcPr>
                  <w:tcW w:w="1842" w:type="dxa"/>
                  <w:noWrap w:val="0"/>
                  <w:vAlign w:val="center"/>
                </w:tcPr>
                <w:p w14:paraId="79E6EC6B">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0.2</w:t>
                  </w:r>
                </w:p>
              </w:tc>
              <w:tc>
                <w:tcPr>
                  <w:tcW w:w="752" w:type="dxa"/>
                  <w:noWrap w:val="0"/>
                  <w:vAlign w:val="center"/>
                </w:tcPr>
                <w:p w14:paraId="28A7436F">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43CF4E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3BF48DAA">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铁</w:t>
                  </w:r>
                </w:p>
              </w:tc>
              <w:tc>
                <w:tcPr>
                  <w:tcW w:w="1155" w:type="dxa"/>
                  <w:noWrap w:val="0"/>
                  <w:vAlign w:val="center"/>
                </w:tcPr>
                <w:p w14:paraId="4C30B372">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029018A6">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&lt;0.3</w:t>
                  </w:r>
                </w:p>
              </w:tc>
              <w:tc>
                <w:tcPr>
                  <w:tcW w:w="1851" w:type="dxa"/>
                  <w:noWrap w:val="0"/>
                  <w:vAlign w:val="center"/>
                </w:tcPr>
                <w:p w14:paraId="2FDC0D33">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0.3</w:t>
                  </w:r>
                </w:p>
              </w:tc>
              <w:tc>
                <w:tcPr>
                  <w:tcW w:w="1842" w:type="dxa"/>
                  <w:noWrap w:val="0"/>
                  <w:vAlign w:val="center"/>
                </w:tcPr>
                <w:p w14:paraId="7CFE4D84">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0.3</w:t>
                  </w:r>
                </w:p>
              </w:tc>
              <w:tc>
                <w:tcPr>
                  <w:tcW w:w="752" w:type="dxa"/>
                  <w:noWrap w:val="0"/>
                  <w:vAlign w:val="center"/>
                </w:tcPr>
                <w:p w14:paraId="0EA9A154">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2EBB04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088CC855">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锰</w:t>
                  </w:r>
                </w:p>
              </w:tc>
              <w:tc>
                <w:tcPr>
                  <w:tcW w:w="1155" w:type="dxa"/>
                  <w:noWrap w:val="0"/>
                  <w:vAlign w:val="center"/>
                </w:tcPr>
                <w:p w14:paraId="41EA9507">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4DACB092">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&lt;0.1</w:t>
                  </w:r>
                </w:p>
              </w:tc>
              <w:tc>
                <w:tcPr>
                  <w:tcW w:w="1851" w:type="dxa"/>
                  <w:noWrap w:val="0"/>
                  <w:vAlign w:val="center"/>
                </w:tcPr>
                <w:p w14:paraId="63052622">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0.1</w:t>
                  </w:r>
                </w:p>
              </w:tc>
              <w:tc>
                <w:tcPr>
                  <w:tcW w:w="1842" w:type="dxa"/>
                  <w:noWrap w:val="0"/>
                  <w:vAlign w:val="center"/>
                </w:tcPr>
                <w:p w14:paraId="2117B20A">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0.1</w:t>
                  </w:r>
                </w:p>
              </w:tc>
              <w:tc>
                <w:tcPr>
                  <w:tcW w:w="752" w:type="dxa"/>
                  <w:noWrap w:val="0"/>
                  <w:vAlign w:val="center"/>
                </w:tcPr>
                <w:p w14:paraId="1196DC18">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061D27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3387CF8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铜</w:t>
                  </w:r>
                </w:p>
              </w:tc>
              <w:tc>
                <w:tcPr>
                  <w:tcW w:w="1155" w:type="dxa"/>
                  <w:noWrap w:val="0"/>
                  <w:vAlign w:val="center"/>
                </w:tcPr>
                <w:p w14:paraId="417B09FD">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564163C7">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&lt;0.2</w:t>
                  </w:r>
                </w:p>
              </w:tc>
              <w:tc>
                <w:tcPr>
                  <w:tcW w:w="1851" w:type="dxa"/>
                  <w:noWrap w:val="0"/>
                  <w:vAlign w:val="center"/>
                </w:tcPr>
                <w:p w14:paraId="7FC5887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1842" w:type="dxa"/>
                  <w:noWrap w:val="0"/>
                  <w:vAlign w:val="center"/>
                </w:tcPr>
                <w:p w14:paraId="55BFE14D">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752" w:type="dxa"/>
                  <w:noWrap w:val="0"/>
                  <w:vAlign w:val="center"/>
                </w:tcPr>
                <w:p w14:paraId="789570F9">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514AE5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3794DD9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锌</w:t>
                  </w:r>
                </w:p>
              </w:tc>
              <w:tc>
                <w:tcPr>
                  <w:tcW w:w="1155" w:type="dxa"/>
                  <w:noWrap w:val="0"/>
                  <w:vAlign w:val="center"/>
                </w:tcPr>
                <w:p w14:paraId="2AD308B4">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260627BA">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&lt;0.05</w:t>
                  </w:r>
                </w:p>
              </w:tc>
              <w:tc>
                <w:tcPr>
                  <w:tcW w:w="1851" w:type="dxa"/>
                  <w:noWrap w:val="0"/>
                  <w:vAlign w:val="center"/>
                </w:tcPr>
                <w:p w14:paraId="78043077">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1842" w:type="dxa"/>
                  <w:noWrap w:val="0"/>
                  <w:vAlign w:val="center"/>
                </w:tcPr>
                <w:p w14:paraId="6844FD07">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752" w:type="dxa"/>
                  <w:noWrap w:val="0"/>
                  <w:vAlign w:val="center"/>
                </w:tcPr>
                <w:p w14:paraId="7FE34C20">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7F5E00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0AFB4FD2">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氯化物</w:t>
                  </w:r>
                </w:p>
              </w:tc>
              <w:tc>
                <w:tcPr>
                  <w:tcW w:w="1155" w:type="dxa"/>
                  <w:noWrap w:val="0"/>
                  <w:vAlign w:val="center"/>
                </w:tcPr>
                <w:p w14:paraId="02FBB059">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4F5FDA54">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74.7</w:t>
                  </w:r>
                </w:p>
              </w:tc>
              <w:tc>
                <w:tcPr>
                  <w:tcW w:w="1851" w:type="dxa"/>
                  <w:noWrap w:val="0"/>
                  <w:vAlign w:val="center"/>
                </w:tcPr>
                <w:p w14:paraId="0CC3A445">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250</w:t>
                  </w:r>
                </w:p>
              </w:tc>
              <w:tc>
                <w:tcPr>
                  <w:tcW w:w="1842" w:type="dxa"/>
                  <w:noWrap w:val="0"/>
                  <w:vAlign w:val="center"/>
                </w:tcPr>
                <w:p w14:paraId="5FFB232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250</w:t>
                  </w:r>
                </w:p>
              </w:tc>
              <w:tc>
                <w:tcPr>
                  <w:tcW w:w="752" w:type="dxa"/>
                  <w:noWrap w:val="0"/>
                  <w:vAlign w:val="center"/>
                </w:tcPr>
                <w:p w14:paraId="43D73E08">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47D380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7301E32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硫酸盐</w:t>
                  </w:r>
                </w:p>
              </w:tc>
              <w:tc>
                <w:tcPr>
                  <w:tcW w:w="1155" w:type="dxa"/>
                  <w:noWrap w:val="0"/>
                  <w:vAlign w:val="center"/>
                </w:tcPr>
                <w:p w14:paraId="710E124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34E5E627">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82.5</w:t>
                  </w:r>
                </w:p>
              </w:tc>
              <w:tc>
                <w:tcPr>
                  <w:tcW w:w="1851" w:type="dxa"/>
                  <w:noWrap w:val="0"/>
                  <w:vAlign w:val="center"/>
                </w:tcPr>
                <w:p w14:paraId="383AE569">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250</w:t>
                  </w:r>
                </w:p>
              </w:tc>
              <w:tc>
                <w:tcPr>
                  <w:tcW w:w="1842" w:type="dxa"/>
                  <w:noWrap w:val="0"/>
                  <w:vAlign w:val="center"/>
                </w:tcPr>
                <w:p w14:paraId="20D48B3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250</w:t>
                  </w:r>
                </w:p>
              </w:tc>
              <w:tc>
                <w:tcPr>
                  <w:tcW w:w="752" w:type="dxa"/>
                  <w:noWrap w:val="0"/>
                  <w:vAlign w:val="center"/>
                </w:tcPr>
                <w:p w14:paraId="5529626D">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720624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30C3C81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溶解性总固体</w:t>
                  </w:r>
                </w:p>
              </w:tc>
              <w:tc>
                <w:tcPr>
                  <w:tcW w:w="1155" w:type="dxa"/>
                  <w:noWrap w:val="0"/>
                  <w:vAlign w:val="center"/>
                </w:tcPr>
                <w:p w14:paraId="4DF63BB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2C7A5CAB">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557</w:t>
                  </w:r>
                </w:p>
              </w:tc>
              <w:tc>
                <w:tcPr>
                  <w:tcW w:w="1851" w:type="dxa"/>
                  <w:noWrap w:val="0"/>
                  <w:vAlign w:val="center"/>
                </w:tcPr>
                <w:p w14:paraId="30414399">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1000</w:t>
                  </w:r>
                </w:p>
              </w:tc>
              <w:tc>
                <w:tcPr>
                  <w:tcW w:w="1842" w:type="dxa"/>
                  <w:noWrap w:val="0"/>
                  <w:vAlign w:val="center"/>
                </w:tcPr>
                <w:p w14:paraId="1593171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1000</w:t>
                  </w:r>
                </w:p>
              </w:tc>
              <w:tc>
                <w:tcPr>
                  <w:tcW w:w="752" w:type="dxa"/>
                  <w:noWrap w:val="0"/>
                  <w:vAlign w:val="center"/>
                </w:tcPr>
                <w:p w14:paraId="01DE97C3">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01A39E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0777F936">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总硬度</w:t>
                  </w:r>
                </w:p>
              </w:tc>
              <w:tc>
                <w:tcPr>
                  <w:tcW w:w="1155" w:type="dxa"/>
                  <w:noWrap w:val="0"/>
                  <w:vAlign w:val="center"/>
                </w:tcPr>
                <w:p w14:paraId="4A354EA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3C251F24">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205</w:t>
                  </w:r>
                </w:p>
              </w:tc>
              <w:tc>
                <w:tcPr>
                  <w:tcW w:w="1851" w:type="dxa"/>
                  <w:noWrap w:val="0"/>
                  <w:vAlign w:val="center"/>
                </w:tcPr>
                <w:p w14:paraId="19E7E3FD">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450</w:t>
                  </w:r>
                </w:p>
              </w:tc>
              <w:tc>
                <w:tcPr>
                  <w:tcW w:w="1842" w:type="dxa"/>
                  <w:noWrap w:val="0"/>
                  <w:vAlign w:val="center"/>
                </w:tcPr>
                <w:p w14:paraId="7A769993">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450</w:t>
                  </w:r>
                </w:p>
              </w:tc>
              <w:tc>
                <w:tcPr>
                  <w:tcW w:w="752" w:type="dxa"/>
                  <w:noWrap w:val="0"/>
                  <w:vAlign w:val="center"/>
                </w:tcPr>
                <w:p w14:paraId="3A9313C2">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1C7BEA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511CBD8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高锰酸盐指数（以O</w:t>
                  </w:r>
                  <w:r>
                    <w:rPr>
                      <w:rFonts w:hint="default" w:ascii="Times New Roman" w:hAnsi="Times New Roman" w:eastAsia="宋体" w:cs="Times New Roman"/>
                      <w:color w:val="auto"/>
                      <w:kern w:val="2"/>
                      <w:sz w:val="21"/>
                      <w:szCs w:val="21"/>
                      <w:vertAlign w:val="subscript"/>
                      <w:lang w:val="en-US" w:eastAsia="zh-CN" w:bidi="ar-SA"/>
                    </w:rPr>
                    <w:t>2</w:t>
                  </w:r>
                  <w:r>
                    <w:rPr>
                      <w:rFonts w:hint="default" w:ascii="Times New Roman" w:hAnsi="Times New Roman" w:eastAsia="宋体" w:cs="Times New Roman"/>
                      <w:color w:val="auto"/>
                      <w:kern w:val="2"/>
                      <w:sz w:val="21"/>
                      <w:szCs w:val="21"/>
                      <w:lang w:val="en-US" w:eastAsia="zh-CN" w:bidi="ar-SA"/>
                    </w:rPr>
                    <w:t>计）</w:t>
                  </w:r>
                </w:p>
              </w:tc>
              <w:tc>
                <w:tcPr>
                  <w:tcW w:w="1155" w:type="dxa"/>
                  <w:noWrap w:val="0"/>
                  <w:vAlign w:val="center"/>
                </w:tcPr>
                <w:p w14:paraId="1A268D86">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02AD2D3A">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1.10</w:t>
                  </w:r>
                </w:p>
              </w:tc>
              <w:tc>
                <w:tcPr>
                  <w:tcW w:w="1851" w:type="dxa"/>
                  <w:noWrap w:val="0"/>
                  <w:vAlign w:val="center"/>
                </w:tcPr>
                <w:p w14:paraId="226B0326">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w:t>
                  </w:r>
                </w:p>
              </w:tc>
              <w:tc>
                <w:tcPr>
                  <w:tcW w:w="1842" w:type="dxa"/>
                  <w:noWrap w:val="0"/>
                  <w:vAlign w:val="center"/>
                </w:tcPr>
                <w:p w14:paraId="4A67655E">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752" w:type="dxa"/>
                  <w:noWrap w:val="0"/>
                  <w:vAlign w:val="center"/>
                </w:tcPr>
                <w:p w14:paraId="33BA3A10">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w:t>
                  </w:r>
                </w:p>
              </w:tc>
            </w:tr>
            <w:tr w14:paraId="7BBDEF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537" w:type="dxa"/>
                  <w:noWrap w:val="0"/>
                  <w:vAlign w:val="center"/>
                </w:tcPr>
                <w:p w14:paraId="1E71B92F">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氨（以N计）</w:t>
                  </w:r>
                </w:p>
              </w:tc>
              <w:tc>
                <w:tcPr>
                  <w:tcW w:w="1155" w:type="dxa"/>
                  <w:noWrap w:val="0"/>
                  <w:vAlign w:val="center"/>
                </w:tcPr>
                <w:p w14:paraId="2DF7D7DD">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g/L</w:t>
                  </w:r>
                </w:p>
              </w:tc>
              <w:tc>
                <w:tcPr>
                  <w:tcW w:w="1255" w:type="dxa"/>
                  <w:noWrap w:val="0"/>
                  <w:vAlign w:val="center"/>
                </w:tcPr>
                <w:p w14:paraId="21CD8C02">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0.06</w:t>
                  </w:r>
                </w:p>
              </w:tc>
              <w:tc>
                <w:tcPr>
                  <w:tcW w:w="1851" w:type="dxa"/>
                  <w:noWrap w:val="0"/>
                  <w:vAlign w:val="center"/>
                </w:tcPr>
                <w:p w14:paraId="401BCB85">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0.5</w:t>
                  </w:r>
                </w:p>
              </w:tc>
              <w:tc>
                <w:tcPr>
                  <w:tcW w:w="1842" w:type="dxa"/>
                  <w:noWrap w:val="0"/>
                  <w:vAlign w:val="center"/>
                </w:tcPr>
                <w:p w14:paraId="3B4F48F5">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0.5</w:t>
                  </w:r>
                </w:p>
              </w:tc>
              <w:tc>
                <w:tcPr>
                  <w:tcW w:w="752" w:type="dxa"/>
                  <w:noWrap w:val="0"/>
                  <w:vAlign w:val="center"/>
                </w:tcPr>
                <w:p w14:paraId="58CA99AC">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25B7C4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71D87F95">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总α放射性</w:t>
                  </w:r>
                </w:p>
              </w:tc>
              <w:tc>
                <w:tcPr>
                  <w:tcW w:w="1155" w:type="dxa"/>
                  <w:noWrap w:val="0"/>
                  <w:vAlign w:val="center"/>
                </w:tcPr>
                <w:p w14:paraId="54FBD3DC">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Bq/L</w:t>
                  </w:r>
                </w:p>
              </w:tc>
              <w:tc>
                <w:tcPr>
                  <w:tcW w:w="1255" w:type="dxa"/>
                  <w:noWrap w:val="0"/>
                  <w:vAlign w:val="center"/>
                </w:tcPr>
                <w:p w14:paraId="026B430A">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0.04</w:t>
                  </w:r>
                </w:p>
              </w:tc>
              <w:tc>
                <w:tcPr>
                  <w:tcW w:w="1851" w:type="dxa"/>
                  <w:noWrap w:val="0"/>
                  <w:vAlign w:val="center"/>
                </w:tcPr>
                <w:p w14:paraId="050861D1">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0.5</w:t>
                  </w:r>
                </w:p>
              </w:tc>
              <w:tc>
                <w:tcPr>
                  <w:tcW w:w="1842" w:type="dxa"/>
                  <w:noWrap w:val="0"/>
                  <w:vAlign w:val="center"/>
                </w:tcPr>
                <w:p w14:paraId="055FBB1B">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0.5</w:t>
                  </w:r>
                </w:p>
              </w:tc>
              <w:tc>
                <w:tcPr>
                  <w:tcW w:w="752" w:type="dxa"/>
                  <w:noWrap w:val="0"/>
                  <w:vAlign w:val="center"/>
                </w:tcPr>
                <w:p w14:paraId="2DD2A254">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r w14:paraId="65CC27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37" w:type="dxa"/>
                  <w:noWrap w:val="0"/>
                  <w:vAlign w:val="center"/>
                </w:tcPr>
                <w:p w14:paraId="3B1FD739">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总β放射性</w:t>
                  </w:r>
                </w:p>
              </w:tc>
              <w:tc>
                <w:tcPr>
                  <w:tcW w:w="1155" w:type="dxa"/>
                  <w:noWrap w:val="0"/>
                  <w:vAlign w:val="center"/>
                </w:tcPr>
                <w:p w14:paraId="3E0873DB">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Bq/L</w:t>
                  </w:r>
                </w:p>
              </w:tc>
              <w:tc>
                <w:tcPr>
                  <w:tcW w:w="1255" w:type="dxa"/>
                  <w:noWrap w:val="0"/>
                  <w:vAlign w:val="center"/>
                </w:tcPr>
                <w:p w14:paraId="6F127816">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0.15</w:t>
                  </w:r>
                </w:p>
              </w:tc>
              <w:tc>
                <w:tcPr>
                  <w:tcW w:w="1851" w:type="dxa"/>
                  <w:noWrap w:val="0"/>
                  <w:vAlign w:val="center"/>
                </w:tcPr>
                <w:p w14:paraId="76E2A482">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w:t>
                  </w:r>
                </w:p>
              </w:tc>
              <w:tc>
                <w:tcPr>
                  <w:tcW w:w="1842" w:type="dxa"/>
                  <w:noWrap w:val="0"/>
                  <w:vAlign w:val="center"/>
                </w:tcPr>
                <w:p w14:paraId="61320203">
                  <w:pPr>
                    <w:widowControl w:val="0"/>
                    <w:ind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w:t>
                  </w:r>
                </w:p>
              </w:tc>
              <w:tc>
                <w:tcPr>
                  <w:tcW w:w="752" w:type="dxa"/>
                  <w:noWrap w:val="0"/>
                  <w:vAlign w:val="center"/>
                </w:tcPr>
                <w:p w14:paraId="4FD77ECA">
                  <w:pPr>
                    <w:widowControl w:val="0"/>
                    <w:ind w:firstLine="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达标</w:t>
                  </w:r>
                </w:p>
              </w:tc>
            </w:tr>
          </w:tbl>
          <w:p w14:paraId="10A9F396">
            <w:pPr>
              <w:rPr>
                <w:rFonts w:hint="default" w:ascii="Times New Roman" w:hAnsi="Times New Roman" w:eastAsia="宋体" w:cs="Times New Roman"/>
                <w:color w:val="auto"/>
              </w:rPr>
            </w:pPr>
          </w:p>
          <w:p w14:paraId="3701F804">
            <w:pPr>
              <w:spacing w:line="360" w:lineRule="auto"/>
              <w:ind w:firstLine="480" w:firstLineChars="200"/>
              <w:rPr>
                <w:rFonts w:hint="default" w:ascii="Times New Roman" w:hAnsi="Times New Roman" w:eastAsia="宋体" w:cs="Times New Roman"/>
                <w:bCs/>
                <w:color w:val="auto"/>
                <w:sz w:val="24"/>
                <w:szCs w:val="20"/>
              </w:rPr>
            </w:pPr>
            <w:r>
              <w:rPr>
                <w:rFonts w:hint="default" w:ascii="Times New Roman" w:hAnsi="Times New Roman" w:eastAsia="宋体" w:cs="Times New Roman"/>
                <w:bCs/>
                <w:color w:val="auto"/>
                <w:sz w:val="24"/>
                <w:szCs w:val="20"/>
              </w:rPr>
              <w:t>经过分析，各检测项目均符合《地下水质量标准》（GB/T 14848-2017）Ⅲ类标准限值要求，表明地下水环境现状良好。</w:t>
            </w:r>
          </w:p>
          <w:p w14:paraId="2DDE6CB7">
            <w:pPr>
              <w:spacing w:line="360" w:lineRule="auto"/>
              <w:ind w:firstLine="482" w:firstLineChars="200"/>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lang w:val="en-US" w:eastAsia="zh-CN"/>
              </w:rPr>
              <w:t>4</w:t>
            </w:r>
            <w:r>
              <w:rPr>
                <w:rFonts w:hint="eastAsia" w:cs="Times New Roman"/>
                <w:b/>
                <w:color w:val="auto"/>
                <w:sz w:val="24"/>
                <w:highlight w:val="none"/>
                <w:lang w:val="en-US" w:eastAsia="zh-CN"/>
              </w:rPr>
              <w:t>.</w:t>
            </w:r>
            <w:r>
              <w:rPr>
                <w:rFonts w:hint="default" w:ascii="Times New Roman" w:hAnsi="Times New Roman" w:eastAsia="宋体" w:cs="Times New Roman"/>
                <w:b/>
                <w:color w:val="auto"/>
                <w:sz w:val="24"/>
                <w:highlight w:val="none"/>
              </w:rPr>
              <w:t>土壤环境</w:t>
            </w:r>
          </w:p>
          <w:p w14:paraId="48FD621A">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依照《建设项目环境影响报告表编制技术指南（污染影响类）</w:t>
            </w:r>
            <w:r>
              <w:rPr>
                <w:rFonts w:hint="eastAsia" w:cs="Times New Roman"/>
                <w:bCs/>
                <w:color w:val="auto"/>
                <w:sz w:val="24"/>
                <w:highlight w:val="none"/>
                <w:lang w:eastAsia="zh-CN"/>
              </w:rPr>
              <w:t>（试行）》</w:t>
            </w:r>
            <w:r>
              <w:rPr>
                <w:rFonts w:hint="default" w:ascii="Times New Roman" w:hAnsi="Times New Roman" w:eastAsia="宋体" w:cs="Times New Roman"/>
                <w:bCs/>
                <w:color w:val="auto"/>
                <w:sz w:val="24"/>
                <w:highlight w:val="none"/>
              </w:rPr>
              <w:t>，地下水、土壤环境原则上不开展环境质量现状调查。</w:t>
            </w:r>
          </w:p>
          <w:p w14:paraId="37D0F0FA">
            <w:pPr>
              <w:spacing w:line="360" w:lineRule="auto"/>
              <w:ind w:firstLine="48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bCs/>
                <w:color w:val="auto"/>
                <w:sz w:val="24"/>
                <w:highlight w:val="none"/>
                <w:lang w:val="en-US" w:eastAsia="zh-CN"/>
              </w:rPr>
              <w:t>本</w:t>
            </w:r>
            <w:r>
              <w:rPr>
                <w:rFonts w:hint="default" w:ascii="Times New Roman" w:hAnsi="Times New Roman" w:eastAsia="宋体" w:cs="Times New Roman"/>
                <w:bCs/>
                <w:color w:val="auto"/>
                <w:sz w:val="24"/>
                <w:highlight w:val="none"/>
              </w:rPr>
              <w:t>项目</w:t>
            </w:r>
            <w:r>
              <w:rPr>
                <w:rFonts w:hint="default" w:ascii="Times New Roman" w:hAnsi="Times New Roman" w:eastAsia="宋体" w:cs="Times New Roman"/>
                <w:bCs/>
                <w:color w:val="auto"/>
                <w:sz w:val="24"/>
                <w:highlight w:val="none"/>
                <w:lang w:val="en-US" w:eastAsia="zh-CN"/>
              </w:rPr>
              <w:t>为污水厂更新改造工程，</w:t>
            </w:r>
            <w:r>
              <w:rPr>
                <w:rFonts w:hint="default" w:ascii="Times New Roman" w:hAnsi="Times New Roman" w:eastAsia="宋体" w:cs="Times New Roman"/>
                <w:bCs/>
                <w:color w:val="auto"/>
                <w:sz w:val="24"/>
                <w:highlight w:val="none"/>
              </w:rPr>
              <w:t>位于内蒙古自治区鄂尔多斯市杭锦旗锡尼镇污水处理厂</w:t>
            </w:r>
            <w:r>
              <w:rPr>
                <w:rFonts w:hint="default" w:ascii="Times New Roman" w:hAnsi="Times New Roman" w:eastAsia="宋体" w:cs="Times New Roman"/>
                <w:bCs/>
                <w:color w:val="auto"/>
                <w:sz w:val="24"/>
                <w:highlight w:val="none"/>
                <w:lang w:val="en-US" w:eastAsia="zh-CN"/>
              </w:rPr>
              <w:t>现有场</w:t>
            </w:r>
            <w:r>
              <w:rPr>
                <w:rFonts w:hint="default" w:ascii="Times New Roman" w:hAnsi="Times New Roman" w:eastAsia="宋体" w:cs="Times New Roman"/>
                <w:bCs/>
                <w:color w:val="auto"/>
                <w:sz w:val="24"/>
                <w:highlight w:val="none"/>
              </w:rPr>
              <w:t>地内，占地类型为公共设施用地，无土壤环境保护目标。因此，本次评价不进行土壤环境质量现状监测。</w:t>
            </w:r>
          </w:p>
        </w:tc>
      </w:tr>
      <w:tr w14:paraId="18235E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51" w:hRule="atLeast"/>
          <w:jc w:val="center"/>
        </w:trPr>
        <w:tc>
          <w:tcPr>
            <w:tcW w:w="534" w:type="dxa"/>
            <w:vAlign w:val="center"/>
          </w:tcPr>
          <w:p w14:paraId="16369FD7">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环境</w:t>
            </w:r>
          </w:p>
          <w:p w14:paraId="489EB733">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保护</w:t>
            </w:r>
          </w:p>
          <w:p w14:paraId="0BE6ECEF">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目标</w:t>
            </w:r>
          </w:p>
        </w:tc>
        <w:tc>
          <w:tcPr>
            <w:tcW w:w="8527" w:type="dxa"/>
            <w:vAlign w:val="center"/>
          </w:tcPr>
          <w:p w14:paraId="351C324A">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项目拟选址在</w:t>
            </w:r>
            <w:r>
              <w:rPr>
                <w:rFonts w:hint="default" w:ascii="Times New Roman" w:hAnsi="Times New Roman" w:eastAsia="宋体" w:cs="Times New Roman"/>
                <w:bCs/>
                <w:color w:val="auto"/>
                <w:sz w:val="24"/>
                <w:highlight w:val="none"/>
                <w:lang w:eastAsia="zh-CN"/>
              </w:rPr>
              <w:t>杭锦旗锡尼镇污水处理厂厂区内</w:t>
            </w:r>
            <w:r>
              <w:rPr>
                <w:rFonts w:hint="default" w:ascii="Times New Roman" w:hAnsi="Times New Roman" w:eastAsia="宋体" w:cs="Times New Roman"/>
                <w:color w:val="auto"/>
                <w:sz w:val="24"/>
                <w:highlight w:val="none"/>
              </w:rPr>
              <w:t>，由现场调查可知，该区域内没有珍稀动植物资源、饮用水源保护区、自然保护区、重点文物等重点保护目标。</w:t>
            </w:r>
            <w:r>
              <w:rPr>
                <w:rFonts w:hint="default" w:ascii="Times New Roman" w:hAnsi="Times New Roman" w:eastAsia="宋体" w:cs="Times New Roman"/>
                <w:bCs/>
                <w:color w:val="auto"/>
                <w:sz w:val="24"/>
                <w:highlight w:val="none"/>
              </w:rPr>
              <w:t>本项目环境保护目标见表3-</w:t>
            </w:r>
            <w:r>
              <w:rPr>
                <w:rFonts w:hint="default" w:ascii="Times New Roman" w:hAnsi="Times New Roman" w:eastAsia="宋体" w:cs="Times New Roman"/>
                <w:bCs/>
                <w:color w:val="auto"/>
                <w:sz w:val="24"/>
                <w:highlight w:val="none"/>
                <w:lang w:val="en-US" w:eastAsia="zh-CN"/>
              </w:rPr>
              <w:t>3</w:t>
            </w:r>
            <w:r>
              <w:rPr>
                <w:rFonts w:hint="default" w:ascii="Times New Roman" w:hAnsi="Times New Roman" w:eastAsia="宋体" w:cs="Times New Roman"/>
                <w:bCs/>
                <w:color w:val="auto"/>
                <w:sz w:val="24"/>
                <w:highlight w:val="none"/>
              </w:rPr>
              <w:t>。</w:t>
            </w:r>
          </w:p>
          <w:p w14:paraId="15C213D5">
            <w:pPr>
              <w:pStyle w:val="16"/>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表3-</w:t>
            </w:r>
            <w:r>
              <w:rPr>
                <w:rFonts w:hint="default" w:ascii="Times New Roman" w:hAnsi="Times New Roman" w:eastAsia="宋体" w:cs="Times New Roman"/>
                <w:color w:val="auto"/>
                <w:highlight w:val="none"/>
                <w:lang w:val="en-US" w:eastAsia="zh-CN"/>
              </w:rPr>
              <w:t>3</w:t>
            </w:r>
            <w:r>
              <w:rPr>
                <w:rFonts w:hint="eastAsia" w:cs="Times New Roman"/>
                <w:color w:val="auto"/>
                <w:highlight w:val="none"/>
                <w:lang w:eastAsia="zh-CN"/>
              </w:rPr>
              <w:t>：</w:t>
            </w:r>
            <w:r>
              <w:rPr>
                <w:rFonts w:hint="default" w:ascii="Times New Roman" w:hAnsi="Times New Roman" w:eastAsia="宋体" w:cs="Times New Roman"/>
                <w:color w:val="auto"/>
                <w:highlight w:val="none"/>
              </w:rPr>
              <w:t>环境保护目标一览表</w:t>
            </w:r>
          </w:p>
          <w:tbl>
            <w:tblPr>
              <w:tblStyle w:val="10"/>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41"/>
              <w:gridCol w:w="1348"/>
              <w:gridCol w:w="768"/>
              <w:gridCol w:w="932"/>
              <w:gridCol w:w="870"/>
              <w:gridCol w:w="3463"/>
            </w:tblGrid>
            <w:tr w14:paraId="1428C5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Merge w:val="restart"/>
                  <w:vAlign w:val="center"/>
                </w:tcPr>
                <w:p w14:paraId="517F88C7">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环境要素</w:t>
                  </w:r>
                </w:p>
              </w:tc>
              <w:tc>
                <w:tcPr>
                  <w:tcW w:w="1348" w:type="dxa"/>
                  <w:vMerge w:val="restart"/>
                  <w:vAlign w:val="center"/>
                </w:tcPr>
                <w:p w14:paraId="24AF0F30">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保护目标</w:t>
                  </w:r>
                </w:p>
              </w:tc>
              <w:tc>
                <w:tcPr>
                  <w:tcW w:w="1700" w:type="dxa"/>
                  <w:gridSpan w:val="2"/>
                  <w:vAlign w:val="center"/>
                </w:tcPr>
                <w:p w14:paraId="6AE6768E">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相对厂址</w:t>
                  </w:r>
                </w:p>
              </w:tc>
              <w:tc>
                <w:tcPr>
                  <w:tcW w:w="870" w:type="dxa"/>
                  <w:vMerge w:val="restart"/>
                  <w:vAlign w:val="center"/>
                </w:tcPr>
                <w:p w14:paraId="265F28CA">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人数</w:t>
                  </w:r>
                </w:p>
              </w:tc>
              <w:tc>
                <w:tcPr>
                  <w:tcW w:w="3463" w:type="dxa"/>
                  <w:vMerge w:val="restart"/>
                  <w:vAlign w:val="center"/>
                </w:tcPr>
                <w:p w14:paraId="2BAC82F5">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保护级别</w:t>
                  </w:r>
                </w:p>
              </w:tc>
            </w:tr>
            <w:tr w14:paraId="0CE691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Merge w:val="continue"/>
                  <w:vAlign w:val="center"/>
                </w:tcPr>
                <w:p w14:paraId="7B3FBA8B">
                  <w:pPr>
                    <w:jc w:val="center"/>
                    <w:rPr>
                      <w:rFonts w:hint="default" w:ascii="Times New Roman" w:hAnsi="Times New Roman" w:eastAsia="宋体" w:cs="Times New Roman"/>
                      <w:color w:val="auto"/>
                      <w:sz w:val="21"/>
                      <w:szCs w:val="21"/>
                      <w:highlight w:val="none"/>
                    </w:rPr>
                  </w:pPr>
                </w:p>
              </w:tc>
              <w:tc>
                <w:tcPr>
                  <w:tcW w:w="1348" w:type="dxa"/>
                  <w:vMerge w:val="continue"/>
                  <w:vAlign w:val="center"/>
                </w:tcPr>
                <w:p w14:paraId="56E46593">
                  <w:pPr>
                    <w:jc w:val="center"/>
                    <w:rPr>
                      <w:rFonts w:hint="default" w:ascii="Times New Roman" w:hAnsi="Times New Roman" w:eastAsia="宋体" w:cs="Times New Roman"/>
                      <w:color w:val="auto"/>
                      <w:sz w:val="21"/>
                      <w:szCs w:val="21"/>
                      <w:highlight w:val="none"/>
                    </w:rPr>
                  </w:pPr>
                </w:p>
              </w:tc>
              <w:tc>
                <w:tcPr>
                  <w:tcW w:w="768" w:type="dxa"/>
                  <w:vAlign w:val="center"/>
                </w:tcPr>
                <w:p w14:paraId="131994A4">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方位</w:t>
                  </w:r>
                </w:p>
              </w:tc>
              <w:tc>
                <w:tcPr>
                  <w:tcW w:w="932" w:type="dxa"/>
                  <w:vAlign w:val="center"/>
                </w:tcPr>
                <w:p w14:paraId="5768220E">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距离（</w:t>
                  </w:r>
                  <w:r>
                    <w:rPr>
                      <w:rFonts w:hint="eastAsia" w:cs="Times New Roman"/>
                      <w:b/>
                      <w:color w:val="auto"/>
                      <w:sz w:val="21"/>
                      <w:szCs w:val="21"/>
                      <w:highlight w:val="none"/>
                      <w:lang w:eastAsia="zh-CN"/>
                    </w:rPr>
                    <w:t>m</w:t>
                  </w:r>
                  <w:r>
                    <w:rPr>
                      <w:rFonts w:hint="default" w:ascii="Times New Roman" w:hAnsi="Times New Roman" w:eastAsia="宋体" w:cs="Times New Roman"/>
                      <w:b/>
                      <w:color w:val="auto"/>
                      <w:sz w:val="21"/>
                      <w:szCs w:val="21"/>
                      <w:highlight w:val="none"/>
                    </w:rPr>
                    <w:t>）</w:t>
                  </w:r>
                </w:p>
              </w:tc>
              <w:tc>
                <w:tcPr>
                  <w:tcW w:w="870" w:type="dxa"/>
                  <w:vMerge w:val="continue"/>
                  <w:vAlign w:val="center"/>
                </w:tcPr>
                <w:p w14:paraId="50EF620E">
                  <w:pPr>
                    <w:jc w:val="center"/>
                    <w:rPr>
                      <w:rFonts w:hint="default" w:ascii="Times New Roman" w:hAnsi="Times New Roman" w:eastAsia="宋体" w:cs="Times New Roman"/>
                      <w:color w:val="auto"/>
                      <w:sz w:val="21"/>
                      <w:szCs w:val="21"/>
                      <w:highlight w:val="none"/>
                    </w:rPr>
                  </w:pPr>
                </w:p>
              </w:tc>
              <w:tc>
                <w:tcPr>
                  <w:tcW w:w="3463" w:type="dxa"/>
                  <w:vMerge w:val="continue"/>
                  <w:vAlign w:val="center"/>
                </w:tcPr>
                <w:p w14:paraId="0A918D4E">
                  <w:pPr>
                    <w:jc w:val="center"/>
                    <w:rPr>
                      <w:rFonts w:hint="default" w:ascii="Times New Roman" w:hAnsi="Times New Roman" w:eastAsia="宋体" w:cs="Times New Roman"/>
                      <w:color w:val="auto"/>
                      <w:sz w:val="21"/>
                      <w:szCs w:val="21"/>
                      <w:highlight w:val="none"/>
                    </w:rPr>
                  </w:pPr>
                </w:p>
              </w:tc>
            </w:tr>
            <w:tr w14:paraId="6C5F4B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16CBF54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环境空气</w:t>
                  </w:r>
                </w:p>
              </w:tc>
              <w:tc>
                <w:tcPr>
                  <w:tcW w:w="3918" w:type="dxa"/>
                  <w:gridSpan w:val="4"/>
                  <w:vAlign w:val="center"/>
                </w:tcPr>
                <w:p w14:paraId="24E8837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厂界外5</w:t>
                  </w:r>
                  <w:r>
                    <w:rPr>
                      <w:rFonts w:hint="default" w:ascii="Times New Roman" w:hAnsi="Times New Roman" w:eastAsia="宋体"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rPr>
                    <w:t>0</w:t>
                  </w:r>
                  <w:r>
                    <w:rPr>
                      <w:rFonts w:hint="eastAsia"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范围内无</w:t>
                  </w:r>
                  <w:r>
                    <w:rPr>
                      <w:rFonts w:hint="default" w:ascii="Times New Roman" w:hAnsi="Times New Roman" w:eastAsia="宋体" w:cs="Times New Roman"/>
                      <w:color w:val="auto"/>
                      <w:sz w:val="21"/>
                      <w:szCs w:val="21"/>
                      <w:highlight w:val="none"/>
                      <w:lang w:val="en-US" w:eastAsia="zh-CN"/>
                    </w:rPr>
                    <w:t>大气</w:t>
                  </w:r>
                  <w:r>
                    <w:rPr>
                      <w:rFonts w:hint="default" w:ascii="Times New Roman" w:hAnsi="Times New Roman" w:eastAsia="宋体" w:cs="Times New Roman"/>
                      <w:color w:val="auto"/>
                      <w:sz w:val="21"/>
                      <w:szCs w:val="21"/>
                      <w:highlight w:val="none"/>
                    </w:rPr>
                    <w:t>环境敏感目标</w:t>
                  </w:r>
                </w:p>
              </w:tc>
              <w:tc>
                <w:tcPr>
                  <w:tcW w:w="3463" w:type="dxa"/>
                  <w:vAlign w:val="center"/>
                </w:tcPr>
                <w:p w14:paraId="07088191">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《环境空气质量标准》（GB3095-2012）二级标准</w:t>
                  </w:r>
                </w:p>
              </w:tc>
            </w:tr>
            <w:tr w14:paraId="251A35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052C407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声环境</w:t>
                  </w:r>
                </w:p>
              </w:tc>
              <w:tc>
                <w:tcPr>
                  <w:tcW w:w="3918" w:type="dxa"/>
                  <w:gridSpan w:val="4"/>
                  <w:vAlign w:val="center"/>
                </w:tcPr>
                <w:p w14:paraId="0DB1DA8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厂界外50</w:t>
                  </w:r>
                  <w:r>
                    <w:rPr>
                      <w:rFonts w:hint="eastAsia"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rPr>
                    <w:t>范围内无声环境敏感目标</w:t>
                  </w:r>
                </w:p>
              </w:tc>
              <w:tc>
                <w:tcPr>
                  <w:tcW w:w="3463" w:type="dxa"/>
                  <w:vAlign w:val="center"/>
                </w:tcPr>
                <w:p w14:paraId="7B19BAA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《声环境质量标准》（GB3096-2008）</w:t>
                  </w: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类标准</w:t>
                  </w:r>
                </w:p>
              </w:tc>
            </w:tr>
            <w:tr w14:paraId="37B64E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79951F7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地下水</w:t>
                  </w:r>
                </w:p>
              </w:tc>
              <w:tc>
                <w:tcPr>
                  <w:tcW w:w="7381" w:type="dxa"/>
                  <w:gridSpan w:val="5"/>
                  <w:vAlign w:val="center"/>
                </w:tcPr>
                <w:p w14:paraId="68E51728">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厂界外500米范围内不涉及地下水</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集中式饮用水水源和热水、矿泉水、温泉等特殊地下水资源</w:t>
                  </w:r>
                  <w:r>
                    <w:rPr>
                      <w:rFonts w:hint="default" w:ascii="Times New Roman" w:hAnsi="Times New Roman" w:eastAsia="宋体" w:cs="Times New Roman"/>
                      <w:color w:val="auto"/>
                      <w:sz w:val="21"/>
                      <w:szCs w:val="21"/>
                      <w:highlight w:val="none"/>
                      <w:lang w:eastAsia="zh-CN"/>
                    </w:rPr>
                    <w:t>。</w:t>
                  </w:r>
                </w:p>
              </w:tc>
            </w:tr>
          </w:tbl>
          <w:p w14:paraId="404E5518">
            <w:pPr>
              <w:spacing w:line="360" w:lineRule="auto"/>
              <w:rPr>
                <w:rFonts w:hint="default" w:ascii="Times New Roman" w:hAnsi="Times New Roman" w:eastAsia="宋体" w:cs="Times New Roman"/>
                <w:color w:val="auto"/>
                <w:kern w:val="0"/>
                <w:szCs w:val="21"/>
                <w:highlight w:val="none"/>
              </w:rPr>
            </w:pPr>
          </w:p>
        </w:tc>
      </w:tr>
      <w:tr w14:paraId="5314AD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58" w:hRule="atLeast"/>
          <w:jc w:val="center"/>
        </w:trPr>
        <w:tc>
          <w:tcPr>
            <w:tcW w:w="534" w:type="dxa"/>
            <w:tcMar>
              <w:left w:w="28" w:type="dxa"/>
              <w:right w:w="28" w:type="dxa"/>
            </w:tcMar>
            <w:vAlign w:val="center"/>
          </w:tcPr>
          <w:p w14:paraId="1FE47421">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污染</w:t>
            </w:r>
          </w:p>
          <w:p w14:paraId="1A47E185">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物排</w:t>
            </w:r>
          </w:p>
          <w:p w14:paraId="52A36263">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放控</w:t>
            </w:r>
          </w:p>
          <w:p w14:paraId="61025D35">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制标</w:t>
            </w:r>
          </w:p>
          <w:p w14:paraId="32BEB403">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准</w:t>
            </w:r>
          </w:p>
        </w:tc>
        <w:tc>
          <w:tcPr>
            <w:tcW w:w="8527" w:type="dxa"/>
            <w:vAlign w:val="center"/>
          </w:tcPr>
          <w:p w14:paraId="590CB74C">
            <w:pPr>
              <w:spacing w:line="360" w:lineRule="auto"/>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1.大气污染物排放标准</w:t>
            </w:r>
          </w:p>
          <w:p w14:paraId="255301BF">
            <w:pPr>
              <w:spacing w:line="312"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本项目施工期间产生的粉尘执行《大气污染物综合排放标准》（GB16297-1996）</w:t>
            </w:r>
            <w:r>
              <w:rPr>
                <w:rFonts w:hint="default" w:ascii="Times New Roman" w:hAnsi="Times New Roman" w:eastAsia="宋体" w:cs="Times New Roman"/>
                <w:bCs/>
                <w:color w:val="auto"/>
                <w:szCs w:val="21"/>
              </w:rPr>
              <w:t>中</w:t>
            </w:r>
            <w:r>
              <w:rPr>
                <w:rFonts w:hint="default" w:ascii="Times New Roman" w:hAnsi="Times New Roman" w:eastAsia="宋体" w:cs="Times New Roman"/>
                <w:bCs/>
                <w:color w:val="auto"/>
                <w:sz w:val="24"/>
              </w:rPr>
              <w:t>无组织排放标准限值</w:t>
            </w:r>
            <w:r>
              <w:rPr>
                <w:rFonts w:hint="default" w:ascii="Times New Roman" w:hAnsi="Times New Roman" w:eastAsia="宋体" w:cs="Times New Roman"/>
                <w:color w:val="auto"/>
                <w:kern w:val="0"/>
                <w:sz w:val="24"/>
              </w:rPr>
              <w:t>。</w:t>
            </w:r>
            <w:r>
              <w:rPr>
                <w:rFonts w:hint="default" w:ascii="Times New Roman" w:hAnsi="Times New Roman" w:eastAsia="宋体" w:cs="Times New Roman"/>
                <w:color w:val="auto"/>
                <w:sz w:val="24"/>
              </w:rPr>
              <w:t>具体标准限值见表3-</w:t>
            </w:r>
            <w:r>
              <w:rPr>
                <w:rFonts w:hint="default" w:ascii="Times New Roman" w:hAnsi="Times New Roman" w:eastAsia="宋体" w:cs="Times New Roman"/>
                <w:color w:val="auto"/>
                <w:sz w:val="24"/>
                <w:lang w:val="en-US" w:eastAsia="zh-CN"/>
              </w:rPr>
              <w:t>4</w:t>
            </w:r>
            <w:r>
              <w:rPr>
                <w:rFonts w:hint="default" w:ascii="Times New Roman" w:hAnsi="Times New Roman" w:eastAsia="宋体" w:cs="Times New Roman"/>
                <w:color w:val="auto"/>
                <w:sz w:val="24"/>
              </w:rPr>
              <w:t>。</w:t>
            </w:r>
          </w:p>
          <w:p w14:paraId="7F2188DC">
            <w:pPr>
              <w:tabs>
                <w:tab w:val="left" w:pos="0"/>
              </w:tabs>
              <w:adjustRightInd w:val="0"/>
              <w:spacing w:after="120" w:line="312" w:lineRule="atLeast"/>
              <w:jc w:val="center"/>
              <w:textAlignment w:val="baseline"/>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表3-</w:t>
            </w:r>
            <w:r>
              <w:rPr>
                <w:rFonts w:hint="default" w:ascii="Times New Roman" w:hAnsi="Times New Roman" w:eastAsia="宋体" w:cs="Times New Roman"/>
                <w:b/>
                <w:bCs/>
                <w:color w:val="auto"/>
                <w:kern w:val="0"/>
                <w:sz w:val="24"/>
                <w:lang w:val="en-US" w:eastAsia="zh-CN"/>
              </w:rPr>
              <w:t>4</w:t>
            </w:r>
            <w:r>
              <w:rPr>
                <w:rFonts w:hint="default" w:ascii="Times New Roman" w:hAnsi="Times New Roman" w:eastAsia="宋体" w:cs="Times New Roman"/>
                <w:b/>
                <w:bCs/>
                <w:color w:val="auto"/>
                <w:kern w:val="0"/>
                <w:sz w:val="24"/>
              </w:rPr>
              <w:t xml:space="preserve"> </w:t>
            </w:r>
            <w:r>
              <w:rPr>
                <w:rFonts w:hint="eastAsia" w:cs="Times New Roman"/>
                <w:b/>
                <w:bCs/>
                <w:color w:val="auto"/>
                <w:kern w:val="0"/>
                <w:sz w:val="24"/>
                <w:lang w:eastAsia="zh-CN"/>
              </w:rPr>
              <w:t>：</w:t>
            </w:r>
            <w:r>
              <w:rPr>
                <w:rFonts w:hint="default" w:ascii="Times New Roman" w:hAnsi="Times New Roman" w:eastAsia="宋体" w:cs="Times New Roman"/>
                <w:b/>
                <w:bCs/>
                <w:color w:val="auto"/>
                <w:kern w:val="0"/>
                <w:sz w:val="24"/>
              </w:rPr>
              <w:t>大气污染物排放标准一览表</w:t>
            </w:r>
          </w:p>
          <w:tbl>
            <w:tblPr>
              <w:tblStyle w:val="10"/>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885"/>
              <w:gridCol w:w="1386"/>
              <w:gridCol w:w="1416"/>
              <w:gridCol w:w="4535"/>
            </w:tblGrid>
            <w:tr w14:paraId="56662D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38" w:type="pct"/>
                  <w:noWrap w:val="0"/>
                  <w:tcMar>
                    <w:left w:w="0" w:type="dxa"/>
                    <w:right w:w="0" w:type="dxa"/>
                  </w:tcMar>
                  <w:vAlign w:val="center"/>
                </w:tcPr>
                <w:p w14:paraId="19B7B8CD">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时期</w:t>
                  </w:r>
                </w:p>
              </w:tc>
              <w:tc>
                <w:tcPr>
                  <w:tcW w:w="843" w:type="pct"/>
                  <w:noWrap w:val="0"/>
                  <w:vAlign w:val="center"/>
                </w:tcPr>
                <w:p w14:paraId="18415147">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污染物</w:t>
                  </w:r>
                </w:p>
              </w:tc>
              <w:tc>
                <w:tcPr>
                  <w:tcW w:w="861" w:type="pct"/>
                  <w:noWrap w:val="0"/>
                  <w:tcMar>
                    <w:left w:w="0" w:type="dxa"/>
                    <w:right w:w="0" w:type="dxa"/>
                  </w:tcMar>
                  <w:vAlign w:val="center"/>
                </w:tcPr>
                <w:p w14:paraId="6506E003">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kern w:val="0"/>
                      <w:sz w:val="21"/>
                      <w:szCs w:val="21"/>
                    </w:rPr>
                    <w:t>排放标准值</w:t>
                  </w:r>
                </w:p>
              </w:tc>
              <w:tc>
                <w:tcPr>
                  <w:tcW w:w="2758" w:type="pct"/>
                  <w:noWrap w:val="0"/>
                  <w:tcMar>
                    <w:left w:w="0" w:type="dxa"/>
                    <w:right w:w="0" w:type="dxa"/>
                  </w:tcMar>
                  <w:vAlign w:val="center"/>
                </w:tcPr>
                <w:p w14:paraId="0537A3F9">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标准来源</w:t>
                  </w:r>
                </w:p>
              </w:tc>
            </w:tr>
            <w:tr w14:paraId="7B6D5B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38" w:type="pct"/>
                  <w:noWrap w:val="0"/>
                  <w:tcMar>
                    <w:left w:w="0" w:type="dxa"/>
                    <w:right w:w="0" w:type="dxa"/>
                  </w:tcMar>
                  <w:vAlign w:val="center"/>
                </w:tcPr>
                <w:p w14:paraId="66046CAB">
                  <w:pPr>
                    <w:adjustRightInd w:val="0"/>
                    <w:snapToGrid w:val="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施工期</w:t>
                  </w:r>
                </w:p>
              </w:tc>
              <w:tc>
                <w:tcPr>
                  <w:tcW w:w="843" w:type="pct"/>
                  <w:noWrap w:val="0"/>
                  <w:vAlign w:val="center"/>
                </w:tcPr>
                <w:p w14:paraId="16338342">
                  <w:pPr>
                    <w:adjustRightInd w:val="0"/>
                    <w:snapToGrid w:val="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颗粒物</w:t>
                  </w:r>
                </w:p>
              </w:tc>
              <w:tc>
                <w:tcPr>
                  <w:tcW w:w="861" w:type="pct"/>
                  <w:noWrap w:val="0"/>
                  <w:tcMar>
                    <w:left w:w="0" w:type="dxa"/>
                    <w:right w:w="0" w:type="dxa"/>
                  </w:tcMar>
                  <w:vAlign w:val="center"/>
                </w:tcPr>
                <w:p w14:paraId="513C96B7">
                  <w:pPr>
                    <w:adjustRightInd w:val="0"/>
                    <w:snapToGrid w:val="0"/>
                    <w:jc w:val="center"/>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color w:val="auto"/>
                      <w:sz w:val="21"/>
                      <w:szCs w:val="21"/>
                    </w:rPr>
                    <w:t>1.0</w:t>
                  </w:r>
                  <w:r>
                    <w:rPr>
                      <w:rFonts w:hint="eastAsia" w:cs="Times New Roman"/>
                      <w:bCs/>
                      <w:color w:val="auto"/>
                      <w:sz w:val="21"/>
                      <w:szCs w:val="21"/>
                      <w:lang w:eastAsia="zh-CN"/>
                    </w:rPr>
                    <w:t>m</w:t>
                  </w:r>
                  <w:r>
                    <w:rPr>
                      <w:rFonts w:hint="default" w:ascii="Times New Roman" w:hAnsi="Times New Roman" w:eastAsia="宋体" w:cs="Times New Roman"/>
                      <w:bCs/>
                      <w:color w:val="auto"/>
                      <w:sz w:val="21"/>
                      <w:szCs w:val="21"/>
                    </w:rPr>
                    <w:t>g/</w:t>
                  </w:r>
                  <w:r>
                    <w:rPr>
                      <w:rFonts w:hint="eastAsia" w:cs="Times New Roman"/>
                      <w:bCs/>
                      <w:color w:val="auto"/>
                      <w:sz w:val="21"/>
                      <w:szCs w:val="21"/>
                      <w:vertAlign w:val="baseline"/>
                      <w:lang w:eastAsia="zh-CN"/>
                    </w:rPr>
                    <w:t>m</w:t>
                  </w:r>
                  <w:r>
                    <w:rPr>
                      <w:rFonts w:hint="eastAsia" w:cs="Times New Roman"/>
                      <w:bCs/>
                      <w:color w:val="auto"/>
                      <w:sz w:val="21"/>
                      <w:szCs w:val="21"/>
                      <w:vertAlign w:val="superscript"/>
                      <w:lang w:eastAsia="zh-CN"/>
                    </w:rPr>
                    <w:t>3</w:t>
                  </w:r>
                </w:p>
              </w:tc>
              <w:tc>
                <w:tcPr>
                  <w:tcW w:w="2758" w:type="pct"/>
                  <w:noWrap w:val="0"/>
                  <w:tcMar>
                    <w:left w:w="0" w:type="dxa"/>
                    <w:right w:w="0" w:type="dxa"/>
                  </w:tcMar>
                  <w:vAlign w:val="center"/>
                </w:tcPr>
                <w:p w14:paraId="03BA7524">
                  <w:pPr>
                    <w:adjustRightInd w:val="0"/>
                    <w:snapToGrid w:val="0"/>
                    <w:jc w:val="center"/>
                    <w:rPr>
                      <w:rFonts w:hint="eastAsia"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《大气污染物综合排放标准》（GB16297-1996）无组织排放标准限值</w:t>
                  </w:r>
                  <w:r>
                    <w:rPr>
                      <w:rFonts w:hint="eastAsia" w:cs="Times New Roman"/>
                      <w:bCs/>
                      <w:color w:val="auto"/>
                      <w:sz w:val="21"/>
                      <w:szCs w:val="21"/>
                      <w:lang w:eastAsia="zh-CN"/>
                    </w:rPr>
                    <w:t>。</w:t>
                  </w:r>
                </w:p>
              </w:tc>
            </w:tr>
          </w:tbl>
          <w:p w14:paraId="1B38235E">
            <w:pPr>
              <w:adjustRightInd w:val="0"/>
              <w:snapToGrid w:val="0"/>
              <w:spacing w:before="240" w:line="360" w:lineRule="auto"/>
              <w:ind w:firstLine="482"/>
              <w:textAlignment w:val="center"/>
              <w:rPr>
                <w:rFonts w:hint="default" w:ascii="Times New Roman" w:hAnsi="Times New Roman" w:eastAsia="宋体" w:cs="Times New Roman"/>
                <w:bCs/>
                <w:color w:val="auto"/>
                <w:sz w:val="24"/>
                <w:lang w:eastAsia="zh-CN"/>
              </w:rPr>
            </w:pPr>
            <w:r>
              <w:rPr>
                <w:rFonts w:hint="default" w:ascii="Times New Roman" w:hAnsi="Times New Roman" w:eastAsia="宋体" w:cs="Times New Roman"/>
                <w:bCs/>
                <w:color w:val="auto"/>
                <w:sz w:val="24"/>
              </w:rPr>
              <w:t>运营期恶臭气体无组织排放执行《城镇污水处理厂污染物排放标准》</w:t>
            </w: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rPr>
              <w:t>GB18918-2002）及其修改单表4中二级标准</w:t>
            </w:r>
            <w:r>
              <w:rPr>
                <w:rFonts w:hint="default" w:ascii="Times New Roman" w:hAnsi="Times New Roman" w:eastAsia="宋体" w:cs="Times New Roman"/>
                <w:bCs/>
                <w:color w:val="auto"/>
                <w:sz w:val="24"/>
                <w:lang w:eastAsia="zh-CN"/>
              </w:rPr>
              <w:t>。</w:t>
            </w:r>
          </w:p>
          <w:p w14:paraId="62A75020">
            <w:pPr>
              <w:tabs>
                <w:tab w:val="left" w:pos="0"/>
              </w:tabs>
              <w:adjustRightInd w:val="0"/>
              <w:spacing w:after="120" w:line="312" w:lineRule="atLeast"/>
              <w:jc w:val="center"/>
              <w:textAlignment w:val="baseline"/>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表3-</w:t>
            </w:r>
            <w:r>
              <w:rPr>
                <w:rFonts w:hint="default" w:ascii="Times New Roman" w:hAnsi="Times New Roman" w:eastAsia="宋体" w:cs="Times New Roman"/>
                <w:b/>
                <w:bCs/>
                <w:color w:val="auto"/>
                <w:kern w:val="0"/>
                <w:sz w:val="24"/>
                <w:lang w:val="en-US" w:eastAsia="zh-CN"/>
              </w:rPr>
              <w:t>5</w:t>
            </w:r>
            <w:r>
              <w:rPr>
                <w:rFonts w:hint="eastAsia" w:cs="Times New Roman"/>
                <w:b/>
                <w:bCs/>
                <w:color w:val="auto"/>
                <w:kern w:val="0"/>
                <w:sz w:val="24"/>
                <w:lang w:eastAsia="zh-CN"/>
              </w:rPr>
              <w:t>：</w:t>
            </w:r>
            <w:r>
              <w:rPr>
                <w:rFonts w:hint="default" w:ascii="Times New Roman" w:hAnsi="Times New Roman" w:eastAsia="宋体" w:cs="Times New Roman"/>
                <w:b/>
                <w:bCs/>
                <w:color w:val="auto"/>
                <w:kern w:val="0"/>
                <w:sz w:val="24"/>
              </w:rPr>
              <w:t>恶臭污染物厂界标准值</w:t>
            </w:r>
          </w:p>
          <w:tbl>
            <w:tblPr>
              <w:tblStyle w:val="10"/>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700"/>
              <w:gridCol w:w="1350"/>
              <w:gridCol w:w="3241"/>
              <w:gridCol w:w="3020"/>
            </w:tblGrid>
            <w:tr w14:paraId="3BA5D2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pct"/>
                  <w:noWrap w:val="0"/>
                  <w:tcMar>
                    <w:left w:w="0" w:type="dxa"/>
                    <w:right w:w="0" w:type="dxa"/>
                  </w:tcMar>
                  <w:vAlign w:val="center"/>
                </w:tcPr>
                <w:p w14:paraId="7EF202E1">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时期</w:t>
                  </w:r>
                </w:p>
              </w:tc>
              <w:tc>
                <w:tcPr>
                  <w:tcW w:w="812" w:type="pct"/>
                  <w:noWrap w:val="0"/>
                  <w:vAlign w:val="center"/>
                </w:tcPr>
                <w:p w14:paraId="6333B683">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污染物</w:t>
                  </w:r>
                </w:p>
              </w:tc>
              <w:tc>
                <w:tcPr>
                  <w:tcW w:w="1949" w:type="pct"/>
                  <w:noWrap w:val="0"/>
                  <w:tcMar>
                    <w:left w:w="0" w:type="dxa"/>
                    <w:right w:w="0" w:type="dxa"/>
                  </w:tcMar>
                  <w:vAlign w:val="center"/>
                </w:tcPr>
                <w:p w14:paraId="52BFA9B1">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kern w:val="0"/>
                      <w:sz w:val="21"/>
                      <w:szCs w:val="21"/>
                    </w:rPr>
                    <w:t>厂界标准值</w:t>
                  </w:r>
                </w:p>
              </w:tc>
              <w:tc>
                <w:tcPr>
                  <w:tcW w:w="1816" w:type="pct"/>
                  <w:noWrap w:val="0"/>
                  <w:tcMar>
                    <w:left w:w="0" w:type="dxa"/>
                    <w:right w:w="0" w:type="dxa"/>
                  </w:tcMar>
                  <w:vAlign w:val="center"/>
                </w:tcPr>
                <w:p w14:paraId="76D39D78">
                  <w:pPr>
                    <w:adjustRightInd w:val="0"/>
                    <w:snapToGrid w:val="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标准来源</w:t>
                  </w:r>
                </w:p>
              </w:tc>
            </w:tr>
            <w:tr w14:paraId="71E18F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pct"/>
                  <w:vMerge w:val="restart"/>
                  <w:noWrap w:val="0"/>
                  <w:tcMar>
                    <w:left w:w="0" w:type="dxa"/>
                    <w:right w:w="0" w:type="dxa"/>
                  </w:tcMar>
                  <w:vAlign w:val="center"/>
                </w:tcPr>
                <w:p w14:paraId="440A9944">
                  <w:pPr>
                    <w:adjustRightInd w:val="0"/>
                    <w:snapToGrid w:val="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运营期</w:t>
                  </w:r>
                </w:p>
              </w:tc>
              <w:tc>
                <w:tcPr>
                  <w:tcW w:w="812" w:type="pct"/>
                  <w:noWrap w:val="0"/>
                  <w:vAlign w:val="center"/>
                </w:tcPr>
                <w:p w14:paraId="16EF0B9C">
                  <w:pPr>
                    <w:adjustRightInd w:val="0"/>
                    <w:snapToGrid w:val="0"/>
                    <w:jc w:val="center"/>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N</w:t>
                  </w:r>
                  <w:r>
                    <w:rPr>
                      <w:rFonts w:hint="default" w:ascii="Times New Roman" w:hAnsi="Times New Roman" w:eastAsia="宋体" w:cs="Times New Roman"/>
                      <w:bCs/>
                      <w:color w:val="auto"/>
                      <w:sz w:val="21"/>
                      <w:szCs w:val="21"/>
                      <w:vertAlign w:val="baseline"/>
                      <w:lang w:eastAsia="zh-CN"/>
                    </w:rPr>
                    <w:t>H</w:t>
                  </w:r>
                  <w:r>
                    <w:rPr>
                      <w:rFonts w:hint="default" w:ascii="Times New Roman" w:hAnsi="Times New Roman" w:eastAsia="宋体" w:cs="Times New Roman"/>
                      <w:bCs/>
                      <w:color w:val="auto"/>
                      <w:sz w:val="21"/>
                      <w:szCs w:val="21"/>
                      <w:vertAlign w:val="subscript"/>
                      <w:lang w:eastAsia="zh-CN"/>
                    </w:rPr>
                    <w:t>3</w:t>
                  </w:r>
                </w:p>
              </w:tc>
              <w:tc>
                <w:tcPr>
                  <w:tcW w:w="1949" w:type="pct"/>
                  <w:noWrap w:val="0"/>
                  <w:tcMar>
                    <w:left w:w="0" w:type="dxa"/>
                    <w:right w:w="0" w:type="dxa"/>
                  </w:tcMar>
                  <w:vAlign w:val="center"/>
                </w:tcPr>
                <w:p w14:paraId="370CDFB4">
                  <w:pPr>
                    <w:adjustRightInd w:val="0"/>
                    <w:snapToGrid w:val="0"/>
                    <w:jc w:val="center"/>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color w:val="auto"/>
                      <w:sz w:val="21"/>
                      <w:szCs w:val="21"/>
                    </w:rPr>
                    <w:t>1.5</w:t>
                  </w:r>
                  <w:r>
                    <w:rPr>
                      <w:rFonts w:hint="eastAsia" w:cs="Times New Roman"/>
                      <w:bCs/>
                      <w:color w:val="auto"/>
                      <w:sz w:val="21"/>
                      <w:szCs w:val="21"/>
                      <w:lang w:eastAsia="zh-CN"/>
                    </w:rPr>
                    <w:t>m</w:t>
                  </w:r>
                  <w:r>
                    <w:rPr>
                      <w:rFonts w:hint="default" w:ascii="Times New Roman" w:hAnsi="Times New Roman" w:eastAsia="宋体" w:cs="Times New Roman"/>
                      <w:bCs/>
                      <w:color w:val="auto"/>
                      <w:sz w:val="21"/>
                      <w:szCs w:val="21"/>
                    </w:rPr>
                    <w:t>g/</w:t>
                  </w:r>
                  <w:r>
                    <w:rPr>
                      <w:rFonts w:hint="eastAsia" w:cs="Times New Roman"/>
                      <w:bCs/>
                      <w:color w:val="auto"/>
                      <w:sz w:val="21"/>
                      <w:szCs w:val="21"/>
                      <w:vertAlign w:val="baseline"/>
                      <w:lang w:eastAsia="zh-CN"/>
                    </w:rPr>
                    <w:t>m</w:t>
                  </w:r>
                  <w:r>
                    <w:rPr>
                      <w:rFonts w:hint="eastAsia" w:cs="Times New Roman"/>
                      <w:bCs/>
                      <w:color w:val="auto"/>
                      <w:sz w:val="21"/>
                      <w:szCs w:val="21"/>
                      <w:vertAlign w:val="superscript"/>
                      <w:lang w:eastAsia="zh-CN"/>
                    </w:rPr>
                    <w:t>3</w:t>
                  </w:r>
                </w:p>
              </w:tc>
              <w:tc>
                <w:tcPr>
                  <w:tcW w:w="1816" w:type="pct"/>
                  <w:vMerge w:val="restart"/>
                  <w:noWrap w:val="0"/>
                  <w:tcMar>
                    <w:left w:w="0" w:type="dxa"/>
                    <w:right w:w="0" w:type="dxa"/>
                  </w:tcMar>
                  <w:vAlign w:val="center"/>
                </w:tcPr>
                <w:p w14:paraId="4B8F9A93">
                  <w:pPr>
                    <w:adjustRightInd w:val="0"/>
                    <w:snapToGrid w:val="0"/>
                    <w:jc w:val="center"/>
                    <w:rPr>
                      <w:rFonts w:hint="eastAsia"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《城镇污水处理厂污染物排放标准》</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rPr>
                    <w:t>GB18918-2002）及其修改单表4中二级标准</w:t>
                  </w:r>
                  <w:r>
                    <w:rPr>
                      <w:rFonts w:hint="eastAsia" w:cs="Times New Roman"/>
                      <w:bCs/>
                      <w:color w:val="auto"/>
                      <w:sz w:val="21"/>
                      <w:szCs w:val="21"/>
                      <w:lang w:eastAsia="zh-CN"/>
                    </w:rPr>
                    <w:t>。</w:t>
                  </w:r>
                </w:p>
              </w:tc>
            </w:tr>
            <w:tr w14:paraId="66CCA2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pct"/>
                  <w:vMerge w:val="continue"/>
                  <w:noWrap w:val="0"/>
                  <w:tcMar>
                    <w:left w:w="0" w:type="dxa"/>
                    <w:right w:w="0" w:type="dxa"/>
                  </w:tcMar>
                  <w:vAlign w:val="center"/>
                </w:tcPr>
                <w:p w14:paraId="6F0D7389">
                  <w:pPr>
                    <w:adjustRightInd w:val="0"/>
                    <w:snapToGrid w:val="0"/>
                    <w:jc w:val="center"/>
                    <w:rPr>
                      <w:rFonts w:hint="default" w:ascii="Times New Roman" w:hAnsi="Times New Roman" w:eastAsia="宋体" w:cs="Times New Roman"/>
                      <w:bCs/>
                      <w:color w:val="auto"/>
                      <w:sz w:val="21"/>
                      <w:szCs w:val="21"/>
                    </w:rPr>
                  </w:pPr>
                </w:p>
              </w:tc>
              <w:tc>
                <w:tcPr>
                  <w:tcW w:w="812" w:type="pct"/>
                  <w:noWrap w:val="0"/>
                  <w:vAlign w:val="center"/>
                </w:tcPr>
                <w:p w14:paraId="2737BEBA">
                  <w:pPr>
                    <w:adjustRightInd w:val="0"/>
                    <w:snapToGrid w:val="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vertAlign w:val="baseline"/>
                      <w:lang w:eastAsia="zh-CN"/>
                    </w:rPr>
                    <w:t>H</w:t>
                  </w:r>
                  <w:r>
                    <w:rPr>
                      <w:rFonts w:hint="default" w:ascii="Times New Roman" w:hAnsi="Times New Roman" w:eastAsia="宋体" w:cs="Times New Roman"/>
                      <w:bCs/>
                      <w:color w:val="auto"/>
                      <w:sz w:val="21"/>
                      <w:szCs w:val="21"/>
                      <w:vertAlign w:val="subscript"/>
                      <w:lang w:eastAsia="zh-CN"/>
                    </w:rPr>
                    <w:t>2</w:t>
                  </w:r>
                  <w:r>
                    <w:rPr>
                      <w:rFonts w:hint="default" w:ascii="Times New Roman" w:hAnsi="Times New Roman" w:eastAsia="宋体" w:cs="Times New Roman"/>
                      <w:bCs/>
                      <w:color w:val="auto"/>
                      <w:sz w:val="21"/>
                      <w:szCs w:val="21"/>
                    </w:rPr>
                    <w:t>S</w:t>
                  </w:r>
                </w:p>
              </w:tc>
              <w:tc>
                <w:tcPr>
                  <w:tcW w:w="1949" w:type="pct"/>
                  <w:noWrap w:val="0"/>
                  <w:tcMar>
                    <w:left w:w="0" w:type="dxa"/>
                    <w:right w:w="0" w:type="dxa"/>
                  </w:tcMar>
                  <w:vAlign w:val="center"/>
                </w:tcPr>
                <w:p w14:paraId="65A83619">
                  <w:pPr>
                    <w:adjustRightInd w:val="0"/>
                    <w:snapToGrid w:val="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Cs/>
                      <w:color w:val="auto"/>
                      <w:sz w:val="21"/>
                      <w:szCs w:val="21"/>
                    </w:rPr>
                    <w:t>0.06</w:t>
                  </w:r>
                  <w:r>
                    <w:rPr>
                      <w:rFonts w:hint="eastAsia" w:cs="Times New Roman"/>
                      <w:bCs/>
                      <w:color w:val="auto"/>
                      <w:sz w:val="21"/>
                      <w:szCs w:val="21"/>
                      <w:lang w:eastAsia="zh-CN"/>
                    </w:rPr>
                    <w:t>m</w:t>
                  </w:r>
                  <w:r>
                    <w:rPr>
                      <w:rFonts w:hint="default" w:ascii="Times New Roman" w:hAnsi="Times New Roman" w:eastAsia="宋体" w:cs="Times New Roman"/>
                      <w:bCs/>
                      <w:color w:val="auto"/>
                      <w:sz w:val="21"/>
                      <w:szCs w:val="21"/>
                    </w:rPr>
                    <w:t>g/</w:t>
                  </w:r>
                  <w:r>
                    <w:rPr>
                      <w:rFonts w:hint="eastAsia" w:cs="Times New Roman"/>
                      <w:bCs/>
                      <w:color w:val="auto"/>
                      <w:sz w:val="21"/>
                      <w:szCs w:val="21"/>
                      <w:vertAlign w:val="baseline"/>
                      <w:lang w:eastAsia="zh-CN"/>
                    </w:rPr>
                    <w:t>m</w:t>
                  </w:r>
                  <w:r>
                    <w:rPr>
                      <w:rFonts w:hint="eastAsia" w:cs="Times New Roman"/>
                      <w:bCs/>
                      <w:color w:val="auto"/>
                      <w:sz w:val="21"/>
                      <w:szCs w:val="21"/>
                      <w:vertAlign w:val="superscript"/>
                      <w:lang w:eastAsia="zh-CN"/>
                    </w:rPr>
                    <w:t>3</w:t>
                  </w:r>
                </w:p>
              </w:tc>
              <w:tc>
                <w:tcPr>
                  <w:tcW w:w="1816" w:type="pct"/>
                  <w:vMerge w:val="continue"/>
                  <w:noWrap w:val="0"/>
                  <w:tcMar>
                    <w:left w:w="0" w:type="dxa"/>
                    <w:right w:w="0" w:type="dxa"/>
                  </w:tcMar>
                  <w:vAlign w:val="center"/>
                </w:tcPr>
                <w:p w14:paraId="4C7B1ED6">
                  <w:pPr>
                    <w:adjustRightInd w:val="0"/>
                    <w:snapToGrid w:val="0"/>
                    <w:jc w:val="center"/>
                    <w:rPr>
                      <w:rFonts w:hint="default" w:ascii="Times New Roman" w:hAnsi="Times New Roman" w:eastAsia="宋体" w:cs="Times New Roman"/>
                      <w:bCs/>
                      <w:color w:val="auto"/>
                      <w:sz w:val="21"/>
                      <w:szCs w:val="21"/>
                    </w:rPr>
                  </w:pPr>
                </w:p>
              </w:tc>
            </w:tr>
            <w:tr w14:paraId="671F76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pct"/>
                  <w:vMerge w:val="continue"/>
                  <w:noWrap w:val="0"/>
                  <w:tcMar>
                    <w:left w:w="0" w:type="dxa"/>
                    <w:right w:w="0" w:type="dxa"/>
                  </w:tcMar>
                  <w:vAlign w:val="center"/>
                </w:tcPr>
                <w:p w14:paraId="0F67995F">
                  <w:pPr>
                    <w:adjustRightInd w:val="0"/>
                    <w:snapToGrid w:val="0"/>
                    <w:jc w:val="center"/>
                    <w:rPr>
                      <w:rFonts w:hint="default" w:ascii="Times New Roman" w:hAnsi="Times New Roman" w:eastAsia="宋体" w:cs="Times New Roman"/>
                      <w:bCs/>
                      <w:color w:val="auto"/>
                      <w:sz w:val="21"/>
                      <w:szCs w:val="21"/>
                    </w:rPr>
                  </w:pPr>
                </w:p>
              </w:tc>
              <w:tc>
                <w:tcPr>
                  <w:tcW w:w="812" w:type="pct"/>
                  <w:shd w:val="clear" w:color="auto" w:fill="auto"/>
                  <w:noWrap w:val="0"/>
                  <w:vAlign w:val="center"/>
                </w:tcPr>
                <w:p w14:paraId="7E6C0793">
                  <w:pPr>
                    <w:adjustRightInd w:val="0"/>
                    <w:snapToGrid w:val="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臭气浓度</w:t>
                  </w:r>
                </w:p>
              </w:tc>
              <w:tc>
                <w:tcPr>
                  <w:tcW w:w="1949" w:type="pct"/>
                  <w:shd w:val="clear" w:color="auto" w:fill="auto"/>
                  <w:noWrap w:val="0"/>
                  <w:tcMar>
                    <w:left w:w="0" w:type="dxa"/>
                    <w:right w:w="0" w:type="dxa"/>
                  </w:tcMar>
                  <w:vAlign w:val="center"/>
                </w:tcPr>
                <w:p w14:paraId="530E8665">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20（无量纲）</w:t>
                  </w:r>
                </w:p>
              </w:tc>
              <w:tc>
                <w:tcPr>
                  <w:tcW w:w="1816" w:type="pct"/>
                  <w:vMerge w:val="continue"/>
                  <w:noWrap w:val="0"/>
                  <w:tcMar>
                    <w:left w:w="0" w:type="dxa"/>
                    <w:right w:w="0" w:type="dxa"/>
                  </w:tcMar>
                  <w:vAlign w:val="center"/>
                </w:tcPr>
                <w:p w14:paraId="04B61ABF">
                  <w:pPr>
                    <w:adjustRightInd w:val="0"/>
                    <w:snapToGrid w:val="0"/>
                    <w:jc w:val="center"/>
                    <w:rPr>
                      <w:rFonts w:hint="default" w:ascii="Times New Roman" w:hAnsi="Times New Roman" w:eastAsia="宋体" w:cs="Times New Roman"/>
                      <w:bCs/>
                      <w:color w:val="auto"/>
                      <w:sz w:val="21"/>
                      <w:szCs w:val="21"/>
                    </w:rPr>
                  </w:pPr>
                </w:p>
              </w:tc>
            </w:tr>
            <w:tr w14:paraId="3E13A6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pct"/>
                  <w:vMerge w:val="continue"/>
                  <w:noWrap w:val="0"/>
                  <w:tcMar>
                    <w:left w:w="0" w:type="dxa"/>
                    <w:right w:w="0" w:type="dxa"/>
                  </w:tcMar>
                  <w:vAlign w:val="center"/>
                </w:tcPr>
                <w:p w14:paraId="53DCB186">
                  <w:pPr>
                    <w:adjustRightInd w:val="0"/>
                    <w:snapToGrid w:val="0"/>
                    <w:jc w:val="center"/>
                    <w:rPr>
                      <w:rFonts w:hint="default" w:ascii="Times New Roman" w:hAnsi="Times New Roman" w:eastAsia="宋体" w:cs="Times New Roman"/>
                      <w:bCs/>
                      <w:color w:val="auto"/>
                      <w:sz w:val="21"/>
                      <w:szCs w:val="21"/>
                    </w:rPr>
                  </w:pPr>
                </w:p>
              </w:tc>
              <w:tc>
                <w:tcPr>
                  <w:tcW w:w="812" w:type="pct"/>
                  <w:noWrap w:val="0"/>
                  <w:vAlign w:val="center"/>
                </w:tcPr>
                <w:p w14:paraId="453DF433">
                  <w:pPr>
                    <w:adjustRightInd w:val="0"/>
                    <w:snapToGrid w:val="0"/>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甲烷</w:t>
                  </w:r>
                </w:p>
              </w:tc>
              <w:tc>
                <w:tcPr>
                  <w:tcW w:w="1949" w:type="pct"/>
                  <w:noWrap w:val="0"/>
                  <w:tcMar>
                    <w:left w:w="0" w:type="dxa"/>
                    <w:right w:w="0" w:type="dxa"/>
                  </w:tcMar>
                  <w:vAlign w:val="center"/>
                </w:tcPr>
                <w:p w14:paraId="10F209AF">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1（厂区最高体积浓度%）</w:t>
                  </w:r>
                </w:p>
              </w:tc>
              <w:tc>
                <w:tcPr>
                  <w:tcW w:w="1816" w:type="pct"/>
                  <w:vMerge w:val="continue"/>
                  <w:noWrap w:val="0"/>
                  <w:tcMar>
                    <w:left w:w="0" w:type="dxa"/>
                    <w:right w:w="0" w:type="dxa"/>
                  </w:tcMar>
                  <w:vAlign w:val="center"/>
                </w:tcPr>
                <w:p w14:paraId="5FB70127">
                  <w:pPr>
                    <w:adjustRightInd w:val="0"/>
                    <w:snapToGrid w:val="0"/>
                    <w:jc w:val="center"/>
                    <w:rPr>
                      <w:rFonts w:hint="default" w:ascii="Times New Roman" w:hAnsi="Times New Roman" w:eastAsia="宋体" w:cs="Times New Roman"/>
                      <w:bCs/>
                      <w:color w:val="auto"/>
                      <w:sz w:val="21"/>
                      <w:szCs w:val="21"/>
                    </w:rPr>
                  </w:pPr>
                </w:p>
              </w:tc>
            </w:tr>
          </w:tbl>
          <w:p w14:paraId="4771ABDA">
            <w:pPr>
              <w:spacing w:before="240" w:line="360" w:lineRule="auto"/>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lang w:val="en-US" w:eastAsia="zh-CN"/>
              </w:rPr>
              <w:t>2</w:t>
            </w:r>
            <w:r>
              <w:rPr>
                <w:rFonts w:hint="eastAsia" w:cs="Times New Roman"/>
                <w:b/>
                <w:color w:val="auto"/>
                <w:sz w:val="24"/>
                <w:highlight w:val="none"/>
                <w:lang w:val="en-US" w:eastAsia="zh-CN"/>
              </w:rPr>
              <w:t>.</w:t>
            </w:r>
            <w:r>
              <w:rPr>
                <w:rFonts w:hint="default" w:ascii="Times New Roman" w:hAnsi="Times New Roman" w:eastAsia="宋体" w:cs="Times New Roman"/>
                <w:b/>
                <w:color w:val="auto"/>
                <w:sz w:val="24"/>
                <w:highlight w:val="none"/>
                <w:lang w:val="en-US" w:eastAsia="zh-CN"/>
              </w:rPr>
              <w:t>废水</w:t>
            </w:r>
            <w:r>
              <w:rPr>
                <w:rFonts w:hint="default" w:ascii="Times New Roman" w:hAnsi="Times New Roman" w:eastAsia="宋体" w:cs="Times New Roman"/>
                <w:b/>
                <w:color w:val="auto"/>
                <w:sz w:val="24"/>
                <w:highlight w:val="none"/>
              </w:rPr>
              <w:t>排放标准</w:t>
            </w:r>
          </w:p>
          <w:p w14:paraId="7DA3B02A">
            <w:pPr>
              <w:spacing w:line="312"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本项目</w:t>
            </w:r>
            <w:r>
              <w:rPr>
                <w:rFonts w:hint="default" w:ascii="Times New Roman" w:hAnsi="Times New Roman" w:eastAsia="宋体" w:cs="Times New Roman"/>
                <w:color w:val="auto"/>
                <w:kern w:val="0"/>
                <w:sz w:val="24"/>
                <w:highlight w:val="none"/>
                <w:lang w:val="en-US" w:eastAsia="zh-CN"/>
              </w:rPr>
              <w:t>为污水处理厂项目，无废水排放。污水厂处理后的中水</w:t>
            </w:r>
            <w:r>
              <w:rPr>
                <w:rFonts w:hint="default" w:ascii="Times New Roman" w:hAnsi="Times New Roman" w:eastAsia="宋体" w:cs="Times New Roman"/>
                <w:color w:val="auto"/>
                <w:kern w:val="0"/>
                <w:sz w:val="24"/>
                <w:highlight w:val="none"/>
              </w:rPr>
              <w:t>水质执行《城镇污水处理厂污染物排放标准》（GB18918-2002）及其修改单</w:t>
            </w:r>
            <w:r>
              <w:rPr>
                <w:rFonts w:hint="default" w:ascii="Times New Roman" w:hAnsi="Times New Roman" w:eastAsia="宋体" w:cs="Times New Roman"/>
                <w:color w:val="auto"/>
                <w:kern w:val="0"/>
                <w:sz w:val="24"/>
                <w:highlight w:val="none"/>
                <w:lang w:val="en-US" w:eastAsia="zh-CN"/>
              </w:rPr>
              <w:t>中</w:t>
            </w:r>
            <w:r>
              <w:rPr>
                <w:rFonts w:hint="eastAsia" w:cs="Times New Roman"/>
                <w:color w:val="auto"/>
                <w:kern w:val="0"/>
                <w:sz w:val="24"/>
                <w:highlight w:val="none"/>
                <w:lang w:val="en-US" w:eastAsia="zh-CN"/>
              </w:rPr>
              <w:t>的</w:t>
            </w:r>
            <w:r>
              <w:rPr>
                <w:rFonts w:hint="default" w:ascii="Times New Roman" w:hAnsi="Times New Roman" w:eastAsia="宋体" w:cs="Times New Roman"/>
                <w:color w:val="auto"/>
                <w:kern w:val="0"/>
                <w:sz w:val="24"/>
                <w:highlight w:val="none"/>
              </w:rPr>
              <w:t>一级A标准，</w:t>
            </w:r>
            <w:r>
              <w:rPr>
                <w:rFonts w:hint="default" w:ascii="Times New Roman" w:hAnsi="Times New Roman" w:eastAsia="宋体" w:cs="Times New Roman"/>
                <w:color w:val="auto"/>
                <w:kern w:val="0"/>
                <w:sz w:val="24"/>
                <w:highlight w:val="none"/>
                <w:lang w:val="en-US" w:eastAsia="zh-CN"/>
              </w:rPr>
              <w:t>同时</w:t>
            </w:r>
            <w:r>
              <w:rPr>
                <w:rFonts w:hint="default" w:ascii="Times New Roman" w:hAnsi="Times New Roman" w:eastAsia="宋体" w:cs="Times New Roman"/>
                <w:color w:val="auto"/>
                <w:kern w:val="0"/>
                <w:sz w:val="24"/>
                <w:highlight w:val="none"/>
              </w:rPr>
              <w:t>执行《城市污水再生利用</w:t>
            </w:r>
            <w:r>
              <w:rPr>
                <w:rFonts w:hint="default" w:ascii="Times New Roman" w:hAnsi="Times New Roman" w:eastAsia="宋体" w:cs="Times New Roman"/>
                <w:color w:val="auto"/>
                <w:kern w:val="0"/>
                <w:sz w:val="24"/>
                <w:highlight w:val="none"/>
                <w:lang w:val="en-US" w:eastAsia="zh-CN"/>
              </w:rPr>
              <w:t xml:space="preserve"> </w:t>
            </w:r>
            <w:r>
              <w:rPr>
                <w:rFonts w:hint="default" w:ascii="Times New Roman" w:hAnsi="Times New Roman" w:eastAsia="宋体" w:cs="Times New Roman"/>
                <w:color w:val="auto"/>
                <w:kern w:val="0"/>
                <w:sz w:val="24"/>
                <w:highlight w:val="none"/>
              </w:rPr>
              <w:t>工业用水水质》（</w:t>
            </w:r>
            <w:r>
              <w:rPr>
                <w:rFonts w:hint="default" w:ascii="Times New Roman" w:hAnsi="Times New Roman" w:eastAsia="宋体" w:cs="Times New Roman"/>
                <w:color w:val="auto"/>
                <w:kern w:val="0"/>
                <w:sz w:val="24"/>
                <w:highlight w:val="none"/>
                <w:lang w:eastAsia="zh-CN"/>
              </w:rPr>
              <w:t>GB/T19923-2024</w:t>
            </w:r>
            <w:r>
              <w:rPr>
                <w:rFonts w:hint="default" w:ascii="Times New Roman" w:hAnsi="Times New Roman" w:eastAsia="宋体" w:cs="Times New Roman"/>
                <w:color w:val="auto"/>
                <w:kern w:val="0"/>
                <w:sz w:val="24"/>
                <w:highlight w:val="none"/>
              </w:rPr>
              <w:t>）、《城市污水再生利用</w:t>
            </w:r>
            <w:r>
              <w:rPr>
                <w:rFonts w:hint="default" w:ascii="Times New Roman" w:hAnsi="Times New Roman" w:eastAsia="宋体" w:cs="Times New Roman"/>
                <w:color w:val="auto"/>
                <w:kern w:val="0"/>
                <w:sz w:val="24"/>
                <w:highlight w:val="none"/>
                <w:lang w:val="en-US" w:eastAsia="zh-CN"/>
              </w:rPr>
              <w:t xml:space="preserve"> </w:t>
            </w:r>
            <w:r>
              <w:rPr>
                <w:rFonts w:hint="default" w:ascii="Times New Roman" w:hAnsi="Times New Roman" w:eastAsia="宋体" w:cs="Times New Roman"/>
                <w:color w:val="auto"/>
                <w:kern w:val="0"/>
                <w:sz w:val="24"/>
                <w:highlight w:val="none"/>
                <w:lang w:eastAsia="zh-CN"/>
              </w:rPr>
              <w:t>城市杂用水水质</w:t>
            </w:r>
            <w:r>
              <w:rPr>
                <w:rFonts w:hint="default" w:ascii="Times New Roman" w:hAnsi="Times New Roman" w:eastAsia="宋体" w:cs="Times New Roman"/>
                <w:color w:val="auto"/>
                <w:kern w:val="0"/>
                <w:sz w:val="24"/>
                <w:highlight w:val="none"/>
              </w:rPr>
              <w:t>》（</w:t>
            </w:r>
            <w:r>
              <w:rPr>
                <w:rFonts w:hint="default" w:ascii="Times New Roman" w:hAnsi="Times New Roman" w:eastAsia="宋体" w:cs="Times New Roman"/>
                <w:color w:val="auto"/>
                <w:kern w:val="0"/>
                <w:sz w:val="24"/>
                <w:highlight w:val="none"/>
                <w:lang w:eastAsia="zh-CN"/>
              </w:rPr>
              <w:t>GB/T18920-2020</w:t>
            </w:r>
            <w:r>
              <w:rPr>
                <w:rFonts w:hint="default" w:ascii="Times New Roman" w:hAnsi="Times New Roman" w:eastAsia="宋体" w:cs="Times New Roman"/>
                <w:color w:val="auto"/>
                <w:kern w:val="0"/>
                <w:sz w:val="24"/>
                <w:highlight w:val="none"/>
              </w:rPr>
              <w:t>）</w:t>
            </w:r>
            <w:r>
              <w:rPr>
                <w:rFonts w:hint="default" w:ascii="Times New Roman" w:hAnsi="Times New Roman" w:eastAsia="宋体" w:cs="Times New Roman"/>
                <w:color w:val="auto"/>
                <w:kern w:val="0"/>
                <w:sz w:val="24"/>
                <w:highlight w:val="none"/>
                <w:lang w:val="en-US" w:eastAsia="zh-CN"/>
              </w:rPr>
              <w:t>标准</w:t>
            </w:r>
            <w:r>
              <w:rPr>
                <w:rFonts w:hint="default" w:ascii="Times New Roman" w:hAnsi="Times New Roman" w:eastAsia="宋体" w:cs="Times New Roman"/>
                <w:color w:val="auto"/>
                <w:kern w:val="0"/>
                <w:sz w:val="24"/>
                <w:highlight w:val="none"/>
              </w:rPr>
              <w:t>。</w:t>
            </w:r>
          </w:p>
          <w:p w14:paraId="2960D7A0">
            <w:pPr>
              <w:spacing w:line="360" w:lineRule="auto"/>
              <w:ind w:firstLine="0" w:firstLineChars="0"/>
              <w:jc w:val="right"/>
              <w:rPr>
                <w:rFonts w:hint="default" w:ascii="Times New Roman" w:hAnsi="Times New Roman" w:eastAsia="宋体" w:cs="Times New Roman"/>
                <w:b/>
                <w:bCs/>
                <w:color w:val="auto"/>
                <w:sz w:val="24"/>
                <w:szCs w:val="20"/>
              </w:rPr>
            </w:pPr>
            <w:r>
              <w:rPr>
                <w:rFonts w:hint="default" w:ascii="Times New Roman" w:hAnsi="Times New Roman" w:eastAsia="宋体" w:cs="Times New Roman"/>
                <w:b/>
                <w:bCs/>
                <w:color w:val="auto"/>
                <w:sz w:val="24"/>
                <w:szCs w:val="20"/>
              </w:rPr>
              <w:t>表</w:t>
            </w:r>
            <w:r>
              <w:rPr>
                <w:rFonts w:hint="default" w:ascii="Times New Roman" w:hAnsi="Times New Roman" w:eastAsia="宋体" w:cs="Times New Roman"/>
                <w:b/>
                <w:bCs/>
                <w:color w:val="auto"/>
                <w:sz w:val="24"/>
                <w:szCs w:val="20"/>
                <w:lang w:val="en-US" w:eastAsia="zh-CN"/>
              </w:rPr>
              <w:t>3-6</w:t>
            </w:r>
            <w:r>
              <w:rPr>
                <w:rFonts w:hint="eastAsia" w:cs="Times New Roman"/>
                <w:b/>
                <w:bCs/>
                <w:color w:val="auto"/>
                <w:sz w:val="24"/>
                <w:szCs w:val="20"/>
                <w:lang w:val="en-US" w:eastAsia="zh-CN"/>
              </w:rPr>
              <w:t>：</w:t>
            </w:r>
            <w:r>
              <w:rPr>
                <w:rFonts w:hint="default" w:ascii="Times New Roman" w:hAnsi="Times New Roman" w:eastAsia="宋体" w:cs="Times New Roman"/>
                <w:b/>
                <w:bCs/>
                <w:color w:val="auto"/>
                <w:sz w:val="24"/>
                <w:szCs w:val="20"/>
              </w:rPr>
              <w:t>本</w:t>
            </w:r>
            <w:r>
              <w:rPr>
                <w:rFonts w:hint="default" w:ascii="Times New Roman" w:hAnsi="Times New Roman" w:eastAsia="宋体" w:cs="Times New Roman"/>
                <w:b/>
                <w:bCs/>
                <w:color w:val="auto"/>
                <w:sz w:val="24"/>
                <w:szCs w:val="20"/>
                <w:lang w:val="en-US" w:eastAsia="zh-CN"/>
              </w:rPr>
              <w:t>项目主要</w:t>
            </w:r>
            <w:r>
              <w:rPr>
                <w:rFonts w:hint="default" w:ascii="Times New Roman" w:hAnsi="Times New Roman" w:eastAsia="宋体" w:cs="Times New Roman"/>
                <w:b/>
                <w:bCs/>
                <w:color w:val="auto"/>
                <w:sz w:val="24"/>
                <w:szCs w:val="20"/>
              </w:rPr>
              <w:t>出水水质标准一览表</w:t>
            </w:r>
            <w:r>
              <w:rPr>
                <w:rFonts w:hint="default" w:ascii="Times New Roman" w:hAnsi="Times New Roman" w:eastAsia="宋体" w:cs="Times New Roman"/>
                <w:b/>
                <w:bCs/>
                <w:color w:val="auto"/>
                <w:sz w:val="24"/>
                <w:szCs w:val="20"/>
                <w:lang w:val="en-US" w:eastAsia="zh-CN"/>
              </w:rPr>
              <w:t xml:space="preserve">       </w:t>
            </w:r>
            <w:r>
              <w:rPr>
                <w:rFonts w:hint="default" w:ascii="Times New Roman" w:hAnsi="Times New Roman" w:eastAsia="宋体" w:cs="Times New Roman"/>
                <w:b/>
                <w:bCs/>
                <w:color w:val="auto"/>
                <w:sz w:val="24"/>
                <w:szCs w:val="20"/>
              </w:rPr>
              <w:t>单位：</w:t>
            </w:r>
            <w:r>
              <w:rPr>
                <w:rFonts w:hint="eastAsia" w:cs="Times New Roman"/>
                <w:b/>
                <w:bCs/>
                <w:color w:val="auto"/>
                <w:sz w:val="24"/>
                <w:szCs w:val="20"/>
                <w:lang w:eastAsia="zh-CN"/>
              </w:rPr>
              <w:t>m</w:t>
            </w:r>
            <w:r>
              <w:rPr>
                <w:rFonts w:hint="default" w:ascii="Times New Roman" w:hAnsi="Times New Roman" w:eastAsia="宋体" w:cs="Times New Roman"/>
                <w:b/>
                <w:bCs/>
                <w:color w:val="auto"/>
                <w:sz w:val="24"/>
                <w:szCs w:val="20"/>
              </w:rPr>
              <w:t>g/L</w:t>
            </w:r>
          </w:p>
          <w:tbl>
            <w:tblPr>
              <w:tblStyle w:val="10"/>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955"/>
              <w:gridCol w:w="1956"/>
              <w:gridCol w:w="1310"/>
              <w:gridCol w:w="1031"/>
              <w:gridCol w:w="929"/>
              <w:gridCol w:w="1360"/>
              <w:gridCol w:w="770"/>
            </w:tblGrid>
            <w:tr w14:paraId="3B973BD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vMerge w:val="restart"/>
                  <w:noWrap w:val="0"/>
                  <w:vAlign w:val="center"/>
                </w:tcPr>
                <w:p w14:paraId="10AD76C9">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kern w:val="0"/>
                      <w:sz w:val="21"/>
                      <w:szCs w:val="21"/>
                      <w:lang w:val="en-US" w:eastAsia="en-US" w:bidi="ar-SA"/>
                    </w:rPr>
                  </w:pPr>
                  <w:r>
                    <w:rPr>
                      <w:rFonts w:hint="default" w:ascii="Times New Roman" w:hAnsi="Times New Roman" w:eastAsia="宋体" w:cs="Times New Roman"/>
                      <w:b/>
                      <w:bCs w:val="0"/>
                      <w:color w:val="auto"/>
                      <w:spacing w:val="1"/>
                      <w:kern w:val="0"/>
                      <w:sz w:val="21"/>
                      <w:szCs w:val="21"/>
                      <w:lang w:val="en-US" w:eastAsia="en-US" w:bidi="ar-SA"/>
                    </w:rPr>
                    <w:t>污染物名称</w:t>
                  </w:r>
                </w:p>
              </w:tc>
              <w:tc>
                <w:tcPr>
                  <w:tcW w:w="1177" w:type="pct"/>
                  <w:noWrap w:val="0"/>
                  <w:vAlign w:val="center"/>
                </w:tcPr>
                <w:p w14:paraId="729690FD">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《城镇污水处理厂污染物排放标准》（GB18918-2002）及其修改单</w:t>
                  </w:r>
                </w:p>
              </w:tc>
              <w:tc>
                <w:tcPr>
                  <w:tcW w:w="1408" w:type="pct"/>
                  <w:gridSpan w:val="2"/>
                  <w:noWrap w:val="0"/>
                  <w:vAlign w:val="center"/>
                </w:tcPr>
                <w:p w14:paraId="76F38D4B">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《城市污水再生利用 工业用水水质》</w:t>
                  </w:r>
                </w:p>
                <w:p w14:paraId="6E9C7003">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（GB/T19923-2024）标准</w:t>
                  </w:r>
                </w:p>
              </w:tc>
              <w:tc>
                <w:tcPr>
                  <w:tcW w:w="1377" w:type="pct"/>
                  <w:gridSpan w:val="2"/>
                  <w:noWrap w:val="0"/>
                  <w:vAlign w:val="center"/>
                </w:tcPr>
                <w:p w14:paraId="3425E822">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《城市污水再生利用 城市杂用水水质》（GB/T18920-2020）</w:t>
                  </w:r>
                </w:p>
              </w:tc>
              <w:tc>
                <w:tcPr>
                  <w:tcW w:w="461" w:type="pct"/>
                  <w:vMerge w:val="restart"/>
                  <w:noWrap w:val="0"/>
                  <w:vAlign w:val="center"/>
                </w:tcPr>
                <w:p w14:paraId="7DF1E3FD">
                  <w:pPr>
                    <w:widowControl w:val="0"/>
                    <w:kinsoku w:val="0"/>
                    <w:overflowPunct w:val="0"/>
                    <w:spacing w:line="240" w:lineRule="auto"/>
                    <w:ind w:firstLine="0" w:firstLineChars="0"/>
                    <w:contextualSpacing/>
                    <w:jc w:val="center"/>
                    <w:rPr>
                      <w:rFonts w:hint="default" w:ascii="Times New Roman" w:hAnsi="Times New Roman" w:eastAsia="宋体" w:cs="Times New Roman"/>
                      <w:bCs/>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本项目设计出水水质</w:t>
                  </w:r>
                </w:p>
              </w:tc>
            </w:tr>
            <w:tr w14:paraId="1858DF3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vMerge w:val="continue"/>
                  <w:noWrap w:val="0"/>
                  <w:vAlign w:val="center"/>
                </w:tcPr>
                <w:p w14:paraId="06821EB1">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en-US" w:bidi="ar-SA"/>
                    </w:rPr>
                  </w:pPr>
                </w:p>
              </w:tc>
              <w:tc>
                <w:tcPr>
                  <w:tcW w:w="1177" w:type="pct"/>
                  <w:noWrap w:val="0"/>
                  <w:vAlign w:val="center"/>
                </w:tcPr>
                <w:p w14:paraId="5940AEF3">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一级A标准</w:t>
                  </w:r>
                </w:p>
              </w:tc>
              <w:tc>
                <w:tcPr>
                  <w:tcW w:w="788" w:type="pct"/>
                  <w:noWrap w:val="0"/>
                  <w:vAlign w:val="center"/>
                </w:tcPr>
                <w:p w14:paraId="49EC6702">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间冷开式循环冷却水补充水、锅炉补给水、工艺用水、产品用水</w:t>
                  </w:r>
                </w:p>
              </w:tc>
              <w:tc>
                <w:tcPr>
                  <w:tcW w:w="619" w:type="pct"/>
                  <w:noWrap w:val="0"/>
                  <w:vAlign w:val="center"/>
                </w:tcPr>
                <w:p w14:paraId="55944A8F">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直流冷却水、洗涤用水</w:t>
                  </w:r>
                </w:p>
              </w:tc>
              <w:tc>
                <w:tcPr>
                  <w:tcW w:w="559" w:type="pct"/>
                  <w:noWrap w:val="0"/>
                  <w:vAlign w:val="center"/>
                </w:tcPr>
                <w:p w14:paraId="60ECC1B5">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冲厕、车辆冲洗</w:t>
                  </w:r>
                </w:p>
              </w:tc>
              <w:tc>
                <w:tcPr>
                  <w:tcW w:w="818" w:type="pct"/>
                  <w:noWrap w:val="0"/>
                  <w:vAlign w:val="center"/>
                </w:tcPr>
                <w:p w14:paraId="5D9208EF">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城市绿化、道路清扫、消防、</w:t>
                  </w:r>
                  <w:r>
                    <w:rPr>
                      <w:rFonts w:hint="eastAsia" w:cs="Times New Roman"/>
                      <w:b/>
                      <w:bCs w:val="0"/>
                      <w:color w:val="auto"/>
                      <w:spacing w:val="1"/>
                      <w:kern w:val="0"/>
                      <w:sz w:val="21"/>
                      <w:szCs w:val="21"/>
                      <w:lang w:val="en-US" w:eastAsia="zh-CN" w:bidi="ar-SA"/>
                    </w:rPr>
                    <w:t>建筑</w:t>
                  </w:r>
                  <w:r>
                    <w:rPr>
                      <w:rFonts w:hint="default" w:ascii="Times New Roman" w:hAnsi="Times New Roman" w:eastAsia="宋体" w:cs="Times New Roman"/>
                      <w:b/>
                      <w:bCs w:val="0"/>
                      <w:color w:val="auto"/>
                      <w:spacing w:val="1"/>
                      <w:kern w:val="0"/>
                      <w:sz w:val="21"/>
                      <w:szCs w:val="21"/>
                      <w:lang w:val="en-US" w:eastAsia="zh-CN" w:bidi="ar-SA"/>
                    </w:rPr>
                    <w:t>施工</w:t>
                  </w:r>
                </w:p>
              </w:tc>
              <w:tc>
                <w:tcPr>
                  <w:tcW w:w="461" w:type="pct"/>
                  <w:vMerge w:val="continue"/>
                  <w:noWrap w:val="0"/>
                  <w:vAlign w:val="center"/>
                </w:tcPr>
                <w:p w14:paraId="572E807D">
                  <w:pPr>
                    <w:widowControl w:val="0"/>
                    <w:kinsoku w:val="0"/>
                    <w:overflowPunct w:val="0"/>
                    <w:spacing w:line="240" w:lineRule="auto"/>
                    <w:ind w:firstLine="0" w:firstLineChars="0"/>
                    <w:contextualSpacing/>
                    <w:jc w:val="center"/>
                    <w:rPr>
                      <w:rFonts w:hint="default" w:ascii="Times New Roman" w:hAnsi="Times New Roman" w:eastAsia="宋体" w:cs="Times New Roman"/>
                      <w:bCs/>
                      <w:color w:val="auto"/>
                      <w:spacing w:val="1"/>
                      <w:kern w:val="0"/>
                      <w:sz w:val="21"/>
                      <w:szCs w:val="21"/>
                      <w:lang w:val="en-US" w:eastAsia="zh-CN" w:bidi="ar-SA"/>
                    </w:rPr>
                  </w:pPr>
                </w:p>
              </w:tc>
            </w:tr>
            <w:tr w14:paraId="05FCA6F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noWrap w:val="0"/>
                  <w:vAlign w:val="center"/>
                </w:tcPr>
                <w:p w14:paraId="1BB20141">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p</w:t>
                  </w:r>
                  <w:r>
                    <w:rPr>
                      <w:rFonts w:hint="default" w:ascii="Times New Roman" w:hAnsi="Times New Roman" w:eastAsia="宋体" w:cs="Times New Roman"/>
                      <w:color w:val="auto"/>
                      <w:kern w:val="0"/>
                      <w:sz w:val="21"/>
                      <w:szCs w:val="21"/>
                      <w:lang w:val="en-US" w:eastAsia="zh-CN" w:bidi="ar-SA"/>
                    </w:rPr>
                    <w:t>H</w:t>
                  </w:r>
                  <w:r>
                    <w:rPr>
                      <w:rFonts w:hint="default" w:ascii="Times New Roman" w:hAnsi="Times New Roman" w:eastAsia="宋体" w:cs="Times New Roman"/>
                      <w:color w:val="auto"/>
                      <w:kern w:val="0"/>
                      <w:sz w:val="21"/>
                      <w:szCs w:val="21"/>
                      <w:lang w:val="en-US" w:eastAsia="en-US" w:bidi="ar-SA"/>
                    </w:rPr>
                    <w:t>值</w:t>
                  </w:r>
                </w:p>
              </w:tc>
              <w:tc>
                <w:tcPr>
                  <w:tcW w:w="1177" w:type="pct"/>
                  <w:noWrap w:val="0"/>
                  <w:vAlign w:val="center"/>
                </w:tcPr>
                <w:p w14:paraId="0B21B4FE">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6-9</w:t>
                  </w:r>
                </w:p>
              </w:tc>
              <w:tc>
                <w:tcPr>
                  <w:tcW w:w="788" w:type="pct"/>
                  <w:noWrap w:val="0"/>
                  <w:vAlign w:val="center"/>
                </w:tcPr>
                <w:p w14:paraId="2EEB941B">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6.0-9.0</w:t>
                  </w:r>
                </w:p>
              </w:tc>
              <w:tc>
                <w:tcPr>
                  <w:tcW w:w="619" w:type="pct"/>
                  <w:noWrap w:val="0"/>
                  <w:vAlign w:val="center"/>
                </w:tcPr>
                <w:p w14:paraId="05D24276">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6.0-9.0</w:t>
                  </w:r>
                </w:p>
              </w:tc>
              <w:tc>
                <w:tcPr>
                  <w:tcW w:w="559" w:type="pct"/>
                  <w:noWrap w:val="0"/>
                  <w:vAlign w:val="center"/>
                </w:tcPr>
                <w:p w14:paraId="10DCED73">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6.0-9.0</w:t>
                  </w:r>
                </w:p>
              </w:tc>
              <w:tc>
                <w:tcPr>
                  <w:tcW w:w="818" w:type="pct"/>
                  <w:noWrap w:val="0"/>
                  <w:vAlign w:val="center"/>
                </w:tcPr>
                <w:p w14:paraId="644A081C">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6.0-9.0</w:t>
                  </w:r>
                </w:p>
              </w:tc>
              <w:tc>
                <w:tcPr>
                  <w:tcW w:w="461" w:type="pct"/>
                  <w:noWrap w:val="0"/>
                  <w:vAlign w:val="center"/>
                </w:tcPr>
                <w:p w14:paraId="5BAE52D3">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6.0-9.0</w:t>
                  </w:r>
                </w:p>
              </w:tc>
            </w:tr>
            <w:tr w14:paraId="2A3ABE1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noWrap w:val="0"/>
                  <w:vAlign w:val="center"/>
                </w:tcPr>
                <w:p w14:paraId="3362799A">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色度/度</w:t>
                  </w:r>
                </w:p>
              </w:tc>
              <w:tc>
                <w:tcPr>
                  <w:tcW w:w="1177" w:type="pct"/>
                  <w:noWrap w:val="0"/>
                  <w:vAlign w:val="center"/>
                </w:tcPr>
                <w:p w14:paraId="41EDAC0B">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30</w:t>
                  </w:r>
                </w:p>
              </w:tc>
              <w:tc>
                <w:tcPr>
                  <w:tcW w:w="788" w:type="pct"/>
                  <w:noWrap w:val="0"/>
                  <w:vAlign w:val="center"/>
                </w:tcPr>
                <w:p w14:paraId="1A0A9C24">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20</w:t>
                  </w:r>
                </w:p>
              </w:tc>
              <w:tc>
                <w:tcPr>
                  <w:tcW w:w="619" w:type="pct"/>
                  <w:noWrap w:val="0"/>
                  <w:vAlign w:val="center"/>
                </w:tcPr>
                <w:p w14:paraId="73DDAB7D">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20</w:t>
                  </w:r>
                </w:p>
              </w:tc>
              <w:tc>
                <w:tcPr>
                  <w:tcW w:w="559" w:type="pct"/>
                  <w:noWrap w:val="0"/>
                  <w:vAlign w:val="center"/>
                </w:tcPr>
                <w:p w14:paraId="07195277">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w:t>
                  </w:r>
                </w:p>
              </w:tc>
              <w:tc>
                <w:tcPr>
                  <w:tcW w:w="818" w:type="pct"/>
                  <w:noWrap w:val="0"/>
                  <w:vAlign w:val="center"/>
                </w:tcPr>
                <w:p w14:paraId="6ACDF82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30</w:t>
                  </w:r>
                </w:p>
              </w:tc>
              <w:tc>
                <w:tcPr>
                  <w:tcW w:w="461" w:type="pct"/>
                  <w:noWrap w:val="0"/>
                  <w:vAlign w:val="center"/>
                </w:tcPr>
                <w:p w14:paraId="759E38EB">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w:t>
                  </w:r>
                </w:p>
              </w:tc>
            </w:tr>
            <w:tr w14:paraId="05449C6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noWrap w:val="0"/>
                  <w:vAlign w:val="center"/>
                </w:tcPr>
                <w:p w14:paraId="5096FC16">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浊度/NTU</w:t>
                  </w:r>
                </w:p>
              </w:tc>
              <w:tc>
                <w:tcPr>
                  <w:tcW w:w="1177" w:type="pct"/>
                  <w:noWrap w:val="0"/>
                  <w:vAlign w:val="center"/>
                </w:tcPr>
                <w:p w14:paraId="666F9AF6">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788" w:type="pct"/>
                  <w:noWrap w:val="0"/>
                  <w:vAlign w:val="center"/>
                </w:tcPr>
                <w:p w14:paraId="0A3AA6B0">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c>
                <w:tcPr>
                  <w:tcW w:w="619" w:type="pct"/>
                  <w:noWrap w:val="0"/>
                  <w:vAlign w:val="center"/>
                </w:tcPr>
                <w:p w14:paraId="0DA24D89">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559" w:type="pct"/>
                  <w:noWrap w:val="0"/>
                  <w:vAlign w:val="center"/>
                </w:tcPr>
                <w:p w14:paraId="5DE1BFA1">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c>
                <w:tcPr>
                  <w:tcW w:w="818" w:type="pct"/>
                  <w:noWrap w:val="0"/>
                  <w:vAlign w:val="center"/>
                </w:tcPr>
                <w:p w14:paraId="53360B73">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461" w:type="pct"/>
                  <w:noWrap w:val="0"/>
                  <w:vAlign w:val="center"/>
                </w:tcPr>
                <w:p w14:paraId="7F8303CF">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r>
            <w:tr w14:paraId="0739221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noWrap w:val="0"/>
                  <w:vAlign w:val="center"/>
                </w:tcPr>
                <w:p w14:paraId="4B56489E">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COD</w:t>
                  </w:r>
                </w:p>
              </w:tc>
              <w:tc>
                <w:tcPr>
                  <w:tcW w:w="1177" w:type="pct"/>
                  <w:noWrap w:val="0"/>
                  <w:vAlign w:val="center"/>
                </w:tcPr>
                <w:p w14:paraId="4967A6CA">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50</w:t>
                  </w:r>
                </w:p>
              </w:tc>
              <w:tc>
                <w:tcPr>
                  <w:tcW w:w="788" w:type="pct"/>
                  <w:noWrap w:val="0"/>
                  <w:vAlign w:val="center"/>
                </w:tcPr>
                <w:p w14:paraId="21B8CC94">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50</w:t>
                  </w:r>
                </w:p>
              </w:tc>
              <w:tc>
                <w:tcPr>
                  <w:tcW w:w="619" w:type="pct"/>
                  <w:noWrap w:val="0"/>
                  <w:vAlign w:val="center"/>
                </w:tcPr>
                <w:p w14:paraId="70D63090">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50</w:t>
                  </w:r>
                </w:p>
              </w:tc>
              <w:tc>
                <w:tcPr>
                  <w:tcW w:w="559" w:type="pct"/>
                  <w:noWrap w:val="0"/>
                  <w:vAlign w:val="center"/>
                </w:tcPr>
                <w:p w14:paraId="50D0FC27">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818" w:type="pct"/>
                  <w:noWrap w:val="0"/>
                  <w:vAlign w:val="center"/>
                </w:tcPr>
                <w:p w14:paraId="50E5B4CB">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461" w:type="pct"/>
                  <w:noWrap w:val="0"/>
                  <w:vAlign w:val="center"/>
                </w:tcPr>
                <w:p w14:paraId="2C364D90">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50</w:t>
                  </w:r>
                </w:p>
              </w:tc>
            </w:tr>
            <w:tr w14:paraId="2A3A7A7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noWrap w:val="0"/>
                  <w:vAlign w:val="center"/>
                </w:tcPr>
                <w:p w14:paraId="50140E23">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position w:val="2"/>
                      <w:sz w:val="21"/>
                      <w:szCs w:val="21"/>
                      <w:vertAlign w:val="baseline"/>
                      <w:lang w:val="en-US" w:eastAsia="zh-CN" w:bidi="ar-SA"/>
                    </w:rPr>
                    <w:t>BOD</w:t>
                  </w:r>
                  <w:r>
                    <w:rPr>
                      <w:rFonts w:hint="default" w:ascii="Times New Roman" w:hAnsi="Times New Roman" w:eastAsia="宋体" w:cs="Times New Roman"/>
                      <w:color w:val="auto"/>
                      <w:kern w:val="0"/>
                      <w:position w:val="2"/>
                      <w:sz w:val="21"/>
                      <w:szCs w:val="21"/>
                      <w:vertAlign w:val="subscript"/>
                      <w:lang w:val="en-US" w:eastAsia="zh-CN" w:bidi="ar-SA"/>
                    </w:rPr>
                    <w:t>5</w:t>
                  </w:r>
                </w:p>
              </w:tc>
              <w:tc>
                <w:tcPr>
                  <w:tcW w:w="1177" w:type="pct"/>
                  <w:noWrap w:val="0"/>
                  <w:vAlign w:val="center"/>
                </w:tcPr>
                <w:p w14:paraId="56725FAF">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788" w:type="pct"/>
                  <w:noWrap w:val="0"/>
                  <w:vAlign w:val="center"/>
                </w:tcPr>
                <w:p w14:paraId="30A2D7F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619" w:type="pct"/>
                  <w:noWrap w:val="0"/>
                  <w:vAlign w:val="center"/>
                </w:tcPr>
                <w:p w14:paraId="2E2C67A2">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559" w:type="pct"/>
                  <w:noWrap w:val="0"/>
                  <w:vAlign w:val="center"/>
                </w:tcPr>
                <w:p w14:paraId="4AED68AB">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818" w:type="pct"/>
                  <w:noWrap w:val="0"/>
                  <w:vAlign w:val="center"/>
                </w:tcPr>
                <w:p w14:paraId="5018F52D">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461" w:type="pct"/>
                  <w:noWrap w:val="0"/>
                  <w:vAlign w:val="center"/>
                </w:tcPr>
                <w:p w14:paraId="7F6D3F12">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6</w:t>
                  </w:r>
                </w:p>
              </w:tc>
            </w:tr>
            <w:tr w14:paraId="4F904C7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noWrap w:val="0"/>
                  <w:vAlign w:val="center"/>
                </w:tcPr>
                <w:p w14:paraId="076D16B6">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SS</w:t>
                  </w:r>
                </w:p>
              </w:tc>
              <w:tc>
                <w:tcPr>
                  <w:tcW w:w="1177" w:type="pct"/>
                  <w:noWrap w:val="0"/>
                  <w:vAlign w:val="center"/>
                </w:tcPr>
                <w:p w14:paraId="36A50B7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c>
                <w:tcPr>
                  <w:tcW w:w="788" w:type="pct"/>
                  <w:noWrap w:val="0"/>
                  <w:vAlign w:val="center"/>
                </w:tcPr>
                <w:p w14:paraId="04D00A5F">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619" w:type="pct"/>
                  <w:noWrap w:val="0"/>
                  <w:vAlign w:val="center"/>
                </w:tcPr>
                <w:p w14:paraId="47C20C57">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559" w:type="pct"/>
                  <w:noWrap w:val="0"/>
                  <w:vAlign w:val="center"/>
                </w:tcPr>
                <w:p w14:paraId="6C115511">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818" w:type="pct"/>
                  <w:noWrap w:val="0"/>
                  <w:vAlign w:val="center"/>
                </w:tcPr>
                <w:p w14:paraId="7285E16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461" w:type="pct"/>
                  <w:noWrap w:val="0"/>
                  <w:vAlign w:val="center"/>
                </w:tcPr>
                <w:p w14:paraId="0D555F4B">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r>
            <w:tr w14:paraId="3CCA0F2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noWrap w:val="0"/>
                  <w:vAlign w:val="center"/>
                </w:tcPr>
                <w:p w14:paraId="0B2F0D75">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N</w:t>
                  </w:r>
                  <w:r>
                    <w:rPr>
                      <w:rFonts w:hint="default" w:ascii="Times New Roman" w:hAnsi="Times New Roman" w:eastAsia="宋体" w:cs="Times New Roman"/>
                      <w:color w:val="auto"/>
                      <w:kern w:val="0"/>
                      <w:sz w:val="21"/>
                      <w:szCs w:val="21"/>
                      <w:vertAlign w:val="baseline"/>
                      <w:lang w:val="en-US" w:eastAsia="zh-CN" w:bidi="ar-SA"/>
                    </w:rPr>
                    <w:t>H</w:t>
                  </w:r>
                  <w:r>
                    <w:rPr>
                      <w:rFonts w:hint="default" w:ascii="Times New Roman" w:hAnsi="Times New Roman" w:eastAsia="宋体" w:cs="Times New Roman"/>
                      <w:color w:val="auto"/>
                      <w:kern w:val="0"/>
                      <w:sz w:val="21"/>
                      <w:szCs w:val="21"/>
                      <w:vertAlign w:val="subscript"/>
                      <w:lang w:val="en-US" w:eastAsia="zh-CN" w:bidi="ar-SA"/>
                    </w:rPr>
                    <w:t>3</w:t>
                  </w:r>
                  <w:r>
                    <w:rPr>
                      <w:rFonts w:hint="default" w:ascii="Times New Roman" w:hAnsi="Times New Roman" w:eastAsia="宋体" w:cs="Times New Roman"/>
                      <w:color w:val="auto"/>
                      <w:kern w:val="0"/>
                      <w:sz w:val="21"/>
                      <w:szCs w:val="21"/>
                      <w:lang w:val="en-US" w:eastAsia="zh-CN" w:bidi="ar-SA"/>
                    </w:rPr>
                    <w:t>-N</w:t>
                  </w:r>
                  <w:r>
                    <w:rPr>
                      <w:rFonts w:hint="default" w:ascii="Times New Roman" w:hAnsi="Times New Roman" w:eastAsia="宋体" w:cs="Times New Roman"/>
                      <w:color w:val="auto"/>
                      <w:kern w:val="0"/>
                      <w:sz w:val="21"/>
                      <w:szCs w:val="21"/>
                      <w:lang w:val="en-US" w:eastAsia="en-US" w:bidi="ar-SA"/>
                    </w:rPr>
                    <w:t>（以N计）</w:t>
                  </w:r>
                </w:p>
              </w:tc>
              <w:tc>
                <w:tcPr>
                  <w:tcW w:w="1177" w:type="pct"/>
                  <w:noWrap w:val="0"/>
                  <w:vAlign w:val="center"/>
                </w:tcPr>
                <w:p w14:paraId="5862F0C3">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r>
                    <w:rPr>
                      <w:rFonts w:hint="eastAsia" w:cs="Times New Roman"/>
                      <w:color w:val="auto"/>
                      <w:kern w:val="0"/>
                      <w:sz w:val="21"/>
                      <w:szCs w:val="21"/>
                      <w:lang w:val="en-US" w:eastAsia="zh-CN" w:bidi="ar-SA"/>
                    </w:rPr>
                    <w:t>（8）</w:t>
                  </w:r>
                </w:p>
              </w:tc>
              <w:tc>
                <w:tcPr>
                  <w:tcW w:w="788" w:type="pct"/>
                  <w:noWrap w:val="0"/>
                  <w:vAlign w:val="center"/>
                </w:tcPr>
                <w:p w14:paraId="05696B45">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r>
                    <w:rPr>
                      <w:rFonts w:hint="default" w:ascii="Times New Roman" w:hAnsi="Times New Roman" w:eastAsia="宋体" w:cs="Times New Roman"/>
                      <w:color w:val="auto"/>
                      <w:kern w:val="0"/>
                      <w:sz w:val="21"/>
                      <w:szCs w:val="21"/>
                      <w:vertAlign w:val="superscript"/>
                      <w:lang w:val="en-US" w:eastAsia="zh-CN" w:bidi="ar-SA"/>
                    </w:rPr>
                    <w:fldChar w:fldCharType="begin"/>
                  </w:r>
                  <w:r>
                    <w:rPr>
                      <w:rFonts w:hint="default" w:ascii="Times New Roman" w:hAnsi="Times New Roman" w:eastAsia="宋体" w:cs="Times New Roman"/>
                      <w:color w:val="auto"/>
                      <w:kern w:val="0"/>
                      <w:sz w:val="21"/>
                      <w:szCs w:val="21"/>
                      <w:vertAlign w:val="superscript"/>
                      <w:lang w:val="en-US" w:eastAsia="zh-CN" w:bidi="ar-SA"/>
                    </w:rPr>
                    <w:instrText xml:space="preserve"> = 2 \* GB3 </w:instrText>
                  </w:r>
                  <w:r>
                    <w:rPr>
                      <w:rFonts w:hint="default" w:ascii="Times New Roman" w:hAnsi="Times New Roman" w:eastAsia="宋体" w:cs="Times New Roman"/>
                      <w:color w:val="auto"/>
                      <w:kern w:val="0"/>
                      <w:sz w:val="21"/>
                      <w:szCs w:val="21"/>
                      <w:vertAlign w:val="superscript"/>
                      <w:lang w:val="en-US" w:eastAsia="zh-CN" w:bidi="ar-SA"/>
                    </w:rPr>
                    <w:fldChar w:fldCharType="separate"/>
                  </w:r>
                  <w:r>
                    <w:rPr>
                      <w:rFonts w:hint="default" w:ascii="Times New Roman" w:hAnsi="Times New Roman" w:eastAsia="宋体" w:cs="Times New Roman"/>
                      <w:color w:val="auto"/>
                      <w:kern w:val="0"/>
                      <w:sz w:val="21"/>
                      <w:szCs w:val="21"/>
                      <w:vertAlign w:val="superscript"/>
                      <w:lang w:val="en-US" w:eastAsia="zh-CN" w:bidi="ar-SA"/>
                    </w:rPr>
                    <w:t>②</w:t>
                  </w:r>
                  <w:r>
                    <w:rPr>
                      <w:rFonts w:hint="default" w:ascii="Times New Roman" w:hAnsi="Times New Roman" w:eastAsia="宋体" w:cs="Times New Roman"/>
                      <w:color w:val="auto"/>
                      <w:kern w:val="0"/>
                      <w:sz w:val="21"/>
                      <w:szCs w:val="21"/>
                      <w:vertAlign w:val="superscript"/>
                      <w:lang w:val="en-US" w:eastAsia="zh-CN" w:bidi="ar-SA"/>
                    </w:rPr>
                    <w:fldChar w:fldCharType="end"/>
                  </w:r>
                </w:p>
              </w:tc>
              <w:tc>
                <w:tcPr>
                  <w:tcW w:w="619" w:type="pct"/>
                  <w:noWrap w:val="0"/>
                  <w:vAlign w:val="center"/>
                </w:tcPr>
                <w:p w14:paraId="23CB483D">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c>
                <w:tcPr>
                  <w:tcW w:w="559" w:type="pct"/>
                  <w:noWrap w:val="0"/>
                  <w:vAlign w:val="center"/>
                </w:tcPr>
                <w:p w14:paraId="599F7B0C">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w:t>
                  </w:r>
                </w:p>
              </w:tc>
              <w:tc>
                <w:tcPr>
                  <w:tcW w:w="818" w:type="pct"/>
                  <w:noWrap w:val="0"/>
                  <w:vAlign w:val="center"/>
                </w:tcPr>
                <w:p w14:paraId="4D06A021">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8</w:t>
                  </w:r>
                </w:p>
              </w:tc>
              <w:tc>
                <w:tcPr>
                  <w:tcW w:w="461" w:type="pct"/>
                  <w:noWrap w:val="0"/>
                  <w:vAlign w:val="center"/>
                </w:tcPr>
                <w:p w14:paraId="46FC92B4">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3</w:t>
                  </w:r>
                </w:p>
              </w:tc>
            </w:tr>
            <w:tr w14:paraId="7764F7A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noWrap w:val="0"/>
                  <w:vAlign w:val="center"/>
                </w:tcPr>
                <w:p w14:paraId="7B334C6E">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TN</w:t>
                  </w:r>
                </w:p>
              </w:tc>
              <w:tc>
                <w:tcPr>
                  <w:tcW w:w="1177" w:type="pct"/>
                  <w:noWrap w:val="0"/>
                  <w:vAlign w:val="center"/>
                </w:tcPr>
                <w:p w14:paraId="27E0FD41">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w:t>
                  </w:r>
                </w:p>
              </w:tc>
              <w:tc>
                <w:tcPr>
                  <w:tcW w:w="788" w:type="pct"/>
                  <w:noWrap w:val="0"/>
                  <w:vAlign w:val="center"/>
                </w:tcPr>
                <w:p w14:paraId="1A0C9287">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w:t>
                  </w:r>
                </w:p>
              </w:tc>
              <w:tc>
                <w:tcPr>
                  <w:tcW w:w="619" w:type="pct"/>
                  <w:noWrap w:val="0"/>
                  <w:vAlign w:val="center"/>
                </w:tcPr>
                <w:p w14:paraId="7132A6C1">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w:t>
                  </w:r>
                </w:p>
              </w:tc>
              <w:tc>
                <w:tcPr>
                  <w:tcW w:w="559" w:type="pct"/>
                  <w:noWrap w:val="0"/>
                  <w:vAlign w:val="center"/>
                </w:tcPr>
                <w:p w14:paraId="272BEB75">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818" w:type="pct"/>
                  <w:noWrap w:val="0"/>
                  <w:vAlign w:val="center"/>
                </w:tcPr>
                <w:p w14:paraId="63435C54">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461" w:type="pct"/>
                  <w:noWrap w:val="0"/>
                  <w:vAlign w:val="center"/>
                </w:tcPr>
                <w:p w14:paraId="0485983C">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w:t>
                  </w:r>
                </w:p>
              </w:tc>
            </w:tr>
            <w:tr w14:paraId="3214001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noWrap w:val="0"/>
                  <w:vAlign w:val="center"/>
                </w:tcPr>
                <w:p w14:paraId="4994A2E6">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TP</w:t>
                  </w:r>
                </w:p>
              </w:tc>
              <w:tc>
                <w:tcPr>
                  <w:tcW w:w="1177" w:type="pct"/>
                  <w:noWrap w:val="0"/>
                  <w:vAlign w:val="center"/>
                </w:tcPr>
                <w:p w14:paraId="5448CB27">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0.5</w:t>
                  </w:r>
                </w:p>
              </w:tc>
              <w:tc>
                <w:tcPr>
                  <w:tcW w:w="788" w:type="pct"/>
                  <w:noWrap w:val="0"/>
                  <w:vAlign w:val="center"/>
                </w:tcPr>
                <w:p w14:paraId="2AC6326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0.5</w:t>
                  </w:r>
                </w:p>
              </w:tc>
              <w:tc>
                <w:tcPr>
                  <w:tcW w:w="619" w:type="pct"/>
                  <w:noWrap w:val="0"/>
                  <w:vAlign w:val="center"/>
                </w:tcPr>
                <w:p w14:paraId="5A6C9918">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0.5</w:t>
                  </w:r>
                </w:p>
              </w:tc>
              <w:tc>
                <w:tcPr>
                  <w:tcW w:w="559" w:type="pct"/>
                  <w:noWrap w:val="0"/>
                  <w:vAlign w:val="center"/>
                </w:tcPr>
                <w:p w14:paraId="36EF3319">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818" w:type="pct"/>
                  <w:noWrap w:val="0"/>
                  <w:vAlign w:val="center"/>
                </w:tcPr>
                <w:p w14:paraId="59DF2434">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461" w:type="pct"/>
                  <w:noWrap w:val="0"/>
                  <w:vAlign w:val="center"/>
                </w:tcPr>
                <w:p w14:paraId="28C2FE6D">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0.3</w:t>
                  </w:r>
                </w:p>
              </w:tc>
            </w:tr>
            <w:tr w14:paraId="307256C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575" w:type="pct"/>
                  <w:noWrap w:val="0"/>
                  <w:vAlign w:val="center"/>
                </w:tcPr>
                <w:p w14:paraId="7551C732">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spacing w:val="7"/>
                      <w:kern w:val="0"/>
                      <w:sz w:val="21"/>
                      <w:szCs w:val="21"/>
                      <w:lang w:val="en-US" w:eastAsia="zh-CN" w:bidi="ar-SA"/>
                    </w:rPr>
                    <w:t>备注</w:t>
                  </w:r>
                </w:p>
              </w:tc>
              <w:tc>
                <w:tcPr>
                  <w:tcW w:w="4424" w:type="pct"/>
                  <w:gridSpan w:val="6"/>
                  <w:noWrap w:val="0"/>
                  <w:vAlign w:val="center"/>
                </w:tcPr>
                <w:p w14:paraId="4DE9DC19">
                  <w:pPr>
                    <w:widowControl w:val="0"/>
                    <w:kinsoku w:val="0"/>
                    <w:overflowPunct w:val="0"/>
                    <w:spacing w:line="240" w:lineRule="auto"/>
                    <w:ind w:firstLine="0" w:firstLineChars="0"/>
                    <w:contextualSpacing/>
                    <w:jc w:val="both"/>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①括号外数值为水温＞12℃时的控制指标，括号内数值为水温＜12℃时的控制指标</w:t>
                  </w:r>
                </w:p>
                <w:p w14:paraId="1935247C">
                  <w:pPr>
                    <w:widowControl w:val="0"/>
                    <w:kinsoku w:val="0"/>
                    <w:overflowPunct w:val="0"/>
                    <w:spacing w:line="240" w:lineRule="auto"/>
                    <w:ind w:firstLine="0" w:firstLineChars="0"/>
                    <w:contextualSpacing/>
                    <w:jc w:val="both"/>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②用于间冷开式循环冷却水系统补充水，且换热器为铜合金材质时，氨氮指标应小于1</w:t>
                  </w:r>
                  <w:r>
                    <w:rPr>
                      <w:rFonts w:hint="eastAsia" w:cs="Times New Roman"/>
                      <w:color w:val="auto"/>
                      <w:kern w:val="0"/>
                      <w:sz w:val="21"/>
                      <w:szCs w:val="21"/>
                      <w:lang w:val="en-US" w:eastAsia="zh-CN" w:bidi="ar-SA"/>
                    </w:rPr>
                    <w:t>m</w:t>
                  </w:r>
                  <w:r>
                    <w:rPr>
                      <w:rFonts w:hint="default" w:ascii="Times New Roman" w:hAnsi="Times New Roman" w:eastAsia="宋体" w:cs="Times New Roman"/>
                      <w:color w:val="auto"/>
                      <w:kern w:val="0"/>
                      <w:sz w:val="21"/>
                      <w:szCs w:val="21"/>
                      <w:lang w:val="en-US" w:eastAsia="zh-CN" w:bidi="ar-SA"/>
                    </w:rPr>
                    <w:t>g/L。</w:t>
                  </w:r>
                </w:p>
              </w:tc>
            </w:tr>
          </w:tbl>
          <w:p w14:paraId="0908B16C">
            <w:pPr>
              <w:spacing w:before="240" w:line="360" w:lineRule="auto"/>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lang w:val="en-US" w:eastAsia="zh-CN"/>
              </w:rPr>
              <w:t>3</w:t>
            </w:r>
            <w:r>
              <w:rPr>
                <w:rFonts w:hint="default" w:ascii="Times New Roman" w:hAnsi="Times New Roman" w:eastAsia="宋体" w:cs="Times New Roman"/>
                <w:b/>
                <w:color w:val="auto"/>
                <w:sz w:val="24"/>
                <w:highlight w:val="none"/>
              </w:rPr>
              <w:t>.噪声排放标准</w:t>
            </w:r>
          </w:p>
          <w:p w14:paraId="2D8B33E8">
            <w:pPr>
              <w:spacing w:line="312"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施工噪声执行《建筑施工场界环境噪声排放标准》（GB12523-2011）的标准限值；运营期厂界噪声执行《工业企业厂界环境噪声排放标准》（GB12348-2008）中</w:t>
            </w:r>
            <w:r>
              <w:rPr>
                <w:rFonts w:hint="default" w:ascii="Times New Roman" w:hAnsi="Times New Roman" w:eastAsia="宋体" w:cs="Times New Roman"/>
                <w:color w:val="auto"/>
                <w:kern w:val="0"/>
                <w:sz w:val="24"/>
                <w:highlight w:val="none"/>
                <w:lang w:val="en-US" w:eastAsia="zh-CN"/>
              </w:rPr>
              <w:t>2</w:t>
            </w:r>
            <w:r>
              <w:rPr>
                <w:rFonts w:hint="default" w:ascii="Times New Roman" w:hAnsi="Times New Roman" w:eastAsia="宋体" w:cs="Times New Roman"/>
                <w:color w:val="auto"/>
                <w:kern w:val="0"/>
                <w:sz w:val="24"/>
                <w:highlight w:val="none"/>
              </w:rPr>
              <w:t>类标准限值，具体指标见表3-</w:t>
            </w:r>
            <w:r>
              <w:rPr>
                <w:rFonts w:hint="default" w:ascii="Times New Roman" w:hAnsi="Times New Roman" w:eastAsia="宋体" w:cs="Times New Roman"/>
                <w:color w:val="auto"/>
                <w:kern w:val="0"/>
                <w:sz w:val="24"/>
                <w:highlight w:val="none"/>
                <w:lang w:val="en-US" w:eastAsia="zh-CN"/>
              </w:rPr>
              <w:t>7</w:t>
            </w:r>
            <w:r>
              <w:rPr>
                <w:rFonts w:hint="default" w:ascii="Times New Roman" w:hAnsi="Times New Roman" w:eastAsia="宋体" w:cs="Times New Roman"/>
                <w:color w:val="auto"/>
                <w:kern w:val="0"/>
                <w:sz w:val="24"/>
                <w:highlight w:val="none"/>
              </w:rPr>
              <w:t>。</w:t>
            </w:r>
          </w:p>
          <w:p w14:paraId="5053238C">
            <w:pPr>
              <w:pStyle w:val="16"/>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表3-</w:t>
            </w:r>
            <w:r>
              <w:rPr>
                <w:rFonts w:hint="default" w:ascii="Times New Roman" w:hAnsi="Times New Roman" w:eastAsia="宋体" w:cs="Times New Roman"/>
                <w:color w:val="auto"/>
                <w:highlight w:val="none"/>
                <w:lang w:val="en-US" w:eastAsia="zh-CN"/>
              </w:rPr>
              <w:t>7</w:t>
            </w:r>
            <w:r>
              <w:rPr>
                <w:rFonts w:hint="eastAsia" w:cs="Times New Roman"/>
                <w:color w:val="auto"/>
                <w:highlight w:val="none"/>
                <w:lang w:val="en-US" w:eastAsia="zh-CN"/>
              </w:rPr>
              <w:t>：</w:t>
            </w:r>
            <w:r>
              <w:rPr>
                <w:rFonts w:hint="default" w:ascii="Times New Roman" w:hAnsi="Times New Roman" w:eastAsia="宋体" w:cs="Times New Roman"/>
                <w:color w:val="auto"/>
                <w:highlight w:val="none"/>
              </w:rPr>
              <w:t>噪声排放标准一览表</w:t>
            </w:r>
          </w:p>
          <w:tbl>
            <w:tblPr>
              <w:tblStyle w:val="10"/>
              <w:tblW w:w="8222"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189"/>
              <w:gridCol w:w="1526"/>
              <w:gridCol w:w="1506"/>
              <w:gridCol w:w="4001"/>
            </w:tblGrid>
            <w:tr w14:paraId="38536B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restart"/>
                  <w:vAlign w:val="center"/>
                </w:tcPr>
                <w:p w14:paraId="20878AA7">
                  <w:pPr>
                    <w:widowControl/>
                    <w:adjustRightInd w:val="0"/>
                    <w:snapToGrid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时期</w:t>
                  </w:r>
                </w:p>
              </w:tc>
              <w:tc>
                <w:tcPr>
                  <w:tcW w:w="1844" w:type="pct"/>
                  <w:gridSpan w:val="2"/>
                  <w:tcBorders>
                    <w:right w:val="single" w:color="000000" w:sz="8" w:space="0"/>
                  </w:tcBorders>
                  <w:vAlign w:val="center"/>
                </w:tcPr>
                <w:p w14:paraId="0ADEE583">
                  <w:pPr>
                    <w:adjustRightInd w:val="0"/>
                    <w:snapToGrid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噪声限值Le〔dB（A）〕</w:t>
                  </w:r>
                </w:p>
              </w:tc>
              <w:tc>
                <w:tcPr>
                  <w:tcW w:w="2433" w:type="pct"/>
                  <w:vMerge w:val="restart"/>
                  <w:tcBorders>
                    <w:left w:val="single" w:color="000000" w:sz="8" w:space="0"/>
                  </w:tcBorders>
                  <w:vAlign w:val="center"/>
                </w:tcPr>
                <w:p w14:paraId="241798F3">
                  <w:pPr>
                    <w:adjustRightInd w:val="0"/>
                    <w:snapToGrid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排放标准</w:t>
                  </w:r>
                </w:p>
              </w:tc>
            </w:tr>
            <w:tr w14:paraId="2A51F6C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continue"/>
                  <w:vAlign w:val="center"/>
                </w:tcPr>
                <w:p w14:paraId="734699AA">
                  <w:pPr>
                    <w:widowControl/>
                    <w:adjustRightInd w:val="0"/>
                    <w:snapToGrid w:val="0"/>
                    <w:jc w:val="center"/>
                    <w:rPr>
                      <w:rFonts w:hint="default" w:ascii="Times New Roman" w:hAnsi="Times New Roman" w:eastAsia="宋体" w:cs="Times New Roman"/>
                      <w:b/>
                      <w:bCs/>
                      <w:color w:val="auto"/>
                      <w:kern w:val="0"/>
                      <w:sz w:val="21"/>
                      <w:szCs w:val="21"/>
                      <w:highlight w:val="none"/>
                    </w:rPr>
                  </w:pPr>
                </w:p>
              </w:tc>
              <w:tc>
                <w:tcPr>
                  <w:tcW w:w="928" w:type="pct"/>
                  <w:vAlign w:val="center"/>
                </w:tcPr>
                <w:p w14:paraId="76821507">
                  <w:pPr>
                    <w:adjustRightInd w:val="0"/>
                    <w:snapToGrid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昼间</w:t>
                  </w:r>
                </w:p>
              </w:tc>
              <w:tc>
                <w:tcPr>
                  <w:tcW w:w="916" w:type="pct"/>
                  <w:tcBorders>
                    <w:right w:val="single" w:color="000000" w:sz="8" w:space="0"/>
                  </w:tcBorders>
                  <w:vAlign w:val="center"/>
                </w:tcPr>
                <w:p w14:paraId="776D9A90">
                  <w:pPr>
                    <w:widowControl/>
                    <w:adjustRightInd w:val="0"/>
                    <w:snapToGrid w:val="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夜间</w:t>
                  </w:r>
                </w:p>
              </w:tc>
              <w:tc>
                <w:tcPr>
                  <w:tcW w:w="2433" w:type="pct"/>
                  <w:vMerge w:val="continue"/>
                  <w:tcBorders>
                    <w:left w:val="single" w:color="000000" w:sz="8" w:space="0"/>
                  </w:tcBorders>
                  <w:vAlign w:val="center"/>
                </w:tcPr>
                <w:p w14:paraId="42CF6B3E">
                  <w:pPr>
                    <w:adjustRightInd w:val="0"/>
                    <w:snapToGrid w:val="0"/>
                    <w:jc w:val="center"/>
                    <w:rPr>
                      <w:rFonts w:hint="default" w:ascii="Times New Roman" w:hAnsi="Times New Roman" w:eastAsia="宋体" w:cs="Times New Roman"/>
                      <w:b/>
                      <w:bCs/>
                      <w:color w:val="auto"/>
                      <w:kern w:val="0"/>
                      <w:sz w:val="21"/>
                      <w:szCs w:val="21"/>
                      <w:highlight w:val="none"/>
                    </w:rPr>
                  </w:pPr>
                </w:p>
              </w:tc>
            </w:tr>
            <w:tr w14:paraId="28DB75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Align w:val="center"/>
                </w:tcPr>
                <w:p w14:paraId="2574EE30">
                  <w:pPr>
                    <w:widowControl/>
                    <w:adjustRightInd w:val="0"/>
                    <w:snapToGrid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施工期</w:t>
                  </w:r>
                </w:p>
              </w:tc>
              <w:tc>
                <w:tcPr>
                  <w:tcW w:w="928" w:type="pct"/>
                  <w:vAlign w:val="center"/>
                </w:tcPr>
                <w:p w14:paraId="11E25C44">
                  <w:pPr>
                    <w:adjustRightInd w:val="0"/>
                    <w:snapToGrid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70</w:t>
                  </w:r>
                </w:p>
              </w:tc>
              <w:tc>
                <w:tcPr>
                  <w:tcW w:w="916" w:type="pct"/>
                  <w:tcBorders>
                    <w:right w:val="single" w:color="000000" w:sz="8" w:space="0"/>
                  </w:tcBorders>
                  <w:vAlign w:val="center"/>
                </w:tcPr>
                <w:p w14:paraId="33FA525A">
                  <w:pPr>
                    <w:widowControl/>
                    <w:adjustRightInd w:val="0"/>
                    <w:snapToGrid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55</w:t>
                  </w:r>
                </w:p>
              </w:tc>
              <w:tc>
                <w:tcPr>
                  <w:tcW w:w="2433" w:type="pct"/>
                  <w:tcBorders>
                    <w:left w:val="single" w:color="000000" w:sz="8" w:space="0"/>
                  </w:tcBorders>
                  <w:vAlign w:val="center"/>
                </w:tcPr>
                <w:p w14:paraId="253622A2">
                  <w:pPr>
                    <w:adjustRightInd w:val="0"/>
                    <w:snapToGrid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《建筑施工场界环境噪声排放标准》（GB12523-2011）</w:t>
                  </w:r>
                </w:p>
              </w:tc>
            </w:tr>
            <w:tr w14:paraId="520069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Align w:val="center"/>
                </w:tcPr>
                <w:p w14:paraId="0643D262">
                  <w:pPr>
                    <w:adjustRightInd w:val="0"/>
                    <w:snapToGrid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运营期</w:t>
                  </w:r>
                </w:p>
              </w:tc>
              <w:tc>
                <w:tcPr>
                  <w:tcW w:w="928" w:type="pct"/>
                  <w:vAlign w:val="center"/>
                </w:tcPr>
                <w:p w14:paraId="72EAABF3">
                  <w:pPr>
                    <w:adjustRightInd w:val="0"/>
                    <w:snapToGrid w:val="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60</w:t>
                  </w:r>
                </w:p>
              </w:tc>
              <w:tc>
                <w:tcPr>
                  <w:tcW w:w="916" w:type="pct"/>
                  <w:tcBorders>
                    <w:right w:val="single" w:color="000000" w:sz="8" w:space="0"/>
                  </w:tcBorders>
                  <w:vAlign w:val="center"/>
                </w:tcPr>
                <w:p w14:paraId="2FD38BE1">
                  <w:pPr>
                    <w:adjustRightInd w:val="0"/>
                    <w:snapToGrid w:val="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50</w:t>
                  </w:r>
                </w:p>
              </w:tc>
              <w:tc>
                <w:tcPr>
                  <w:tcW w:w="2433" w:type="pct"/>
                  <w:tcBorders>
                    <w:left w:val="single" w:color="000000" w:sz="8" w:space="0"/>
                  </w:tcBorders>
                  <w:vAlign w:val="center"/>
                </w:tcPr>
                <w:p w14:paraId="61AA014A">
                  <w:pPr>
                    <w:adjustRightInd w:val="0"/>
                    <w:snapToGrid w:val="0"/>
                    <w:jc w:val="center"/>
                    <w:rPr>
                      <w:rFonts w:hint="eastAsia"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rPr>
                    <w:t>《工业企业厂界环境噪声排放标准》（GB12348-2008）中</w:t>
                  </w:r>
                  <w:r>
                    <w:rPr>
                      <w:rFonts w:hint="default" w:ascii="Times New Roman" w:hAnsi="Times New Roman" w:eastAsia="宋体" w:cs="Times New Roman"/>
                      <w:color w:val="auto"/>
                      <w:kern w:val="0"/>
                      <w:sz w:val="21"/>
                      <w:szCs w:val="21"/>
                      <w:highlight w:val="none"/>
                      <w:lang w:val="en-US" w:eastAsia="zh-CN"/>
                    </w:rPr>
                    <w:t>2</w:t>
                  </w:r>
                  <w:r>
                    <w:rPr>
                      <w:rFonts w:hint="default" w:ascii="Times New Roman" w:hAnsi="Times New Roman" w:eastAsia="宋体" w:cs="Times New Roman"/>
                      <w:color w:val="auto"/>
                      <w:kern w:val="0"/>
                      <w:sz w:val="21"/>
                      <w:szCs w:val="21"/>
                      <w:highlight w:val="none"/>
                    </w:rPr>
                    <w:t>类标准限值</w:t>
                  </w:r>
                  <w:r>
                    <w:rPr>
                      <w:rFonts w:hint="eastAsia" w:cs="Times New Roman"/>
                      <w:color w:val="auto"/>
                      <w:kern w:val="0"/>
                      <w:sz w:val="21"/>
                      <w:szCs w:val="21"/>
                      <w:highlight w:val="none"/>
                      <w:lang w:eastAsia="zh-CN"/>
                    </w:rPr>
                    <w:t>。</w:t>
                  </w:r>
                </w:p>
              </w:tc>
            </w:tr>
          </w:tbl>
          <w:p w14:paraId="74E87361">
            <w:pPr>
              <w:spacing w:before="240" w:line="360" w:lineRule="auto"/>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lang w:val="en-US" w:eastAsia="zh-CN"/>
              </w:rPr>
              <w:t>4</w:t>
            </w:r>
            <w:r>
              <w:rPr>
                <w:rFonts w:hint="default" w:ascii="Times New Roman" w:hAnsi="Times New Roman" w:eastAsia="宋体" w:cs="Times New Roman"/>
                <w:b/>
                <w:color w:val="auto"/>
                <w:sz w:val="24"/>
                <w:highlight w:val="none"/>
              </w:rPr>
              <w:t>.固体废物标准</w:t>
            </w:r>
          </w:p>
          <w:p w14:paraId="3D2BC440">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color w:val="auto"/>
                <w:sz w:val="24"/>
                <w:highlight w:val="none"/>
              </w:rPr>
              <w:t>一般</w:t>
            </w:r>
            <w:r>
              <w:rPr>
                <w:rFonts w:hint="eastAsia" w:cs="Times New Roman"/>
                <w:color w:val="auto"/>
                <w:sz w:val="24"/>
                <w:highlight w:val="none"/>
                <w:lang w:eastAsia="zh-CN"/>
              </w:rPr>
              <w:t>固体废物</w:t>
            </w:r>
            <w:r>
              <w:rPr>
                <w:rFonts w:hint="default" w:ascii="Times New Roman" w:hAnsi="Times New Roman" w:eastAsia="宋体" w:cs="Times New Roman"/>
                <w:color w:val="auto"/>
                <w:sz w:val="24"/>
                <w:highlight w:val="none"/>
              </w:rPr>
              <w:t>执行《一般工业固体废物贮存和填埋污染控制标准》（GB18599-2020）</w:t>
            </w:r>
            <w:r>
              <w:rPr>
                <w:rFonts w:hint="default" w:ascii="Times New Roman" w:hAnsi="Times New Roman" w:eastAsia="宋体" w:cs="Times New Roman"/>
                <w:bCs/>
                <w:color w:val="auto"/>
                <w:sz w:val="24"/>
                <w:highlight w:val="none"/>
              </w:rPr>
              <w:t>。</w:t>
            </w:r>
          </w:p>
          <w:p w14:paraId="5BB4BB0A">
            <w:pPr>
              <w:spacing w:line="360" w:lineRule="auto"/>
              <w:ind w:firstLine="480" w:firstLineChars="200"/>
              <w:rPr>
                <w:rFonts w:hint="default" w:ascii="Times New Roman" w:hAnsi="Times New Roman" w:eastAsia="宋体" w:cs="Times New Roman"/>
                <w:bCs/>
                <w:color w:val="auto"/>
                <w:sz w:val="24"/>
                <w:highlight w:val="none"/>
              </w:rPr>
            </w:pPr>
          </w:p>
          <w:p w14:paraId="64617349">
            <w:pPr>
              <w:spacing w:line="360" w:lineRule="auto"/>
              <w:ind w:firstLine="480" w:firstLineChars="200"/>
              <w:rPr>
                <w:rFonts w:hint="default" w:ascii="Times New Roman" w:hAnsi="Times New Roman" w:eastAsia="宋体" w:cs="Times New Roman"/>
                <w:bCs/>
                <w:color w:val="auto"/>
                <w:sz w:val="24"/>
                <w:highlight w:val="none"/>
              </w:rPr>
            </w:pPr>
          </w:p>
          <w:p w14:paraId="249F5DD9">
            <w:pPr>
              <w:spacing w:line="360" w:lineRule="auto"/>
              <w:ind w:firstLine="480" w:firstLineChars="200"/>
              <w:rPr>
                <w:rFonts w:hint="default" w:ascii="Times New Roman" w:hAnsi="Times New Roman" w:eastAsia="宋体" w:cs="Times New Roman"/>
                <w:bCs/>
                <w:color w:val="auto"/>
                <w:sz w:val="24"/>
                <w:highlight w:val="none"/>
              </w:rPr>
            </w:pPr>
          </w:p>
          <w:p w14:paraId="12E7B7A6">
            <w:pPr>
              <w:spacing w:line="360" w:lineRule="auto"/>
              <w:ind w:firstLine="480" w:firstLineChars="200"/>
              <w:rPr>
                <w:rFonts w:hint="default" w:ascii="Times New Roman" w:hAnsi="Times New Roman" w:eastAsia="宋体" w:cs="Times New Roman"/>
                <w:bCs/>
                <w:color w:val="auto"/>
                <w:sz w:val="24"/>
                <w:highlight w:val="none"/>
              </w:rPr>
            </w:pPr>
          </w:p>
          <w:p w14:paraId="0E211301">
            <w:pPr>
              <w:spacing w:line="360" w:lineRule="auto"/>
              <w:ind w:firstLine="480" w:firstLineChars="200"/>
              <w:rPr>
                <w:rFonts w:hint="default" w:ascii="Times New Roman" w:hAnsi="Times New Roman" w:eastAsia="宋体" w:cs="Times New Roman"/>
                <w:bCs/>
                <w:color w:val="auto"/>
                <w:sz w:val="24"/>
                <w:highlight w:val="none"/>
              </w:rPr>
            </w:pPr>
          </w:p>
          <w:p w14:paraId="6586B83B">
            <w:pPr>
              <w:spacing w:line="360" w:lineRule="auto"/>
              <w:ind w:firstLine="480" w:firstLineChars="200"/>
              <w:rPr>
                <w:rFonts w:hint="default" w:ascii="Times New Roman" w:hAnsi="Times New Roman" w:eastAsia="宋体" w:cs="Times New Roman"/>
                <w:bCs/>
                <w:color w:val="auto"/>
                <w:sz w:val="24"/>
                <w:highlight w:val="none"/>
              </w:rPr>
            </w:pPr>
          </w:p>
          <w:p w14:paraId="64807FA4">
            <w:pPr>
              <w:spacing w:line="360" w:lineRule="auto"/>
              <w:ind w:firstLine="480" w:firstLineChars="200"/>
              <w:rPr>
                <w:rFonts w:hint="default" w:ascii="Times New Roman" w:hAnsi="Times New Roman" w:eastAsia="宋体" w:cs="Times New Roman"/>
                <w:bCs/>
                <w:color w:val="auto"/>
                <w:sz w:val="24"/>
                <w:highlight w:val="none"/>
              </w:rPr>
            </w:pPr>
          </w:p>
          <w:p w14:paraId="660C8EA1">
            <w:pPr>
              <w:spacing w:line="360" w:lineRule="auto"/>
              <w:ind w:firstLine="480" w:firstLineChars="200"/>
              <w:rPr>
                <w:rFonts w:hint="default" w:ascii="Times New Roman" w:hAnsi="Times New Roman" w:eastAsia="宋体" w:cs="Times New Roman"/>
                <w:bCs/>
                <w:color w:val="auto"/>
                <w:sz w:val="24"/>
                <w:highlight w:val="none"/>
              </w:rPr>
            </w:pPr>
          </w:p>
        </w:tc>
      </w:tr>
      <w:tr w14:paraId="4015A6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534" w:type="dxa"/>
            <w:vAlign w:val="center"/>
          </w:tcPr>
          <w:p w14:paraId="5B41C730">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总量</w:t>
            </w:r>
          </w:p>
          <w:p w14:paraId="0583693D">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控制</w:t>
            </w:r>
          </w:p>
          <w:p w14:paraId="1D68F2BF">
            <w:pPr>
              <w:adjustRightInd w:val="0"/>
              <w:snapToGrid w:val="0"/>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指标</w:t>
            </w:r>
          </w:p>
        </w:tc>
        <w:tc>
          <w:tcPr>
            <w:tcW w:w="8527" w:type="dxa"/>
            <w:vAlign w:val="center"/>
          </w:tcPr>
          <w:p w14:paraId="457FDAF7">
            <w:pPr>
              <w:adjustRightInd w:val="0"/>
              <w:snapToGrid w:val="0"/>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根据国家相关政策和规范要求，本项目污染物总量控制主要考虑化学需氧量</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COD</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和氨氮</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N</w:t>
            </w:r>
            <w:r>
              <w:rPr>
                <w:rFonts w:hint="default" w:ascii="Times New Roman" w:hAnsi="Times New Roman" w:eastAsia="宋体" w:cs="Times New Roman"/>
                <w:color w:val="auto"/>
                <w:kern w:val="0"/>
                <w:sz w:val="24"/>
                <w:highlight w:val="none"/>
                <w:vertAlign w:val="baseline"/>
                <w:lang w:eastAsia="zh-CN"/>
              </w:rPr>
              <w:t>H</w:t>
            </w:r>
            <w:r>
              <w:rPr>
                <w:rFonts w:hint="default" w:ascii="Times New Roman" w:hAnsi="Times New Roman" w:eastAsia="宋体" w:cs="Times New Roman"/>
                <w:color w:val="auto"/>
                <w:kern w:val="0"/>
                <w:sz w:val="24"/>
                <w:highlight w:val="none"/>
                <w:vertAlign w:val="subscript"/>
                <w:lang w:eastAsia="zh-CN"/>
              </w:rPr>
              <w:t>3</w:t>
            </w:r>
            <w:r>
              <w:rPr>
                <w:rFonts w:hint="default" w:ascii="Times New Roman" w:hAnsi="Times New Roman" w:eastAsia="宋体" w:cs="Times New Roman"/>
                <w:color w:val="auto"/>
                <w:kern w:val="0"/>
                <w:sz w:val="24"/>
                <w:highlight w:val="none"/>
              </w:rPr>
              <w:t>-N</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等2项指标。根据《关于加强固定污染源氮磷污染防治的通知》</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环水体〔2018〕16号</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，实施氨磷排放总量指标减量替代，并严格落实到相关单位排污许可证上，严控氨磷新增排放。因此本次评价污染源总量平衡方案在总量管控指标COD、</w:t>
            </w:r>
            <w:r>
              <w:rPr>
                <w:rFonts w:hint="eastAsia" w:cs="Times New Roman"/>
                <w:color w:val="auto"/>
                <w:kern w:val="0"/>
                <w:sz w:val="24"/>
                <w:highlight w:val="none"/>
                <w:lang w:eastAsia="zh-CN"/>
              </w:rPr>
              <w:t>氨氮的</w:t>
            </w:r>
            <w:r>
              <w:rPr>
                <w:rFonts w:hint="default" w:ascii="Times New Roman" w:hAnsi="Times New Roman" w:eastAsia="宋体" w:cs="Times New Roman"/>
                <w:color w:val="auto"/>
                <w:kern w:val="0"/>
                <w:sz w:val="24"/>
                <w:highlight w:val="none"/>
              </w:rPr>
              <w:t>基础上增加总磷、总氮</w:t>
            </w:r>
            <w:r>
              <w:rPr>
                <w:rFonts w:hint="eastAsia" w:cs="Times New Roman"/>
                <w:color w:val="auto"/>
                <w:kern w:val="0"/>
                <w:sz w:val="24"/>
                <w:highlight w:val="none"/>
                <w:lang w:eastAsia="zh-CN"/>
              </w:rPr>
              <w:t>的</w:t>
            </w:r>
            <w:r>
              <w:rPr>
                <w:rFonts w:hint="default" w:ascii="Times New Roman" w:hAnsi="Times New Roman" w:eastAsia="宋体" w:cs="Times New Roman"/>
                <w:color w:val="auto"/>
                <w:kern w:val="0"/>
                <w:sz w:val="24"/>
                <w:highlight w:val="none"/>
              </w:rPr>
              <w:t>评价。</w:t>
            </w:r>
          </w:p>
          <w:p w14:paraId="1AD36E4D">
            <w:pPr>
              <w:adjustRightInd w:val="0"/>
              <w:snapToGrid w:val="0"/>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由下表可知，本项目</w:t>
            </w:r>
            <w:r>
              <w:rPr>
                <w:rFonts w:hint="default" w:ascii="Times New Roman" w:hAnsi="Times New Roman" w:eastAsia="宋体" w:cs="Times New Roman"/>
                <w:color w:val="auto"/>
                <w:kern w:val="0"/>
                <w:sz w:val="24"/>
                <w:highlight w:val="none"/>
                <w:lang w:val="en-US" w:eastAsia="zh-CN"/>
              </w:rPr>
              <w:t>一期更新改造</w:t>
            </w:r>
            <w:r>
              <w:rPr>
                <w:rFonts w:hint="default" w:ascii="Times New Roman" w:hAnsi="Times New Roman" w:eastAsia="宋体" w:cs="Times New Roman"/>
                <w:color w:val="auto"/>
                <w:kern w:val="0"/>
                <w:sz w:val="24"/>
                <w:highlight w:val="none"/>
              </w:rPr>
              <w:t>后</w:t>
            </w:r>
            <w:r>
              <w:rPr>
                <w:rFonts w:hint="default" w:ascii="Times New Roman" w:hAnsi="Times New Roman" w:eastAsia="宋体" w:cs="Times New Roman"/>
                <w:color w:val="auto"/>
                <w:kern w:val="0"/>
                <w:sz w:val="24"/>
                <w:highlight w:val="none"/>
                <w:lang w:val="en-US" w:eastAsia="zh-CN"/>
              </w:rPr>
              <w:t>污水厂总体处理能力为11500t/d，</w:t>
            </w:r>
            <w:r>
              <w:rPr>
                <w:rFonts w:hint="default" w:ascii="Times New Roman" w:hAnsi="Times New Roman" w:eastAsia="宋体" w:cs="Times New Roman"/>
                <w:color w:val="auto"/>
                <w:kern w:val="0"/>
                <w:sz w:val="24"/>
                <w:highlight w:val="none"/>
              </w:rPr>
              <w:t>全厂排放的废水污染物总量为化学需氧量</w:t>
            </w:r>
            <w:r>
              <w:rPr>
                <w:rFonts w:hint="default" w:ascii="Times New Roman" w:hAnsi="Times New Roman" w:cs="Times New Roman"/>
                <w:color w:val="auto"/>
                <w:kern w:val="0"/>
                <w:sz w:val="24"/>
                <w:highlight w:val="none"/>
                <w:lang w:val="en-US" w:eastAsia="zh-CN"/>
              </w:rPr>
              <w:t>104.94</w:t>
            </w:r>
            <w:r>
              <w:rPr>
                <w:rFonts w:hint="default" w:ascii="Times New Roman" w:hAnsi="Times New Roman" w:eastAsia="宋体" w:cs="Times New Roman"/>
                <w:color w:val="auto"/>
                <w:kern w:val="0"/>
                <w:sz w:val="24"/>
                <w:highlight w:val="none"/>
              </w:rPr>
              <w:t>t</w:t>
            </w:r>
            <w:r>
              <w:rPr>
                <w:rFonts w:hint="default" w:ascii="Times New Roman" w:hAnsi="Times New Roman" w:eastAsia="宋体"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rPr>
              <w:t>a、氨氮</w:t>
            </w:r>
            <w:r>
              <w:rPr>
                <w:rFonts w:hint="default" w:ascii="Times New Roman" w:hAnsi="Times New Roman" w:cs="Times New Roman"/>
                <w:color w:val="auto"/>
                <w:kern w:val="0"/>
                <w:sz w:val="24"/>
                <w:highlight w:val="none"/>
                <w:lang w:val="en-US" w:eastAsia="zh-CN"/>
              </w:rPr>
              <w:t>12.59</w:t>
            </w:r>
            <w:r>
              <w:rPr>
                <w:rFonts w:hint="default" w:ascii="Times New Roman" w:hAnsi="Times New Roman" w:eastAsia="宋体" w:cs="Times New Roman"/>
                <w:color w:val="auto"/>
                <w:kern w:val="0"/>
                <w:sz w:val="24"/>
                <w:highlight w:val="none"/>
              </w:rPr>
              <w:t>t</w:t>
            </w:r>
            <w:r>
              <w:rPr>
                <w:rFonts w:hint="default" w:ascii="Times New Roman" w:hAnsi="Times New Roman" w:eastAsia="宋体"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rPr>
              <w:t>a、</w:t>
            </w:r>
            <w:r>
              <w:rPr>
                <w:rFonts w:hint="default" w:ascii="Times New Roman" w:hAnsi="Times New Roman" w:eastAsia="宋体" w:cs="Times New Roman"/>
                <w:color w:val="auto"/>
                <w:kern w:val="0"/>
                <w:sz w:val="24"/>
                <w:highlight w:val="none"/>
                <w:lang w:val="en-US" w:eastAsia="zh-CN"/>
              </w:rPr>
              <w:t>总氮</w:t>
            </w:r>
            <w:r>
              <w:rPr>
                <w:rFonts w:hint="default" w:ascii="Times New Roman" w:hAnsi="Times New Roman" w:cs="Times New Roman"/>
                <w:color w:val="auto"/>
                <w:kern w:val="0"/>
                <w:sz w:val="24"/>
                <w:highlight w:val="none"/>
                <w:lang w:val="en-US" w:eastAsia="zh-CN"/>
              </w:rPr>
              <w:t>41.98</w:t>
            </w:r>
            <w:r>
              <w:rPr>
                <w:rFonts w:hint="default" w:ascii="Times New Roman" w:hAnsi="Times New Roman" w:eastAsia="宋体" w:cs="Times New Roman"/>
                <w:color w:val="auto"/>
                <w:kern w:val="0"/>
                <w:sz w:val="24"/>
                <w:highlight w:val="none"/>
              </w:rPr>
              <w:t>t/a</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lang w:val="en-US" w:eastAsia="zh-CN"/>
              </w:rPr>
              <w:t>总磷</w:t>
            </w:r>
            <w:r>
              <w:rPr>
                <w:rFonts w:hint="default" w:ascii="Times New Roman" w:hAnsi="Times New Roman" w:cs="Times New Roman"/>
                <w:color w:val="auto"/>
                <w:kern w:val="0"/>
                <w:sz w:val="24"/>
                <w:highlight w:val="none"/>
                <w:lang w:val="en-US" w:eastAsia="zh-CN"/>
              </w:rPr>
              <w:t>1.05</w:t>
            </w:r>
            <w:r>
              <w:rPr>
                <w:rFonts w:hint="default" w:ascii="Times New Roman" w:hAnsi="Times New Roman" w:eastAsia="宋体" w:cs="Times New Roman"/>
                <w:color w:val="auto"/>
                <w:kern w:val="0"/>
                <w:sz w:val="24"/>
                <w:highlight w:val="none"/>
              </w:rPr>
              <w:t>t</w:t>
            </w:r>
            <w:r>
              <w:rPr>
                <w:rFonts w:hint="eastAsia"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rPr>
              <w:t>a。</w:t>
            </w:r>
          </w:p>
          <w:p w14:paraId="4F85907A">
            <w:pPr>
              <w:adjustRightInd w:val="0"/>
              <w:snapToGrid w:val="0"/>
              <w:spacing w:line="360" w:lineRule="auto"/>
              <w:jc w:val="center"/>
              <w:rPr>
                <w:rFonts w:hint="default" w:ascii="Times New Roman" w:hAnsi="Times New Roman" w:eastAsia="宋体" w:cs="Times New Roman"/>
                <w:b/>
                <w:bCs/>
                <w:color w:val="auto"/>
                <w:kern w:val="0"/>
                <w:sz w:val="24"/>
                <w:highlight w:val="none"/>
                <w:lang w:val="en-US" w:eastAsia="zh-CN"/>
              </w:rPr>
            </w:pPr>
            <w:r>
              <w:rPr>
                <w:rFonts w:hint="default" w:ascii="Times New Roman" w:hAnsi="Times New Roman" w:eastAsia="宋体" w:cs="Times New Roman"/>
                <w:b/>
                <w:bCs/>
                <w:color w:val="auto"/>
                <w:kern w:val="0"/>
                <w:sz w:val="24"/>
                <w:highlight w:val="none"/>
                <w:lang w:val="en-US" w:eastAsia="zh-CN"/>
              </w:rPr>
              <w:t>表3-8</w:t>
            </w:r>
            <w:r>
              <w:rPr>
                <w:rFonts w:hint="eastAsia" w:cs="Times New Roman"/>
                <w:b/>
                <w:bCs/>
                <w:color w:val="auto"/>
                <w:kern w:val="0"/>
                <w:sz w:val="24"/>
                <w:highlight w:val="none"/>
                <w:lang w:val="en-US" w:eastAsia="zh-CN"/>
              </w:rPr>
              <w:t>：</w:t>
            </w:r>
            <w:r>
              <w:rPr>
                <w:rFonts w:hint="default" w:ascii="Times New Roman" w:hAnsi="Times New Roman" w:eastAsia="宋体" w:cs="Times New Roman"/>
                <w:b/>
                <w:bCs/>
                <w:color w:val="auto"/>
                <w:kern w:val="0"/>
                <w:sz w:val="24"/>
                <w:highlight w:val="none"/>
                <w:lang w:val="en-US" w:eastAsia="zh-CN"/>
              </w:rPr>
              <w:t>总量控制指标汇总表（单位：t/a）</w:t>
            </w:r>
          </w:p>
          <w:tbl>
            <w:tblPr>
              <w:tblStyle w:val="10"/>
              <w:tblW w:w="8311" w:type="dxa"/>
              <w:jc w:val="center"/>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shd w:val="clear" w:color="auto" w:fill="auto"/>
              <w:tblLayout w:type="fixed"/>
              <w:tblCellMar>
                <w:top w:w="0" w:type="dxa"/>
                <w:left w:w="108" w:type="dxa"/>
                <w:bottom w:w="0" w:type="dxa"/>
                <w:right w:w="108" w:type="dxa"/>
              </w:tblCellMar>
            </w:tblPr>
            <w:tblGrid>
              <w:gridCol w:w="1346"/>
              <w:gridCol w:w="1347"/>
              <w:gridCol w:w="1233"/>
              <w:gridCol w:w="1217"/>
              <w:gridCol w:w="1080"/>
              <w:gridCol w:w="1185"/>
              <w:gridCol w:w="903"/>
            </w:tblGrid>
            <w:tr w14:paraId="41E12DE8">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1346" w:type="dxa"/>
                  <w:vMerge w:val="restart"/>
                  <w:tcBorders>
                    <w:tl2br w:val="nil"/>
                    <w:tr2bl w:val="nil"/>
                  </w:tcBorders>
                  <w:shd w:val="clear" w:color="auto" w:fill="auto"/>
                  <w:noWrap/>
                  <w:vAlign w:val="center"/>
                </w:tcPr>
                <w:p w14:paraId="7CA96D25">
                  <w:pPr>
                    <w:jc w:val="center"/>
                    <w:rPr>
                      <w:rFonts w:hint="default" w:ascii="Times New Roman" w:hAnsi="Times New Roman" w:eastAsia="宋体" w:cs="Times New Roman"/>
                      <w:b/>
                      <w:bCs/>
                      <w:i w:val="0"/>
                      <w:iCs w:val="0"/>
                      <w:color w:val="auto"/>
                      <w:sz w:val="21"/>
                      <w:szCs w:val="21"/>
                      <w:u w:val="none"/>
                      <w:lang w:val="en-US" w:eastAsia="zh-CN"/>
                    </w:rPr>
                  </w:pPr>
                  <w:r>
                    <w:rPr>
                      <w:rFonts w:hint="default" w:ascii="Times New Roman" w:hAnsi="Times New Roman" w:eastAsia="宋体" w:cs="Times New Roman"/>
                      <w:b/>
                      <w:bCs/>
                      <w:i w:val="0"/>
                      <w:iCs w:val="0"/>
                      <w:color w:val="auto"/>
                      <w:sz w:val="21"/>
                      <w:szCs w:val="21"/>
                      <w:u w:val="none"/>
                      <w:lang w:val="en-US" w:eastAsia="zh-CN"/>
                    </w:rPr>
                    <w:t>污染物</w:t>
                  </w:r>
                </w:p>
              </w:tc>
              <w:tc>
                <w:tcPr>
                  <w:tcW w:w="3797" w:type="dxa"/>
                  <w:gridSpan w:val="3"/>
                  <w:tcBorders>
                    <w:tl2br w:val="nil"/>
                    <w:tr2bl w:val="nil"/>
                  </w:tcBorders>
                  <w:shd w:val="clear" w:color="auto" w:fill="auto"/>
                  <w:vAlign w:val="center"/>
                </w:tcPr>
                <w:p w14:paraId="326E192A">
                  <w:pPr>
                    <w:jc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现有工程</w:t>
                  </w:r>
                </w:p>
              </w:tc>
              <w:tc>
                <w:tcPr>
                  <w:tcW w:w="1080" w:type="dxa"/>
                  <w:vMerge w:val="restart"/>
                  <w:tcBorders>
                    <w:tl2br w:val="nil"/>
                    <w:tr2bl w:val="nil"/>
                  </w:tcBorders>
                  <w:shd w:val="clear" w:color="auto" w:fill="auto"/>
                  <w:vAlign w:val="center"/>
                </w:tcPr>
                <w:p w14:paraId="09CF0C0F">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一期更新改造后排放量</w:t>
                  </w:r>
                </w:p>
              </w:tc>
              <w:tc>
                <w:tcPr>
                  <w:tcW w:w="1185" w:type="dxa"/>
                  <w:vMerge w:val="restart"/>
                  <w:tcBorders>
                    <w:tl2br w:val="nil"/>
                    <w:tr2bl w:val="nil"/>
                  </w:tcBorders>
                  <w:shd w:val="clear" w:color="auto" w:fill="auto"/>
                  <w:noWrap/>
                  <w:vAlign w:val="center"/>
                </w:tcPr>
                <w:p w14:paraId="45888313">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eastAsia" w:ascii="Times New Roman" w:hAnsi="Times New Roman" w:eastAsia="宋体" w:cs="Times New Roman"/>
                      <w:b/>
                      <w:bCs/>
                      <w:i w:val="0"/>
                      <w:iCs w:val="0"/>
                      <w:color w:val="auto"/>
                      <w:kern w:val="0"/>
                      <w:sz w:val="21"/>
                      <w:szCs w:val="21"/>
                      <w:u w:val="none"/>
                      <w:lang w:val="en-US" w:eastAsia="zh-CN" w:bidi="ar"/>
                    </w:rPr>
                    <w:t>“</w:t>
                  </w:r>
                  <w:r>
                    <w:rPr>
                      <w:rFonts w:hint="default" w:ascii="Times New Roman" w:hAnsi="Times New Roman" w:eastAsia="宋体" w:cs="Times New Roman"/>
                      <w:b/>
                      <w:bCs/>
                      <w:i w:val="0"/>
                      <w:iCs w:val="0"/>
                      <w:color w:val="auto"/>
                      <w:kern w:val="0"/>
                      <w:sz w:val="21"/>
                      <w:szCs w:val="21"/>
                      <w:u w:val="none"/>
                      <w:lang w:val="en-US" w:eastAsia="zh-CN" w:bidi="ar"/>
                    </w:rPr>
                    <w:t>以新带老</w:t>
                  </w:r>
                  <w:r>
                    <w:rPr>
                      <w:rFonts w:hint="eastAsia" w:ascii="Times New Roman" w:hAnsi="Times New Roman" w:eastAsia="宋体" w:cs="Times New Roman"/>
                      <w:b/>
                      <w:bCs/>
                      <w:i w:val="0"/>
                      <w:iCs w:val="0"/>
                      <w:color w:val="auto"/>
                      <w:kern w:val="0"/>
                      <w:sz w:val="21"/>
                      <w:szCs w:val="21"/>
                      <w:u w:val="none"/>
                      <w:lang w:val="en-US" w:eastAsia="zh-CN" w:bidi="ar"/>
                    </w:rPr>
                    <w:t>”</w:t>
                  </w:r>
                  <w:r>
                    <w:rPr>
                      <w:rFonts w:hint="default" w:ascii="Times New Roman" w:hAnsi="Times New Roman" w:eastAsia="宋体" w:cs="Times New Roman"/>
                      <w:b/>
                      <w:bCs/>
                      <w:i w:val="0"/>
                      <w:iCs w:val="0"/>
                      <w:color w:val="auto"/>
                      <w:kern w:val="0"/>
                      <w:sz w:val="21"/>
                      <w:szCs w:val="21"/>
                      <w:u w:val="none"/>
                      <w:lang w:val="en-US" w:eastAsia="zh-CN" w:bidi="ar"/>
                    </w:rPr>
                    <w:t>削减总量</w:t>
                  </w:r>
                </w:p>
              </w:tc>
              <w:tc>
                <w:tcPr>
                  <w:tcW w:w="903" w:type="dxa"/>
                  <w:vMerge w:val="restart"/>
                  <w:tcBorders>
                    <w:tl2br w:val="nil"/>
                    <w:tr2bl w:val="nil"/>
                  </w:tcBorders>
                  <w:shd w:val="clear" w:color="auto" w:fill="auto"/>
                  <w:noWrap/>
                  <w:vAlign w:val="center"/>
                </w:tcPr>
                <w:p w14:paraId="3785301B">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全厂排放量</w:t>
                  </w:r>
                </w:p>
              </w:tc>
            </w:tr>
            <w:tr w14:paraId="20A6A15F">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1346" w:type="dxa"/>
                  <w:vMerge w:val="continue"/>
                  <w:tcBorders>
                    <w:tl2br w:val="nil"/>
                    <w:tr2bl w:val="nil"/>
                  </w:tcBorders>
                  <w:shd w:val="clear" w:color="auto" w:fill="auto"/>
                  <w:noWrap/>
                  <w:vAlign w:val="center"/>
                </w:tcPr>
                <w:p w14:paraId="41187512">
                  <w:pPr>
                    <w:jc w:val="center"/>
                    <w:rPr>
                      <w:rFonts w:hint="default" w:ascii="Times New Roman" w:hAnsi="Times New Roman" w:eastAsia="宋体" w:cs="Times New Roman"/>
                      <w:i w:val="0"/>
                      <w:iCs w:val="0"/>
                      <w:color w:val="auto"/>
                      <w:sz w:val="21"/>
                      <w:szCs w:val="21"/>
                      <w:u w:val="none"/>
                    </w:rPr>
                  </w:pPr>
                </w:p>
              </w:tc>
              <w:tc>
                <w:tcPr>
                  <w:tcW w:w="1347" w:type="dxa"/>
                  <w:tcBorders>
                    <w:tl2br w:val="nil"/>
                    <w:tr2bl w:val="nil"/>
                  </w:tcBorders>
                  <w:shd w:val="clear" w:color="auto" w:fill="auto"/>
                  <w:vAlign w:val="center"/>
                </w:tcPr>
                <w:p w14:paraId="6D0EB901">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许可排放量</w:t>
                  </w:r>
                </w:p>
              </w:tc>
              <w:tc>
                <w:tcPr>
                  <w:tcW w:w="1233" w:type="dxa"/>
                  <w:tcBorders>
                    <w:right w:val="single" w:color="auto" w:sz="4" w:space="0"/>
                    <w:tl2br w:val="nil"/>
                    <w:tr2bl w:val="nil"/>
                  </w:tcBorders>
                  <w:shd w:val="clear" w:color="auto" w:fill="auto"/>
                  <w:noWrap/>
                  <w:vAlign w:val="center"/>
                </w:tcPr>
                <w:p w14:paraId="6686057E">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cs="Times New Roman"/>
                      <w:b/>
                      <w:bCs/>
                      <w:i w:val="0"/>
                      <w:iCs w:val="0"/>
                      <w:color w:val="auto"/>
                      <w:kern w:val="0"/>
                      <w:sz w:val="21"/>
                      <w:szCs w:val="21"/>
                      <w:u w:val="none"/>
                      <w:lang w:val="en-US" w:eastAsia="zh-CN" w:bidi="ar"/>
                    </w:rPr>
                    <w:t>一期现有</w:t>
                  </w:r>
                  <w:r>
                    <w:rPr>
                      <w:rFonts w:hint="default" w:ascii="Times New Roman" w:hAnsi="Times New Roman" w:eastAsia="宋体" w:cs="Times New Roman"/>
                      <w:b/>
                      <w:bCs/>
                      <w:i w:val="0"/>
                      <w:iCs w:val="0"/>
                      <w:color w:val="auto"/>
                      <w:kern w:val="0"/>
                      <w:sz w:val="21"/>
                      <w:szCs w:val="21"/>
                      <w:u w:val="none"/>
                      <w:lang w:val="en-US" w:eastAsia="zh-CN" w:bidi="ar"/>
                    </w:rPr>
                    <w:t>排放量</w:t>
                  </w:r>
                </w:p>
              </w:tc>
              <w:tc>
                <w:tcPr>
                  <w:tcW w:w="1217" w:type="dxa"/>
                  <w:tcBorders>
                    <w:left w:val="single" w:color="auto" w:sz="4" w:space="0"/>
                    <w:tl2br w:val="nil"/>
                    <w:tr2bl w:val="nil"/>
                  </w:tcBorders>
                  <w:shd w:val="clear" w:color="auto" w:fill="auto"/>
                  <w:noWrap/>
                  <w:vAlign w:val="center"/>
                </w:tcPr>
                <w:p w14:paraId="0DCD5509">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cs="Times New Roman"/>
                      <w:b/>
                      <w:bCs/>
                      <w:i w:val="0"/>
                      <w:iCs w:val="0"/>
                      <w:color w:val="auto"/>
                      <w:kern w:val="0"/>
                      <w:sz w:val="21"/>
                      <w:szCs w:val="21"/>
                      <w:u w:val="none"/>
                      <w:lang w:val="en-US" w:eastAsia="zh-CN" w:bidi="ar"/>
                    </w:rPr>
                    <w:t>二期现有排放量</w:t>
                  </w:r>
                </w:p>
              </w:tc>
              <w:tc>
                <w:tcPr>
                  <w:tcW w:w="1080" w:type="dxa"/>
                  <w:vMerge w:val="continue"/>
                  <w:tcBorders>
                    <w:tl2br w:val="nil"/>
                    <w:tr2bl w:val="nil"/>
                  </w:tcBorders>
                  <w:shd w:val="clear" w:color="auto" w:fill="auto"/>
                  <w:noWrap/>
                  <w:vAlign w:val="center"/>
                </w:tcPr>
                <w:p w14:paraId="619B738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p>
              </w:tc>
              <w:tc>
                <w:tcPr>
                  <w:tcW w:w="1185" w:type="dxa"/>
                  <w:vMerge w:val="continue"/>
                  <w:tcBorders>
                    <w:tl2br w:val="nil"/>
                    <w:tr2bl w:val="nil"/>
                  </w:tcBorders>
                  <w:shd w:val="clear" w:color="auto" w:fill="auto"/>
                  <w:noWrap/>
                  <w:vAlign w:val="center"/>
                </w:tcPr>
                <w:p w14:paraId="2BB777BA">
                  <w:pPr>
                    <w:jc w:val="center"/>
                    <w:rPr>
                      <w:rFonts w:hint="default" w:ascii="Times New Roman" w:hAnsi="Times New Roman" w:eastAsia="宋体" w:cs="Times New Roman"/>
                      <w:i w:val="0"/>
                      <w:iCs w:val="0"/>
                      <w:color w:val="auto"/>
                      <w:sz w:val="21"/>
                      <w:szCs w:val="21"/>
                      <w:u w:val="none"/>
                    </w:rPr>
                  </w:pPr>
                </w:p>
              </w:tc>
              <w:tc>
                <w:tcPr>
                  <w:tcW w:w="903" w:type="dxa"/>
                  <w:vMerge w:val="continue"/>
                  <w:tcBorders>
                    <w:tl2br w:val="nil"/>
                    <w:tr2bl w:val="nil"/>
                  </w:tcBorders>
                  <w:shd w:val="clear" w:color="auto" w:fill="auto"/>
                  <w:noWrap/>
                  <w:vAlign w:val="center"/>
                </w:tcPr>
                <w:p w14:paraId="24E52841">
                  <w:pPr>
                    <w:jc w:val="center"/>
                    <w:rPr>
                      <w:rFonts w:hint="default" w:ascii="Times New Roman" w:hAnsi="Times New Roman" w:eastAsia="宋体" w:cs="Times New Roman"/>
                      <w:i w:val="0"/>
                      <w:iCs w:val="0"/>
                      <w:color w:val="auto"/>
                      <w:sz w:val="21"/>
                      <w:szCs w:val="21"/>
                      <w:u w:val="none"/>
                    </w:rPr>
                  </w:pPr>
                </w:p>
              </w:tc>
            </w:tr>
            <w:tr w14:paraId="2054A623">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1346" w:type="dxa"/>
                  <w:tcBorders>
                    <w:tl2br w:val="nil"/>
                    <w:tr2bl w:val="nil"/>
                  </w:tcBorders>
                  <w:shd w:val="clear" w:color="auto" w:fill="auto"/>
                  <w:vAlign w:val="center"/>
                </w:tcPr>
                <w:p w14:paraId="3EDA1A3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化学需氧量</w:t>
                  </w:r>
                </w:p>
              </w:tc>
              <w:tc>
                <w:tcPr>
                  <w:tcW w:w="1347" w:type="dxa"/>
                  <w:tcBorders>
                    <w:tl2br w:val="nil"/>
                    <w:tr2bl w:val="nil"/>
                  </w:tcBorders>
                  <w:shd w:val="clear" w:color="auto" w:fill="auto"/>
                  <w:noWrap/>
                  <w:vAlign w:val="center"/>
                </w:tcPr>
                <w:p w14:paraId="113D0AD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79.27</w:t>
                  </w:r>
                </w:p>
              </w:tc>
              <w:tc>
                <w:tcPr>
                  <w:tcW w:w="1233" w:type="dxa"/>
                  <w:tcBorders>
                    <w:right w:val="single" w:color="auto" w:sz="4" w:space="0"/>
                    <w:tl2br w:val="nil"/>
                    <w:tr2bl w:val="nil"/>
                  </w:tcBorders>
                  <w:shd w:val="clear" w:color="auto" w:fill="auto"/>
                  <w:noWrap/>
                  <w:vAlign w:val="center"/>
                </w:tcPr>
                <w:p w14:paraId="455B679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18.25 </w:t>
                  </w:r>
                </w:p>
              </w:tc>
              <w:tc>
                <w:tcPr>
                  <w:tcW w:w="1217" w:type="dxa"/>
                  <w:tcBorders>
                    <w:left w:val="single" w:color="auto" w:sz="4" w:space="0"/>
                    <w:tl2br w:val="nil"/>
                    <w:tr2bl w:val="nil"/>
                  </w:tcBorders>
                  <w:shd w:val="clear" w:color="auto" w:fill="auto"/>
                  <w:noWrap/>
                  <w:vAlign w:val="center"/>
                </w:tcPr>
                <w:p w14:paraId="3C2C73F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59.31 </w:t>
                  </w:r>
                </w:p>
              </w:tc>
              <w:tc>
                <w:tcPr>
                  <w:tcW w:w="1080" w:type="dxa"/>
                  <w:tcBorders>
                    <w:tl2br w:val="nil"/>
                    <w:tr2bl w:val="nil"/>
                  </w:tcBorders>
                  <w:shd w:val="clear" w:color="auto" w:fill="auto"/>
                  <w:noWrap/>
                  <w:vAlign w:val="center"/>
                </w:tcPr>
                <w:p w14:paraId="46D173F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45.63</w:t>
                  </w:r>
                </w:p>
              </w:tc>
              <w:tc>
                <w:tcPr>
                  <w:tcW w:w="1185" w:type="dxa"/>
                  <w:tcBorders>
                    <w:tl2br w:val="nil"/>
                    <w:tr2bl w:val="nil"/>
                  </w:tcBorders>
                  <w:shd w:val="clear" w:color="auto" w:fill="auto"/>
                  <w:noWrap/>
                  <w:vAlign w:val="center"/>
                </w:tcPr>
                <w:p w14:paraId="2E8FD5A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 xml:space="preserve">18.25 </w:t>
                  </w:r>
                </w:p>
              </w:tc>
              <w:tc>
                <w:tcPr>
                  <w:tcW w:w="903" w:type="dxa"/>
                  <w:tcBorders>
                    <w:tl2br w:val="nil"/>
                    <w:tr2bl w:val="nil"/>
                  </w:tcBorders>
                  <w:shd w:val="clear" w:color="auto" w:fill="auto"/>
                  <w:noWrap/>
                  <w:vAlign w:val="center"/>
                </w:tcPr>
                <w:p w14:paraId="2680471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104.94</w:t>
                  </w:r>
                </w:p>
              </w:tc>
            </w:tr>
            <w:tr w14:paraId="0B0C50CA">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1346" w:type="dxa"/>
                  <w:tcBorders>
                    <w:tl2br w:val="nil"/>
                    <w:tr2bl w:val="nil"/>
                  </w:tcBorders>
                  <w:shd w:val="clear" w:color="auto" w:fill="auto"/>
                  <w:vAlign w:val="center"/>
                </w:tcPr>
                <w:p w14:paraId="56F96E4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氨氮</w:t>
                  </w:r>
                </w:p>
              </w:tc>
              <w:tc>
                <w:tcPr>
                  <w:tcW w:w="1347" w:type="dxa"/>
                  <w:tcBorders>
                    <w:tl2br w:val="nil"/>
                    <w:tr2bl w:val="nil"/>
                  </w:tcBorders>
                  <w:shd w:val="clear" w:color="auto" w:fill="auto"/>
                  <w:noWrap/>
                  <w:vAlign w:val="center"/>
                </w:tcPr>
                <w:p w14:paraId="0662578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10.30</w:t>
                  </w:r>
                </w:p>
              </w:tc>
              <w:tc>
                <w:tcPr>
                  <w:tcW w:w="1233" w:type="dxa"/>
                  <w:tcBorders>
                    <w:right w:val="single" w:color="auto" w:sz="4" w:space="0"/>
                    <w:tl2br w:val="nil"/>
                    <w:tr2bl w:val="nil"/>
                  </w:tcBorders>
                  <w:shd w:val="clear" w:color="auto" w:fill="auto"/>
                  <w:noWrap/>
                  <w:vAlign w:val="center"/>
                </w:tcPr>
                <w:p w14:paraId="3488498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2.19 </w:t>
                  </w:r>
                </w:p>
              </w:tc>
              <w:tc>
                <w:tcPr>
                  <w:tcW w:w="1217" w:type="dxa"/>
                  <w:tcBorders>
                    <w:left w:val="single" w:color="auto" w:sz="4" w:space="0"/>
                    <w:tl2br w:val="nil"/>
                    <w:tr2bl w:val="nil"/>
                  </w:tcBorders>
                  <w:shd w:val="clear" w:color="auto" w:fill="auto"/>
                  <w:noWrap/>
                  <w:vAlign w:val="center"/>
                </w:tcPr>
                <w:p w14:paraId="48BD9C2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7.12 </w:t>
                  </w:r>
                </w:p>
              </w:tc>
              <w:tc>
                <w:tcPr>
                  <w:tcW w:w="1080" w:type="dxa"/>
                  <w:tcBorders>
                    <w:tl2br w:val="nil"/>
                    <w:tr2bl w:val="nil"/>
                  </w:tcBorders>
                  <w:shd w:val="clear" w:color="auto" w:fill="auto"/>
                  <w:noWrap/>
                  <w:vAlign w:val="center"/>
                </w:tcPr>
                <w:p w14:paraId="16C459F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5.48</w:t>
                  </w:r>
                </w:p>
              </w:tc>
              <w:tc>
                <w:tcPr>
                  <w:tcW w:w="1185" w:type="dxa"/>
                  <w:tcBorders>
                    <w:tl2br w:val="nil"/>
                    <w:tr2bl w:val="nil"/>
                  </w:tcBorders>
                  <w:shd w:val="clear" w:color="auto" w:fill="auto"/>
                  <w:noWrap/>
                  <w:vAlign w:val="center"/>
                </w:tcPr>
                <w:p w14:paraId="41A405C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 xml:space="preserve">2.19 </w:t>
                  </w:r>
                </w:p>
              </w:tc>
              <w:tc>
                <w:tcPr>
                  <w:tcW w:w="903" w:type="dxa"/>
                  <w:tcBorders>
                    <w:tl2br w:val="nil"/>
                    <w:tr2bl w:val="nil"/>
                  </w:tcBorders>
                  <w:shd w:val="clear" w:color="auto" w:fill="auto"/>
                  <w:noWrap/>
                  <w:vAlign w:val="center"/>
                </w:tcPr>
                <w:p w14:paraId="6A2382C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12.59</w:t>
                  </w:r>
                </w:p>
              </w:tc>
            </w:tr>
            <w:tr w14:paraId="06ADFD37">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1346" w:type="dxa"/>
                  <w:tcBorders>
                    <w:tl2br w:val="nil"/>
                    <w:tr2bl w:val="nil"/>
                  </w:tcBorders>
                  <w:shd w:val="clear" w:color="auto" w:fill="auto"/>
                  <w:vAlign w:val="center"/>
                </w:tcPr>
                <w:p w14:paraId="679877F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总氮</w:t>
                  </w:r>
                </w:p>
              </w:tc>
              <w:tc>
                <w:tcPr>
                  <w:tcW w:w="1347" w:type="dxa"/>
                  <w:tcBorders>
                    <w:tl2br w:val="nil"/>
                    <w:tr2bl w:val="nil"/>
                  </w:tcBorders>
                  <w:shd w:val="clear" w:color="auto" w:fill="auto"/>
                  <w:noWrap/>
                  <w:vAlign w:val="center"/>
                </w:tcPr>
                <w:p w14:paraId="723F6D5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23.77</w:t>
                  </w:r>
                </w:p>
              </w:tc>
              <w:tc>
                <w:tcPr>
                  <w:tcW w:w="1233" w:type="dxa"/>
                  <w:tcBorders>
                    <w:right w:val="single" w:color="auto" w:sz="4" w:space="0"/>
                    <w:tl2br w:val="nil"/>
                    <w:tr2bl w:val="nil"/>
                  </w:tcBorders>
                  <w:shd w:val="clear" w:color="auto" w:fill="auto"/>
                  <w:noWrap/>
                  <w:vAlign w:val="center"/>
                </w:tcPr>
                <w:p w14:paraId="59ECD78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7.30 </w:t>
                  </w:r>
                </w:p>
              </w:tc>
              <w:tc>
                <w:tcPr>
                  <w:tcW w:w="1217" w:type="dxa"/>
                  <w:tcBorders>
                    <w:left w:val="single" w:color="auto" w:sz="4" w:space="0"/>
                    <w:tl2br w:val="nil"/>
                    <w:tr2bl w:val="nil"/>
                  </w:tcBorders>
                  <w:shd w:val="clear" w:color="auto" w:fill="auto"/>
                  <w:noWrap/>
                  <w:vAlign w:val="center"/>
                </w:tcPr>
                <w:p w14:paraId="7F438C6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23.73 </w:t>
                  </w:r>
                </w:p>
              </w:tc>
              <w:tc>
                <w:tcPr>
                  <w:tcW w:w="1080" w:type="dxa"/>
                  <w:tcBorders>
                    <w:tl2br w:val="nil"/>
                    <w:tr2bl w:val="nil"/>
                  </w:tcBorders>
                  <w:shd w:val="clear" w:color="auto" w:fill="auto"/>
                  <w:noWrap/>
                  <w:vAlign w:val="center"/>
                </w:tcPr>
                <w:p w14:paraId="64B49B8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18.25</w:t>
                  </w:r>
                </w:p>
              </w:tc>
              <w:tc>
                <w:tcPr>
                  <w:tcW w:w="1185" w:type="dxa"/>
                  <w:tcBorders>
                    <w:tl2br w:val="nil"/>
                    <w:tr2bl w:val="nil"/>
                  </w:tcBorders>
                  <w:shd w:val="clear" w:color="auto" w:fill="auto"/>
                  <w:noWrap/>
                  <w:vAlign w:val="center"/>
                </w:tcPr>
                <w:p w14:paraId="5268CB3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 xml:space="preserve">7.30 </w:t>
                  </w:r>
                </w:p>
              </w:tc>
              <w:tc>
                <w:tcPr>
                  <w:tcW w:w="903" w:type="dxa"/>
                  <w:tcBorders>
                    <w:tl2br w:val="nil"/>
                    <w:tr2bl w:val="nil"/>
                  </w:tcBorders>
                  <w:shd w:val="clear" w:color="auto" w:fill="auto"/>
                  <w:noWrap/>
                  <w:vAlign w:val="center"/>
                </w:tcPr>
                <w:p w14:paraId="621D8C8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41.98</w:t>
                  </w:r>
                </w:p>
              </w:tc>
            </w:tr>
            <w:tr w14:paraId="6BB58556">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397" w:hRule="atLeast"/>
                <w:jc w:val="center"/>
              </w:trPr>
              <w:tc>
                <w:tcPr>
                  <w:tcW w:w="1346" w:type="dxa"/>
                  <w:tcBorders>
                    <w:tl2br w:val="nil"/>
                    <w:tr2bl w:val="nil"/>
                  </w:tcBorders>
                  <w:shd w:val="clear" w:color="auto" w:fill="auto"/>
                  <w:vAlign w:val="center"/>
                </w:tcPr>
                <w:p w14:paraId="77C6A32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总磷</w:t>
                  </w:r>
                </w:p>
              </w:tc>
              <w:tc>
                <w:tcPr>
                  <w:tcW w:w="1347" w:type="dxa"/>
                  <w:tcBorders>
                    <w:tl2br w:val="nil"/>
                    <w:tr2bl w:val="nil"/>
                  </w:tcBorders>
                  <w:shd w:val="clear" w:color="auto" w:fill="auto"/>
                  <w:noWrap/>
                  <w:vAlign w:val="center"/>
                </w:tcPr>
                <w:p w14:paraId="11502F2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0.79</w:t>
                  </w:r>
                </w:p>
              </w:tc>
              <w:tc>
                <w:tcPr>
                  <w:tcW w:w="1233" w:type="dxa"/>
                  <w:tcBorders>
                    <w:right w:val="single" w:color="auto" w:sz="4" w:space="0"/>
                    <w:tl2br w:val="nil"/>
                    <w:tr2bl w:val="nil"/>
                  </w:tcBorders>
                  <w:shd w:val="clear" w:color="auto" w:fill="auto"/>
                  <w:noWrap/>
                  <w:vAlign w:val="center"/>
                </w:tcPr>
                <w:p w14:paraId="0BF1E80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0.18 </w:t>
                  </w:r>
                </w:p>
              </w:tc>
              <w:tc>
                <w:tcPr>
                  <w:tcW w:w="1217" w:type="dxa"/>
                  <w:tcBorders>
                    <w:left w:val="single" w:color="auto" w:sz="4" w:space="0"/>
                    <w:tl2br w:val="nil"/>
                    <w:tr2bl w:val="nil"/>
                  </w:tcBorders>
                  <w:shd w:val="clear" w:color="auto" w:fill="auto"/>
                  <w:noWrap/>
                  <w:vAlign w:val="center"/>
                </w:tcPr>
                <w:p w14:paraId="361C937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0.59 </w:t>
                  </w:r>
                </w:p>
              </w:tc>
              <w:tc>
                <w:tcPr>
                  <w:tcW w:w="1080" w:type="dxa"/>
                  <w:tcBorders>
                    <w:tl2br w:val="nil"/>
                    <w:tr2bl w:val="nil"/>
                  </w:tcBorders>
                  <w:shd w:val="clear" w:color="auto" w:fill="auto"/>
                  <w:noWrap/>
                  <w:vAlign w:val="center"/>
                </w:tcPr>
                <w:p w14:paraId="4E55219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0.46</w:t>
                  </w:r>
                </w:p>
              </w:tc>
              <w:tc>
                <w:tcPr>
                  <w:tcW w:w="1185" w:type="dxa"/>
                  <w:tcBorders>
                    <w:tl2br w:val="nil"/>
                    <w:tr2bl w:val="nil"/>
                  </w:tcBorders>
                  <w:shd w:val="clear" w:color="auto" w:fill="auto"/>
                  <w:noWrap/>
                  <w:vAlign w:val="center"/>
                </w:tcPr>
                <w:p w14:paraId="3238069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 xml:space="preserve">0.18 </w:t>
                  </w:r>
                </w:p>
              </w:tc>
              <w:tc>
                <w:tcPr>
                  <w:tcW w:w="903" w:type="dxa"/>
                  <w:tcBorders>
                    <w:tl2br w:val="nil"/>
                    <w:tr2bl w:val="nil"/>
                  </w:tcBorders>
                  <w:shd w:val="clear" w:color="auto" w:fill="auto"/>
                  <w:noWrap/>
                  <w:vAlign w:val="center"/>
                </w:tcPr>
                <w:p w14:paraId="6628A81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1.05</w:t>
                  </w:r>
                </w:p>
              </w:tc>
            </w:tr>
          </w:tbl>
          <w:p w14:paraId="710873E0">
            <w:pPr>
              <w:adjustRightInd w:val="0"/>
              <w:snapToGrid w:val="0"/>
              <w:spacing w:line="360" w:lineRule="auto"/>
              <w:ind w:firstLine="480" w:firstLineChars="200"/>
              <w:rPr>
                <w:rFonts w:hint="default" w:ascii="Times New Roman" w:hAnsi="Times New Roman" w:eastAsia="宋体" w:cs="Times New Roman"/>
                <w:color w:val="auto"/>
                <w:kern w:val="0"/>
                <w:sz w:val="24"/>
                <w:highlight w:val="yellow"/>
              </w:rPr>
            </w:pPr>
          </w:p>
          <w:p w14:paraId="5186E2A5">
            <w:pPr>
              <w:adjustRightInd w:val="0"/>
              <w:snapToGrid w:val="0"/>
              <w:spacing w:line="360" w:lineRule="auto"/>
              <w:ind w:firstLine="480" w:firstLineChars="200"/>
              <w:rPr>
                <w:rFonts w:hint="default" w:ascii="Times New Roman" w:hAnsi="Times New Roman" w:eastAsia="宋体" w:cs="Times New Roman"/>
                <w:color w:val="auto"/>
                <w:kern w:val="0"/>
                <w:sz w:val="24"/>
                <w:highlight w:val="yellow"/>
              </w:rPr>
            </w:pPr>
          </w:p>
        </w:tc>
      </w:tr>
    </w:tbl>
    <w:p w14:paraId="19992805">
      <w:pPr>
        <w:pStyle w:val="8"/>
        <w:jc w:val="center"/>
        <w:outlineLvl w:val="0"/>
        <w:rPr>
          <w:rFonts w:hint="default" w:ascii="Times New Roman" w:hAnsi="Times New Roman" w:eastAsia="宋体" w:cs="Times New Roman"/>
          <w:b/>
          <w:bCs/>
          <w:snapToGrid w:val="0"/>
          <w:color w:val="auto"/>
          <w:sz w:val="30"/>
          <w:szCs w:val="30"/>
          <w:highlight w:val="none"/>
        </w:rPr>
      </w:pPr>
      <w:r>
        <w:rPr>
          <w:rFonts w:hint="default" w:ascii="Times New Roman" w:hAnsi="Times New Roman" w:eastAsia="宋体" w:cs="Times New Roman"/>
          <w:snapToGrid w:val="0"/>
          <w:color w:val="auto"/>
          <w:sz w:val="36"/>
          <w:szCs w:val="36"/>
          <w:highlight w:val="none"/>
        </w:rPr>
        <w:br w:type="page"/>
      </w:r>
      <w:r>
        <w:rPr>
          <w:rFonts w:hint="default" w:ascii="Times New Roman" w:hAnsi="Times New Roman" w:eastAsia="宋体" w:cs="Times New Roman"/>
          <w:b/>
          <w:bCs/>
          <w:snapToGrid w:val="0"/>
          <w:color w:val="auto"/>
          <w:sz w:val="30"/>
          <w:szCs w:val="30"/>
          <w:highlight w:val="none"/>
        </w:rPr>
        <w:t>四、主要环境影响和保护措施</w:t>
      </w:r>
    </w:p>
    <w:tbl>
      <w:tblPr>
        <w:tblStyle w:val="10"/>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77"/>
        <w:gridCol w:w="8331"/>
      </w:tblGrid>
      <w:tr w14:paraId="43B324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39" w:hRule="atLeast"/>
          <w:jc w:val="center"/>
        </w:trPr>
        <w:tc>
          <w:tcPr>
            <w:tcW w:w="577" w:type="dxa"/>
            <w:tcMar>
              <w:left w:w="28" w:type="dxa"/>
              <w:right w:w="28" w:type="dxa"/>
            </w:tcMar>
            <w:vAlign w:val="center"/>
          </w:tcPr>
          <w:p w14:paraId="23A11811">
            <w:pPr>
              <w:pStyle w:val="8"/>
              <w:adjustRightInd w:val="0"/>
              <w:snapToGrid w:val="0"/>
              <w:spacing w:before="0" w:beforeAutospacing="0" w:after="0" w:afterAutospacing="0"/>
              <w:jc w:val="center"/>
              <w:rPr>
                <w:rFonts w:hint="default" w:ascii="Times New Roman" w:hAnsi="Times New Roman" w:eastAsia="宋体" w:cs="Times New Roman"/>
                <w:b/>
                <w:bCs/>
                <w:color w:val="auto"/>
                <w:kern w:val="2"/>
                <w:sz w:val="21"/>
                <w:szCs w:val="21"/>
                <w:highlight w:val="none"/>
              </w:rPr>
            </w:pPr>
            <w:r>
              <w:rPr>
                <w:rFonts w:hint="default" w:ascii="Times New Roman" w:hAnsi="Times New Roman" w:eastAsia="宋体" w:cs="Times New Roman"/>
                <w:b/>
                <w:bCs/>
                <w:color w:val="auto"/>
                <w:kern w:val="2"/>
                <w:sz w:val="21"/>
                <w:szCs w:val="21"/>
                <w:highlight w:val="none"/>
              </w:rPr>
              <w:t>施工</w:t>
            </w:r>
          </w:p>
          <w:p w14:paraId="76250C41">
            <w:pPr>
              <w:pStyle w:val="8"/>
              <w:adjustRightInd w:val="0"/>
              <w:snapToGrid w:val="0"/>
              <w:spacing w:before="0" w:beforeAutospacing="0" w:after="0" w:afterAutospacing="0"/>
              <w:jc w:val="center"/>
              <w:rPr>
                <w:rFonts w:hint="default" w:ascii="Times New Roman" w:hAnsi="Times New Roman" w:eastAsia="宋体" w:cs="Times New Roman"/>
                <w:b/>
                <w:bCs/>
                <w:color w:val="auto"/>
                <w:kern w:val="2"/>
                <w:sz w:val="21"/>
                <w:szCs w:val="21"/>
                <w:highlight w:val="none"/>
              </w:rPr>
            </w:pPr>
            <w:r>
              <w:rPr>
                <w:rFonts w:hint="default" w:ascii="Times New Roman" w:hAnsi="Times New Roman" w:eastAsia="宋体" w:cs="Times New Roman"/>
                <w:b/>
                <w:bCs/>
                <w:color w:val="auto"/>
                <w:kern w:val="2"/>
                <w:sz w:val="21"/>
                <w:szCs w:val="21"/>
                <w:highlight w:val="none"/>
              </w:rPr>
              <w:t>期环</w:t>
            </w:r>
          </w:p>
          <w:p w14:paraId="06540FC7">
            <w:pPr>
              <w:pStyle w:val="8"/>
              <w:adjustRightInd w:val="0"/>
              <w:snapToGrid w:val="0"/>
              <w:spacing w:before="0" w:beforeAutospacing="0" w:after="0" w:afterAutospacing="0"/>
              <w:jc w:val="center"/>
              <w:rPr>
                <w:rFonts w:hint="default" w:ascii="Times New Roman" w:hAnsi="Times New Roman" w:eastAsia="宋体" w:cs="Times New Roman"/>
                <w:b/>
                <w:bCs/>
                <w:color w:val="auto"/>
                <w:kern w:val="2"/>
                <w:sz w:val="21"/>
                <w:szCs w:val="21"/>
                <w:highlight w:val="none"/>
              </w:rPr>
            </w:pPr>
            <w:r>
              <w:rPr>
                <w:rFonts w:hint="default" w:ascii="Times New Roman" w:hAnsi="Times New Roman" w:eastAsia="宋体" w:cs="Times New Roman"/>
                <w:b/>
                <w:bCs/>
                <w:color w:val="auto"/>
                <w:kern w:val="2"/>
                <w:sz w:val="21"/>
                <w:szCs w:val="21"/>
                <w:highlight w:val="none"/>
              </w:rPr>
              <w:t>境保</w:t>
            </w:r>
          </w:p>
          <w:p w14:paraId="61EE0A00">
            <w:pPr>
              <w:pStyle w:val="8"/>
              <w:adjustRightInd w:val="0"/>
              <w:snapToGrid w:val="0"/>
              <w:spacing w:before="0" w:beforeAutospacing="0" w:after="0" w:afterAutospacing="0"/>
              <w:jc w:val="center"/>
              <w:rPr>
                <w:rFonts w:hint="default" w:ascii="Times New Roman" w:hAnsi="Times New Roman" w:eastAsia="宋体" w:cs="Times New Roman"/>
                <w:b/>
                <w:bCs/>
                <w:color w:val="auto"/>
                <w:kern w:val="2"/>
                <w:sz w:val="21"/>
                <w:szCs w:val="21"/>
                <w:highlight w:val="none"/>
              </w:rPr>
            </w:pPr>
            <w:r>
              <w:rPr>
                <w:rFonts w:hint="default" w:ascii="Times New Roman" w:hAnsi="Times New Roman" w:eastAsia="宋体" w:cs="Times New Roman"/>
                <w:b/>
                <w:bCs/>
                <w:color w:val="auto"/>
                <w:kern w:val="2"/>
                <w:sz w:val="21"/>
                <w:szCs w:val="21"/>
                <w:highlight w:val="none"/>
              </w:rPr>
              <w:t>护措</w:t>
            </w:r>
          </w:p>
          <w:p w14:paraId="0402917F">
            <w:pPr>
              <w:pStyle w:val="8"/>
              <w:adjustRightInd w:val="0"/>
              <w:snapToGrid w:val="0"/>
              <w:spacing w:before="0" w:beforeAutospacing="0" w:after="0" w:afterAutospacing="0"/>
              <w:jc w:val="center"/>
              <w:rPr>
                <w:rFonts w:hint="default" w:ascii="Times New Roman" w:hAnsi="Times New Roman" w:eastAsia="宋体" w:cs="Times New Roman"/>
                <w:b/>
                <w:bCs/>
                <w:color w:val="auto"/>
                <w:kern w:val="2"/>
                <w:sz w:val="21"/>
                <w:szCs w:val="21"/>
                <w:highlight w:val="none"/>
              </w:rPr>
            </w:pPr>
            <w:r>
              <w:rPr>
                <w:rFonts w:hint="default" w:ascii="Times New Roman" w:hAnsi="Times New Roman" w:eastAsia="宋体" w:cs="Times New Roman"/>
                <w:b/>
                <w:bCs/>
                <w:color w:val="auto"/>
                <w:kern w:val="2"/>
                <w:sz w:val="21"/>
                <w:szCs w:val="21"/>
                <w:highlight w:val="none"/>
              </w:rPr>
              <w:t>施</w:t>
            </w:r>
          </w:p>
        </w:tc>
        <w:tc>
          <w:tcPr>
            <w:tcW w:w="8331" w:type="dxa"/>
            <w:vAlign w:val="center"/>
          </w:tcPr>
          <w:p w14:paraId="671C0E15">
            <w:pPr>
              <w:adjustRightInd w:val="0"/>
              <w:snapToGrid w:val="0"/>
              <w:spacing w:line="360" w:lineRule="auto"/>
              <w:ind w:firstLine="482"/>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1.废气</w:t>
            </w:r>
          </w:p>
          <w:p w14:paraId="3A55298D">
            <w:pPr>
              <w:widowControl/>
              <w:adjustRightInd w:val="0"/>
              <w:snapToGrid w:val="0"/>
              <w:spacing w:line="360" w:lineRule="auto"/>
              <w:ind w:firstLine="480" w:firstLineChars="200"/>
              <w:textAlignment w:val="baseline"/>
              <w:rPr>
                <w:rFonts w:hint="default" w:ascii="Times New Roman" w:hAnsi="Times New Roman" w:eastAsia="宋体" w:cs="Times New Roman"/>
                <w:bCs/>
                <w:color w:val="auto"/>
                <w:kern w:val="0"/>
                <w:sz w:val="24"/>
                <w:highlight w:val="none"/>
              </w:rPr>
            </w:pPr>
            <w:r>
              <w:rPr>
                <w:rFonts w:hint="default" w:ascii="Times New Roman" w:hAnsi="Times New Roman" w:eastAsia="宋体" w:cs="Times New Roman"/>
                <w:bCs/>
                <w:color w:val="auto"/>
                <w:kern w:val="0"/>
                <w:sz w:val="24"/>
                <w:highlight w:val="none"/>
              </w:rPr>
              <w:t>施工过程中产生的主要大气污染源是扬尘以及施工机械、运输车辆废气。</w:t>
            </w:r>
          </w:p>
          <w:p w14:paraId="7027CB9B">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（1）施工扬尘</w:t>
            </w:r>
          </w:p>
          <w:p w14:paraId="41BADACA">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施工扬尘主要产生在以下环节：①土石方开挖、回填以及现场堆放扬尘；②建筑材料（水泥、沙子、碎石等）的搬运以及堆放扬尘；③物料运输车辆造成的道路扬尘（包括运输车辆在施工区内道路行驶产生的扬尘和含泥土的运输车辆带到施工区外道路产生的扬尘）。</w:t>
            </w:r>
          </w:p>
          <w:p w14:paraId="38685D5C">
            <w:pPr>
              <w:widowControl/>
              <w:adjustRightInd w:val="0"/>
              <w:snapToGrid w:val="0"/>
              <w:spacing w:line="360" w:lineRule="auto"/>
              <w:ind w:firstLine="480" w:firstLineChars="200"/>
              <w:textAlignment w:val="baseline"/>
              <w:rPr>
                <w:rFonts w:hint="default" w:ascii="Times New Roman" w:hAnsi="Times New Roman" w:eastAsia="宋体" w:cs="Times New Roman"/>
                <w:bCs/>
                <w:color w:val="auto"/>
                <w:kern w:val="0"/>
                <w:sz w:val="24"/>
                <w:highlight w:val="none"/>
              </w:rPr>
            </w:pPr>
            <w:r>
              <w:rPr>
                <w:rFonts w:hint="default" w:ascii="Times New Roman" w:hAnsi="Times New Roman" w:eastAsia="宋体" w:cs="Times New Roman"/>
                <w:bCs/>
                <w:color w:val="auto"/>
                <w:kern w:val="0"/>
                <w:sz w:val="24"/>
                <w:highlight w:val="none"/>
              </w:rPr>
              <w:t>扬尘的主要成分是TSP，由于本项目工程量较小，施工期较短，施工期扬尘对区域大气环境的影响有限，施工期间避开大风天气，采取施工场地定时洒水</w:t>
            </w:r>
            <w:r>
              <w:rPr>
                <w:rFonts w:hint="default" w:ascii="Times New Roman" w:hAnsi="Times New Roman" w:eastAsia="宋体" w:cs="Times New Roman"/>
                <w:bCs/>
                <w:color w:val="auto"/>
                <w:kern w:val="0"/>
                <w:sz w:val="24"/>
                <w:highlight w:val="none"/>
                <w:lang w:val="en-US" w:eastAsia="zh-CN"/>
              </w:rPr>
              <w:t>抑尘</w:t>
            </w:r>
            <w:r>
              <w:rPr>
                <w:rFonts w:hint="default" w:ascii="Times New Roman" w:hAnsi="Times New Roman" w:eastAsia="宋体" w:cs="Times New Roman"/>
                <w:bCs/>
                <w:color w:val="auto"/>
                <w:kern w:val="0"/>
                <w:sz w:val="24"/>
                <w:highlight w:val="none"/>
              </w:rPr>
              <w:t>、露天堆放物料苫盖、施工现场四周围挡等措施，因此，施工阶段产生的扬尘对周围大气环境的影响较小。</w:t>
            </w:r>
          </w:p>
          <w:p w14:paraId="16D2746E">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（2）施工机械废气</w:t>
            </w:r>
          </w:p>
          <w:p w14:paraId="22C969EB">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本项目施工过程中主要有运输车辆、挖掘机等机械，以柴油为燃料，产生一定量的废气，</w:t>
            </w:r>
            <w:r>
              <w:rPr>
                <w:rFonts w:hint="default" w:ascii="Times New Roman" w:hAnsi="Times New Roman" w:eastAsia="宋体" w:cs="Times New Roman"/>
                <w:bCs/>
                <w:color w:val="auto"/>
                <w:kern w:val="0"/>
                <w:sz w:val="24"/>
                <w:highlight w:val="none"/>
              </w:rPr>
              <w:t>主要成分是</w:t>
            </w:r>
            <w:r>
              <w:rPr>
                <w:rFonts w:hint="default" w:ascii="Times New Roman" w:hAnsi="Times New Roman" w:eastAsia="宋体" w:cs="Times New Roman"/>
                <w:bCs/>
                <w:color w:val="auto"/>
                <w:kern w:val="0"/>
                <w:sz w:val="24"/>
                <w:highlight w:val="none"/>
                <w:lang w:eastAsia="zh-CN"/>
              </w:rPr>
              <w:t>H</w:t>
            </w:r>
            <w:r>
              <w:rPr>
                <w:rFonts w:hint="default" w:ascii="Times New Roman" w:hAnsi="Times New Roman" w:eastAsia="宋体" w:cs="Times New Roman"/>
                <w:bCs/>
                <w:color w:val="auto"/>
                <w:kern w:val="0"/>
                <w:sz w:val="24"/>
                <w:highlight w:val="none"/>
              </w:rPr>
              <w:t>C、CO、NOx等。施工期间加强车辆和机械设备的管理，</w:t>
            </w:r>
            <w:r>
              <w:rPr>
                <w:rFonts w:hint="eastAsia" w:cs="Times New Roman"/>
                <w:bCs/>
                <w:color w:val="auto"/>
                <w:kern w:val="0"/>
                <w:sz w:val="24"/>
                <w:highlight w:val="none"/>
                <w:lang w:eastAsia="zh-CN"/>
              </w:rPr>
              <w:t>保持</w:t>
            </w:r>
            <w:r>
              <w:rPr>
                <w:rFonts w:hint="default" w:ascii="Times New Roman" w:hAnsi="Times New Roman" w:eastAsia="宋体" w:cs="Times New Roman"/>
                <w:bCs/>
                <w:color w:val="auto"/>
                <w:kern w:val="0"/>
                <w:sz w:val="24"/>
                <w:highlight w:val="none"/>
              </w:rPr>
              <w:t>施工机械良好运转，并选择符合标准的燃油。由于本项目工程量较小，施工期较短，施工机械、运输车辆废气产生量较小，对周围大气环境的影响较小</w:t>
            </w:r>
            <w:r>
              <w:rPr>
                <w:rFonts w:hint="default" w:ascii="Times New Roman" w:hAnsi="Times New Roman" w:eastAsia="宋体" w:cs="Times New Roman"/>
                <w:color w:val="auto"/>
                <w:kern w:val="0"/>
                <w:sz w:val="24"/>
                <w:highlight w:val="none"/>
              </w:rPr>
              <w:t>。</w:t>
            </w:r>
          </w:p>
          <w:p w14:paraId="23F11A90">
            <w:pPr>
              <w:widowControl/>
              <w:adjustRightInd w:val="0"/>
              <w:snapToGrid w:val="0"/>
              <w:spacing w:line="360" w:lineRule="auto"/>
              <w:ind w:firstLine="482" w:firstLineChars="200"/>
              <w:textAlignment w:val="baseline"/>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2.废水</w:t>
            </w:r>
          </w:p>
          <w:p w14:paraId="7394D702">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建筑施工期间的废水包括施工废水和施工人员的生活污水。</w:t>
            </w:r>
          </w:p>
          <w:p w14:paraId="3009599E">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施工生产废水包括砂石冲洗水、养护水、场地冲洗水以及机械设备运转的冷却水和洗涤水、输送系统冲洗废水。施工时设置临时沉淀池，将含泥沙的雨水、泥浆水等经沉淀池沉淀处理后回收利用，不外排。</w:t>
            </w:r>
            <w:r>
              <w:rPr>
                <w:rFonts w:hint="default" w:ascii="Times New Roman" w:hAnsi="Times New Roman" w:eastAsia="宋体" w:cs="Times New Roman"/>
                <w:bCs/>
                <w:color w:val="auto"/>
                <w:kern w:val="0"/>
                <w:sz w:val="24"/>
                <w:highlight w:val="none"/>
              </w:rPr>
              <w:t>施工人员生活污水产生量很少，</w:t>
            </w:r>
            <w:r>
              <w:rPr>
                <w:rFonts w:hint="default" w:ascii="Times New Roman" w:hAnsi="Times New Roman" w:eastAsia="宋体" w:cs="Times New Roman"/>
                <w:bCs/>
                <w:color w:val="auto"/>
                <w:kern w:val="0"/>
                <w:sz w:val="24"/>
                <w:highlight w:val="none"/>
                <w:lang w:val="en-US" w:eastAsia="zh-CN"/>
              </w:rPr>
              <w:t>依托污水厂已有污水处理系统</w:t>
            </w:r>
            <w:r>
              <w:rPr>
                <w:rFonts w:hint="default" w:ascii="Times New Roman" w:hAnsi="Times New Roman" w:eastAsia="宋体" w:cs="Times New Roman"/>
                <w:bCs/>
                <w:color w:val="auto"/>
                <w:kern w:val="0"/>
                <w:sz w:val="24"/>
                <w:highlight w:val="none"/>
              </w:rPr>
              <w:t>处理，</w:t>
            </w:r>
            <w:r>
              <w:rPr>
                <w:rFonts w:hint="default" w:ascii="Times New Roman" w:hAnsi="Times New Roman" w:eastAsia="宋体" w:cs="Times New Roman"/>
                <w:color w:val="auto"/>
                <w:kern w:val="0"/>
                <w:sz w:val="24"/>
                <w:highlight w:val="none"/>
              </w:rPr>
              <w:t>生活污水得到妥善处理。</w:t>
            </w:r>
          </w:p>
          <w:p w14:paraId="68FADB9F">
            <w:pPr>
              <w:widowControl/>
              <w:adjustRightInd w:val="0"/>
              <w:snapToGrid w:val="0"/>
              <w:spacing w:line="360" w:lineRule="auto"/>
              <w:ind w:firstLine="482"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b/>
                <w:bCs/>
                <w:color w:val="auto"/>
                <w:kern w:val="0"/>
                <w:sz w:val="24"/>
                <w:highlight w:val="none"/>
              </w:rPr>
              <w:t>3.噪声</w:t>
            </w:r>
          </w:p>
          <w:p w14:paraId="7AC85CAB">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根据工程分析，施工过程中使用的施工机械较少，施工期的噪声来自小型施工机械和运输车辆，噪声源强在75-95dB，特点为暂时的短期间歇性行为，无规律性，在施工场地界线处，一般情况下噪声强度将超过《建筑施工场界环境噪声排放标准》（GB12523-2011）。为减少施工噪声对周围企业的影响，施工单位及建设单位应采取以下减缓措施：</w:t>
            </w:r>
          </w:p>
          <w:p w14:paraId="7397FA43">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①选用低噪声设备，同时在施工过程中</w:t>
            </w:r>
            <w:r>
              <w:rPr>
                <w:rFonts w:hint="eastAsia" w:cs="Times New Roman"/>
                <w:color w:val="auto"/>
                <w:kern w:val="0"/>
                <w:sz w:val="24"/>
                <w:highlight w:val="none"/>
                <w:lang w:eastAsia="zh-CN"/>
              </w:rPr>
              <w:t>由</w:t>
            </w:r>
            <w:r>
              <w:rPr>
                <w:rFonts w:hint="default" w:ascii="Times New Roman" w:hAnsi="Times New Roman" w:eastAsia="宋体" w:cs="Times New Roman"/>
                <w:color w:val="auto"/>
                <w:kern w:val="0"/>
                <w:sz w:val="24"/>
                <w:highlight w:val="none"/>
              </w:rPr>
              <w:t>施工单位</w:t>
            </w:r>
            <w:r>
              <w:rPr>
                <w:rFonts w:hint="eastAsia" w:cs="Times New Roman"/>
                <w:color w:val="auto"/>
                <w:kern w:val="0"/>
                <w:sz w:val="24"/>
                <w:highlight w:val="none"/>
                <w:lang w:eastAsia="zh-CN"/>
              </w:rPr>
              <w:t>派</w:t>
            </w:r>
            <w:r>
              <w:rPr>
                <w:rFonts w:hint="default" w:ascii="Times New Roman" w:hAnsi="Times New Roman" w:eastAsia="宋体" w:cs="Times New Roman"/>
                <w:color w:val="auto"/>
                <w:kern w:val="0"/>
                <w:sz w:val="24"/>
                <w:highlight w:val="none"/>
              </w:rPr>
              <w:t>专人对设备进行定期保养和维护。严格按操作规范使用各类机械。</w:t>
            </w:r>
          </w:p>
          <w:p w14:paraId="2868DD25">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②合理安排施工时间，</w:t>
            </w:r>
            <w:r>
              <w:rPr>
                <w:rFonts w:hint="default" w:ascii="Times New Roman" w:hAnsi="Times New Roman" w:eastAsia="宋体" w:cs="Times New Roman"/>
                <w:color w:val="auto"/>
                <w:kern w:val="0"/>
                <w:sz w:val="24"/>
                <w:highlight w:val="none"/>
                <w:lang w:val="en-US" w:eastAsia="zh-CN"/>
              </w:rPr>
              <w:t>不</w:t>
            </w:r>
            <w:r>
              <w:rPr>
                <w:rFonts w:hint="default" w:ascii="Times New Roman" w:hAnsi="Times New Roman" w:eastAsia="宋体" w:cs="Times New Roman"/>
                <w:color w:val="auto"/>
                <w:kern w:val="0"/>
                <w:sz w:val="24"/>
                <w:highlight w:val="none"/>
              </w:rPr>
              <w:t>在22:00-06:00期间施工。</w:t>
            </w:r>
          </w:p>
          <w:p w14:paraId="59F89135">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③合理进行施工场地布置。</w:t>
            </w:r>
          </w:p>
          <w:p w14:paraId="2FE78402">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综上所述，施工期间通过选用低噪声设备、合理布局施工场地、合理安排施工时间及其他相应降噪措施后，施工厂界噪声满足《建筑施工场界环境噪声排放标准》（GB 12523-2011）所规定的噪声标准的要求</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项目建设期对周围声环境影响较小。</w:t>
            </w:r>
          </w:p>
          <w:p w14:paraId="5FC00DD3">
            <w:pPr>
              <w:widowControl/>
              <w:adjustRightInd w:val="0"/>
              <w:snapToGrid w:val="0"/>
              <w:spacing w:line="360" w:lineRule="auto"/>
              <w:ind w:firstLine="482" w:firstLineChars="200"/>
              <w:textAlignment w:val="baseline"/>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4.固体废物</w:t>
            </w:r>
          </w:p>
          <w:p w14:paraId="392EAA8C">
            <w:pPr>
              <w:spacing w:line="360" w:lineRule="auto"/>
              <w:ind w:firstLine="480" w:firstLineChars="200"/>
              <w:rPr>
                <w:rFonts w:hint="default" w:ascii="Times New Roman" w:hAnsi="Times New Roman" w:eastAsia="宋体" w:cs="Times New Roman"/>
                <w:bCs/>
                <w:color w:val="auto"/>
                <w:kern w:val="0"/>
                <w:sz w:val="24"/>
                <w:highlight w:val="none"/>
              </w:rPr>
            </w:pPr>
            <w:r>
              <w:rPr>
                <w:rFonts w:hint="default" w:ascii="Times New Roman" w:hAnsi="Times New Roman" w:eastAsia="宋体" w:cs="Times New Roman"/>
                <w:bCs/>
                <w:color w:val="auto"/>
                <w:kern w:val="0"/>
                <w:sz w:val="24"/>
                <w:highlight w:val="none"/>
              </w:rPr>
              <w:t>施工期产生的固废主要为</w:t>
            </w:r>
            <w:r>
              <w:rPr>
                <w:rFonts w:hint="default" w:ascii="Times New Roman" w:hAnsi="Times New Roman" w:eastAsia="宋体" w:cs="Times New Roman"/>
                <w:bCs/>
                <w:color w:val="auto"/>
                <w:kern w:val="0"/>
                <w:sz w:val="24"/>
                <w:highlight w:val="none"/>
                <w:lang w:val="en-US" w:eastAsia="zh-CN"/>
              </w:rPr>
              <w:t>拆除的废旧设备、</w:t>
            </w:r>
            <w:r>
              <w:rPr>
                <w:rFonts w:hint="default" w:ascii="Times New Roman" w:hAnsi="Times New Roman" w:eastAsia="宋体" w:cs="Times New Roman"/>
                <w:bCs/>
                <w:color w:val="auto"/>
                <w:kern w:val="0"/>
                <w:sz w:val="24"/>
                <w:highlight w:val="none"/>
              </w:rPr>
              <w:t>建筑垃圾和生活垃圾。</w:t>
            </w:r>
            <w:r>
              <w:rPr>
                <w:rFonts w:hint="default" w:ascii="Times New Roman" w:hAnsi="Times New Roman" w:eastAsia="宋体" w:cs="Times New Roman"/>
                <w:bCs/>
                <w:color w:val="auto"/>
                <w:kern w:val="0"/>
                <w:sz w:val="24"/>
                <w:highlight w:val="none"/>
                <w:lang w:val="en-US" w:eastAsia="zh-CN"/>
              </w:rPr>
              <w:t>拆除的废旧设备约50t，外售于废品回收企业。</w:t>
            </w:r>
            <w:r>
              <w:rPr>
                <w:rFonts w:hint="default" w:ascii="Times New Roman" w:hAnsi="Times New Roman" w:eastAsia="宋体" w:cs="Times New Roman"/>
                <w:bCs/>
                <w:color w:val="auto"/>
                <w:kern w:val="0"/>
                <w:sz w:val="24"/>
                <w:highlight w:val="none"/>
              </w:rPr>
              <w:t>建筑垃圾为</w:t>
            </w:r>
            <w:r>
              <w:rPr>
                <w:rFonts w:hint="default" w:ascii="Times New Roman" w:hAnsi="Times New Roman" w:eastAsia="宋体" w:cs="Times New Roman"/>
                <w:bCs/>
                <w:color w:val="auto"/>
                <w:kern w:val="0"/>
                <w:sz w:val="24"/>
                <w:highlight w:val="none"/>
                <w:lang w:val="en-US" w:eastAsia="zh-CN"/>
              </w:rPr>
              <w:t>场地清理、改造</w:t>
            </w:r>
            <w:r>
              <w:rPr>
                <w:rFonts w:hint="default" w:ascii="Times New Roman" w:hAnsi="Times New Roman" w:eastAsia="宋体" w:cs="Times New Roman"/>
                <w:bCs/>
                <w:color w:val="auto"/>
                <w:kern w:val="0"/>
                <w:sz w:val="24"/>
                <w:highlight w:val="none"/>
              </w:rPr>
              <w:t>过程中产生的建筑弃料等，</w:t>
            </w:r>
            <w:r>
              <w:rPr>
                <w:rFonts w:hint="default" w:ascii="Times New Roman" w:hAnsi="Times New Roman" w:eastAsia="宋体" w:cs="Times New Roman"/>
                <w:bCs/>
                <w:color w:val="auto"/>
                <w:kern w:val="0"/>
                <w:sz w:val="24"/>
                <w:highlight w:val="none"/>
                <w:lang w:val="en-US" w:eastAsia="zh-CN"/>
              </w:rPr>
              <w:t>固废产生量约20t，</w:t>
            </w:r>
            <w:r>
              <w:rPr>
                <w:rFonts w:hint="default" w:ascii="Times New Roman" w:hAnsi="Times New Roman" w:eastAsia="宋体" w:cs="Times New Roman"/>
                <w:bCs/>
                <w:color w:val="auto"/>
                <w:kern w:val="0"/>
                <w:sz w:val="24"/>
                <w:highlight w:val="none"/>
              </w:rPr>
              <w:t>部分可以回用于项目建设，不能回用的应拉运至当地政府指定地点处置。施工人员产生的生活垃圾集中收集，在指定地点设置垃圾桶并加强管理，</w:t>
            </w:r>
            <w:r>
              <w:rPr>
                <w:rFonts w:hint="default" w:ascii="Times New Roman" w:hAnsi="Times New Roman" w:eastAsia="宋体" w:cs="Times New Roman"/>
                <w:bCs/>
                <w:color w:val="auto"/>
                <w:kern w:val="0"/>
                <w:sz w:val="24"/>
                <w:highlight w:val="none"/>
                <w:lang w:eastAsia="zh-CN"/>
              </w:rPr>
              <w:t>并</w:t>
            </w:r>
            <w:r>
              <w:rPr>
                <w:rFonts w:hint="default" w:ascii="Times New Roman" w:hAnsi="Times New Roman" w:eastAsia="宋体" w:cs="Times New Roman"/>
                <w:bCs/>
                <w:color w:val="auto"/>
                <w:kern w:val="0"/>
                <w:sz w:val="24"/>
                <w:highlight w:val="none"/>
              </w:rPr>
              <w:t>定期交当地环卫部门集中处理。施工期间产生的固体废物均</w:t>
            </w:r>
            <w:r>
              <w:rPr>
                <w:rFonts w:hint="default" w:ascii="Times New Roman" w:hAnsi="Times New Roman" w:eastAsia="宋体" w:cs="Times New Roman"/>
                <w:bCs/>
                <w:color w:val="auto"/>
                <w:kern w:val="0"/>
                <w:sz w:val="24"/>
                <w:highlight w:val="none"/>
                <w:lang w:val="en-US" w:eastAsia="zh-CN"/>
              </w:rPr>
              <w:t>可</w:t>
            </w:r>
            <w:r>
              <w:rPr>
                <w:rFonts w:hint="default" w:ascii="Times New Roman" w:hAnsi="Times New Roman" w:eastAsia="宋体" w:cs="Times New Roman"/>
                <w:bCs/>
                <w:color w:val="auto"/>
                <w:kern w:val="0"/>
                <w:sz w:val="24"/>
                <w:highlight w:val="none"/>
              </w:rPr>
              <w:t>得到合理处置，对周围环境的影响较小。</w:t>
            </w:r>
          </w:p>
          <w:p w14:paraId="65DF5455">
            <w:pPr>
              <w:spacing w:line="360" w:lineRule="auto"/>
              <w:ind w:firstLine="480" w:firstLineChars="200"/>
              <w:rPr>
                <w:rFonts w:hint="default" w:ascii="Times New Roman" w:hAnsi="Times New Roman" w:eastAsia="宋体" w:cs="Times New Roman"/>
                <w:bCs/>
                <w:color w:val="auto"/>
                <w:szCs w:val="21"/>
                <w:highlight w:val="none"/>
              </w:rPr>
            </w:pPr>
          </w:p>
        </w:tc>
      </w:tr>
      <w:tr w14:paraId="0EC87F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31" w:hRule="atLeast"/>
          <w:jc w:val="center"/>
        </w:trPr>
        <w:tc>
          <w:tcPr>
            <w:tcW w:w="577" w:type="dxa"/>
            <w:tcMar>
              <w:left w:w="28" w:type="dxa"/>
              <w:right w:w="28" w:type="dxa"/>
            </w:tcMar>
            <w:vAlign w:val="center"/>
          </w:tcPr>
          <w:p w14:paraId="4A84C5F6">
            <w:pPr>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运营</w:t>
            </w:r>
          </w:p>
          <w:p w14:paraId="62AB5158">
            <w:pPr>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期环</w:t>
            </w:r>
          </w:p>
          <w:p w14:paraId="615C9B25">
            <w:pPr>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境影</w:t>
            </w:r>
          </w:p>
          <w:p w14:paraId="38B8D626">
            <w:pPr>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响和</w:t>
            </w:r>
          </w:p>
          <w:p w14:paraId="25FC4560">
            <w:pPr>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保护</w:t>
            </w:r>
          </w:p>
          <w:p w14:paraId="59FE37FC">
            <w:pPr>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措施</w:t>
            </w:r>
          </w:p>
        </w:tc>
        <w:tc>
          <w:tcPr>
            <w:tcW w:w="8331" w:type="dxa"/>
            <w:vAlign w:val="center"/>
          </w:tcPr>
          <w:p w14:paraId="7FF06292">
            <w:pPr>
              <w:spacing w:line="360" w:lineRule="auto"/>
              <w:ind w:firstLine="420"/>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1.废水</w:t>
            </w:r>
          </w:p>
          <w:p w14:paraId="11FD86CA">
            <w:pPr>
              <w:spacing w:line="360" w:lineRule="auto"/>
              <w:ind w:firstLine="420"/>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1.1水污染源强</w:t>
            </w:r>
          </w:p>
          <w:p w14:paraId="25A96235">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（1）生产废水</w:t>
            </w:r>
          </w:p>
          <w:p w14:paraId="673C2BC6">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本项目运营过程中不新增劳动定员，无新增生活废水。一期改造工程新增生产废水</w:t>
            </w:r>
            <w:r>
              <w:rPr>
                <w:rFonts w:hint="default" w:ascii="Times New Roman" w:hAnsi="Times New Roman" w:cs="Times New Roman"/>
                <w:bCs/>
                <w:color w:val="auto"/>
                <w:sz w:val="24"/>
                <w:highlight w:val="none"/>
                <w:lang w:val="en-US" w:eastAsia="zh-CN"/>
              </w:rPr>
              <w:t>主</w:t>
            </w:r>
            <w:r>
              <w:rPr>
                <w:rFonts w:hint="default" w:ascii="Times New Roman" w:hAnsi="Times New Roman" w:eastAsia="宋体" w:cs="Times New Roman"/>
                <w:bCs/>
                <w:color w:val="auto"/>
                <w:sz w:val="24"/>
                <w:highlight w:val="none"/>
                <w:lang w:val="en-US" w:eastAsia="zh-CN"/>
              </w:rPr>
              <w:t>要为深度脱氮反硝化滤池反冲洗废水</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产生量为1000t/a。深度脱氮反硝化滤池为深度处理阶段，故处理的废水中各污染物浓度极小，其反冲洗废水主要污染物浓度如下：CODcr约为25</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g/L～100</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g/L、BOD</w:t>
            </w:r>
            <w:r>
              <w:rPr>
                <w:rFonts w:hint="default" w:ascii="Times New Roman" w:hAnsi="Times New Roman" w:eastAsia="宋体" w:cs="Times New Roman"/>
                <w:bCs/>
                <w:color w:val="auto"/>
                <w:sz w:val="24"/>
                <w:highlight w:val="none"/>
                <w:vertAlign w:val="subscript"/>
                <w:lang w:val="en-US" w:eastAsia="zh-CN"/>
              </w:rPr>
              <w:t>5</w:t>
            </w:r>
            <w:r>
              <w:rPr>
                <w:rFonts w:hint="default" w:ascii="Times New Roman" w:hAnsi="Times New Roman" w:eastAsia="宋体" w:cs="Times New Roman"/>
                <w:bCs/>
                <w:color w:val="auto"/>
                <w:sz w:val="24"/>
                <w:highlight w:val="none"/>
                <w:lang w:val="en-US" w:eastAsia="zh-CN"/>
              </w:rPr>
              <w:t>约为10</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g/L～40</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g/L，SS约为14</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g/L～60</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g/L，TN约为3</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g/L～15</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g/L，NH</w:t>
            </w:r>
            <w:r>
              <w:rPr>
                <w:rFonts w:hint="default" w:ascii="Times New Roman" w:hAnsi="Times New Roman" w:eastAsia="宋体" w:cs="Times New Roman"/>
                <w:bCs/>
                <w:color w:val="auto"/>
                <w:sz w:val="24"/>
                <w:highlight w:val="none"/>
                <w:vertAlign w:val="subscript"/>
                <w:lang w:val="en-US" w:eastAsia="zh-CN"/>
              </w:rPr>
              <w:t>3</w:t>
            </w:r>
            <w:r>
              <w:rPr>
                <w:rFonts w:hint="default" w:ascii="Times New Roman" w:hAnsi="Times New Roman" w:eastAsia="宋体" w:cs="Times New Roman"/>
                <w:bCs/>
                <w:color w:val="auto"/>
                <w:sz w:val="24"/>
                <w:highlight w:val="none"/>
                <w:lang w:val="en-US" w:eastAsia="zh-CN"/>
              </w:rPr>
              <w:t>-N约为10</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g/L～40</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g/L，TP约为0.25</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g/L～1</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g/L。反冲洗废水进入污水厂污水井，不外排。</w:t>
            </w:r>
          </w:p>
          <w:p w14:paraId="11D7AB17">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（2）处理后的中水</w:t>
            </w:r>
          </w:p>
          <w:p w14:paraId="00D3B1BB">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一期工程现有处理能力为2000t/d，处理工艺采用AAO法+磁混凝澄清池工艺，二期工程现有处理能力为6500t/d，处理工艺采用五段Bardenpho+磁混凝澄清池。本次改造后一期污水处理规模达到5000t/d，二期工程</w:t>
            </w:r>
            <w:r>
              <w:rPr>
                <w:rFonts w:hint="eastAsia" w:cs="Times New Roman"/>
                <w:bCs/>
                <w:color w:val="auto"/>
                <w:sz w:val="24"/>
                <w:highlight w:val="none"/>
                <w:lang w:val="en-US" w:eastAsia="zh-CN"/>
              </w:rPr>
              <w:t>规模</w:t>
            </w:r>
            <w:r>
              <w:rPr>
                <w:rFonts w:hint="default" w:ascii="Times New Roman" w:hAnsi="Times New Roman" w:eastAsia="宋体" w:cs="Times New Roman"/>
                <w:bCs/>
                <w:color w:val="auto"/>
                <w:sz w:val="24"/>
                <w:highlight w:val="none"/>
                <w:lang w:val="en-US" w:eastAsia="zh-CN"/>
              </w:rPr>
              <w:t>不变，合计污水厂总体处理能力为11500t/d。出水水质执行《城镇污水处理厂污染物排放标准》（GB18918-2002）及其修改单中一级A标准、《城市污水再生利用 工业用水水质》（GB/T19923-2024）、《城市污水再生利用 城市杂用水水质》（GB/T18920-2020）。</w:t>
            </w:r>
          </w:p>
          <w:p w14:paraId="42781EA2">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根据更新改造后污水厂的处理规模（5000t/d，即182.5万t/a）及设计进出水水质，可计算出处理后的中水中主要污染物的排放源强及建设前后的削减率。</w:t>
            </w:r>
          </w:p>
          <w:p w14:paraId="7EAB807E">
            <w:pPr>
              <w:spacing w:line="360" w:lineRule="auto"/>
              <w:jc w:val="center"/>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表4-1 一期改造工程处理后的中水产排污情况一览表</w:t>
            </w:r>
          </w:p>
          <w:tbl>
            <w:tblPr>
              <w:tblStyle w:val="10"/>
              <w:tblW w:w="5000" w:type="pct"/>
              <w:jc w:val="center"/>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Layout w:type="fixed"/>
              <w:tblCellMar>
                <w:top w:w="0" w:type="dxa"/>
                <w:left w:w="23" w:type="dxa"/>
                <w:bottom w:w="0" w:type="dxa"/>
                <w:right w:w="23" w:type="dxa"/>
              </w:tblCellMar>
            </w:tblPr>
            <w:tblGrid>
              <w:gridCol w:w="902"/>
              <w:gridCol w:w="902"/>
              <w:gridCol w:w="902"/>
              <w:gridCol w:w="902"/>
              <w:gridCol w:w="902"/>
              <w:gridCol w:w="902"/>
              <w:gridCol w:w="902"/>
              <w:gridCol w:w="902"/>
              <w:gridCol w:w="902"/>
            </w:tblGrid>
            <w:tr w14:paraId="5487F91E">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397" w:hRule="atLeast"/>
                <w:jc w:val="center"/>
              </w:trPr>
              <w:tc>
                <w:tcPr>
                  <w:tcW w:w="1080" w:type="dxa"/>
                  <w:vMerge w:val="restart"/>
                  <w:tcBorders>
                    <w:tl2br w:val="nil"/>
                    <w:tr2bl w:val="nil"/>
                  </w:tcBorders>
                  <w:shd w:val="clear" w:color="auto" w:fill="auto"/>
                  <w:vAlign w:val="center"/>
                </w:tcPr>
                <w:p w14:paraId="487E6AC1">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废水</w:t>
                  </w:r>
                  <w:r>
                    <w:rPr>
                      <w:rFonts w:hint="default" w:ascii="Times New Roman" w:hAnsi="Times New Roman" w:eastAsia="宋体" w:cs="Times New Roman"/>
                      <w:b/>
                      <w:bCs/>
                      <w:i w:val="0"/>
                      <w:iCs w:val="0"/>
                      <w:color w:val="auto"/>
                      <w:kern w:val="0"/>
                      <w:sz w:val="21"/>
                      <w:szCs w:val="21"/>
                      <w:u w:val="none"/>
                      <w:lang w:val="en-US" w:eastAsia="zh-CN" w:bidi="ar"/>
                    </w:rPr>
                    <w:br w:type="textWrapping"/>
                  </w:r>
                  <w:r>
                    <w:rPr>
                      <w:rFonts w:hint="default" w:ascii="Times New Roman" w:hAnsi="Times New Roman" w:eastAsia="宋体" w:cs="Times New Roman"/>
                      <w:b/>
                      <w:bCs/>
                      <w:i w:val="0"/>
                      <w:iCs w:val="0"/>
                      <w:color w:val="auto"/>
                      <w:kern w:val="0"/>
                      <w:sz w:val="21"/>
                      <w:szCs w:val="21"/>
                      <w:u w:val="none"/>
                      <w:lang w:val="en-US" w:eastAsia="zh-CN" w:bidi="ar"/>
                    </w:rPr>
                    <w:t>类型</w:t>
                  </w:r>
                </w:p>
              </w:tc>
              <w:tc>
                <w:tcPr>
                  <w:tcW w:w="1080" w:type="dxa"/>
                  <w:vMerge w:val="restart"/>
                  <w:tcBorders>
                    <w:tl2br w:val="nil"/>
                    <w:tr2bl w:val="nil"/>
                  </w:tcBorders>
                  <w:shd w:val="clear" w:color="auto" w:fill="auto"/>
                  <w:vAlign w:val="center"/>
                </w:tcPr>
                <w:p w14:paraId="7EFCBAC2">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污染物</w:t>
                  </w:r>
                  <w:r>
                    <w:rPr>
                      <w:rFonts w:hint="default" w:ascii="Times New Roman" w:hAnsi="Times New Roman" w:eastAsia="宋体" w:cs="Times New Roman"/>
                      <w:b/>
                      <w:bCs/>
                      <w:i w:val="0"/>
                      <w:iCs w:val="0"/>
                      <w:color w:val="auto"/>
                      <w:kern w:val="0"/>
                      <w:sz w:val="21"/>
                      <w:szCs w:val="21"/>
                      <w:u w:val="none"/>
                      <w:lang w:val="en-US" w:eastAsia="zh-CN" w:bidi="ar"/>
                    </w:rPr>
                    <w:br w:type="textWrapping"/>
                  </w:r>
                  <w:r>
                    <w:rPr>
                      <w:rFonts w:hint="default" w:ascii="Times New Roman" w:hAnsi="Times New Roman" w:eastAsia="宋体" w:cs="Times New Roman"/>
                      <w:b/>
                      <w:bCs/>
                      <w:i w:val="0"/>
                      <w:iCs w:val="0"/>
                      <w:color w:val="auto"/>
                      <w:kern w:val="0"/>
                      <w:sz w:val="21"/>
                      <w:szCs w:val="21"/>
                      <w:u w:val="none"/>
                      <w:lang w:val="en-US" w:eastAsia="zh-CN" w:bidi="ar"/>
                    </w:rPr>
                    <w:t>名称</w:t>
                  </w:r>
                </w:p>
              </w:tc>
              <w:tc>
                <w:tcPr>
                  <w:tcW w:w="2160" w:type="dxa"/>
                  <w:gridSpan w:val="2"/>
                  <w:tcBorders>
                    <w:tl2br w:val="nil"/>
                    <w:tr2bl w:val="nil"/>
                  </w:tcBorders>
                  <w:shd w:val="clear" w:color="auto" w:fill="auto"/>
                  <w:vAlign w:val="center"/>
                </w:tcPr>
                <w:p w14:paraId="6CE79057">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污染物产生量</w:t>
                  </w:r>
                </w:p>
              </w:tc>
              <w:tc>
                <w:tcPr>
                  <w:tcW w:w="1080" w:type="dxa"/>
                  <w:vMerge w:val="restart"/>
                  <w:tcBorders>
                    <w:tl2br w:val="nil"/>
                    <w:tr2bl w:val="nil"/>
                  </w:tcBorders>
                  <w:shd w:val="clear" w:color="auto" w:fill="auto"/>
                  <w:vAlign w:val="center"/>
                </w:tcPr>
                <w:p w14:paraId="2D1A7CC5">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治理措施</w:t>
                  </w:r>
                </w:p>
              </w:tc>
              <w:tc>
                <w:tcPr>
                  <w:tcW w:w="1080" w:type="dxa"/>
                  <w:vMerge w:val="restart"/>
                  <w:tcBorders>
                    <w:tl2br w:val="nil"/>
                    <w:tr2bl w:val="nil"/>
                  </w:tcBorders>
                  <w:shd w:val="clear" w:color="auto" w:fill="auto"/>
                  <w:vAlign w:val="center"/>
                </w:tcPr>
                <w:p w14:paraId="22A69483">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去除效率%</w:t>
                  </w:r>
                </w:p>
              </w:tc>
              <w:tc>
                <w:tcPr>
                  <w:tcW w:w="2160" w:type="dxa"/>
                  <w:gridSpan w:val="2"/>
                  <w:tcBorders>
                    <w:tl2br w:val="nil"/>
                    <w:tr2bl w:val="nil"/>
                  </w:tcBorders>
                  <w:shd w:val="clear" w:color="auto" w:fill="auto"/>
                  <w:vAlign w:val="center"/>
                </w:tcPr>
                <w:p w14:paraId="51C9D185">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污染物排放量</w:t>
                  </w:r>
                </w:p>
              </w:tc>
              <w:tc>
                <w:tcPr>
                  <w:tcW w:w="1080" w:type="dxa"/>
                  <w:vMerge w:val="restart"/>
                  <w:tcBorders>
                    <w:tl2br w:val="nil"/>
                    <w:tr2bl w:val="nil"/>
                  </w:tcBorders>
                  <w:shd w:val="clear" w:color="auto" w:fill="auto"/>
                  <w:vAlign w:val="center"/>
                </w:tcPr>
                <w:p w14:paraId="53324DD6">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执行标准</w:t>
                  </w:r>
                  <w:r>
                    <w:rPr>
                      <w:rFonts w:hint="default" w:ascii="Times New Roman" w:hAnsi="Times New Roman" w:eastAsia="宋体" w:cs="Times New Roman"/>
                      <w:b/>
                      <w:bCs/>
                      <w:i w:val="0"/>
                      <w:iCs w:val="0"/>
                      <w:color w:val="auto"/>
                      <w:kern w:val="0"/>
                      <w:sz w:val="21"/>
                      <w:szCs w:val="21"/>
                      <w:u w:val="none"/>
                      <w:lang w:val="en-US" w:eastAsia="zh-CN" w:bidi="ar"/>
                    </w:rPr>
                    <w:br w:type="textWrapping"/>
                  </w:r>
                  <w:r>
                    <w:rPr>
                      <w:rFonts w:hint="default" w:ascii="Times New Roman" w:hAnsi="Times New Roman" w:eastAsia="宋体" w:cs="Times New Roman"/>
                      <w:b/>
                      <w:bCs/>
                      <w:i w:val="0"/>
                      <w:iCs w:val="0"/>
                      <w:color w:val="auto"/>
                      <w:kern w:val="0"/>
                      <w:sz w:val="21"/>
                      <w:szCs w:val="21"/>
                      <w:u w:val="none"/>
                      <w:lang w:val="en-US" w:eastAsia="zh-CN" w:bidi="ar"/>
                    </w:rPr>
                    <w:t>（</w:t>
                  </w:r>
                  <w:r>
                    <w:rPr>
                      <w:rFonts w:hint="eastAsia" w:cs="Times New Roman"/>
                      <w:b/>
                      <w:bCs/>
                      <w:i w:val="0"/>
                      <w:iCs w:val="0"/>
                      <w:color w:val="auto"/>
                      <w:kern w:val="0"/>
                      <w:sz w:val="21"/>
                      <w:szCs w:val="21"/>
                      <w:u w:val="none"/>
                      <w:lang w:val="en-US" w:eastAsia="zh-CN" w:bidi="ar"/>
                    </w:rPr>
                    <w:t>m</w:t>
                  </w:r>
                  <w:r>
                    <w:rPr>
                      <w:rFonts w:hint="default" w:ascii="Times New Roman" w:hAnsi="Times New Roman" w:eastAsia="宋体" w:cs="Times New Roman"/>
                      <w:b/>
                      <w:bCs/>
                      <w:i w:val="0"/>
                      <w:iCs w:val="0"/>
                      <w:color w:val="auto"/>
                      <w:kern w:val="0"/>
                      <w:sz w:val="21"/>
                      <w:szCs w:val="21"/>
                      <w:u w:val="none"/>
                      <w:lang w:val="en-US" w:eastAsia="zh-CN" w:bidi="ar"/>
                    </w:rPr>
                    <w:t>g/L）</w:t>
                  </w:r>
                </w:p>
              </w:tc>
            </w:tr>
            <w:tr w14:paraId="34D2EB76">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397" w:hRule="atLeast"/>
                <w:jc w:val="center"/>
              </w:trPr>
              <w:tc>
                <w:tcPr>
                  <w:tcW w:w="1080" w:type="dxa"/>
                  <w:vMerge w:val="continue"/>
                  <w:tcBorders>
                    <w:tl2br w:val="nil"/>
                    <w:tr2bl w:val="nil"/>
                  </w:tcBorders>
                  <w:shd w:val="clear" w:color="auto" w:fill="auto"/>
                  <w:vAlign w:val="center"/>
                </w:tcPr>
                <w:p w14:paraId="3C9DAE36">
                  <w:pPr>
                    <w:jc w:val="center"/>
                    <w:rPr>
                      <w:rFonts w:hint="default" w:ascii="Times New Roman" w:hAnsi="Times New Roman" w:eastAsia="宋体" w:cs="Times New Roman"/>
                      <w:b/>
                      <w:bCs/>
                      <w:i w:val="0"/>
                      <w:iCs w:val="0"/>
                      <w:color w:val="auto"/>
                      <w:sz w:val="21"/>
                      <w:szCs w:val="21"/>
                      <w:u w:val="none"/>
                    </w:rPr>
                  </w:pPr>
                </w:p>
              </w:tc>
              <w:tc>
                <w:tcPr>
                  <w:tcW w:w="1080" w:type="dxa"/>
                  <w:vMerge w:val="continue"/>
                  <w:tcBorders>
                    <w:tl2br w:val="nil"/>
                    <w:tr2bl w:val="nil"/>
                  </w:tcBorders>
                  <w:shd w:val="clear" w:color="auto" w:fill="auto"/>
                  <w:vAlign w:val="center"/>
                </w:tcPr>
                <w:p w14:paraId="063BA74E">
                  <w:pPr>
                    <w:jc w:val="center"/>
                    <w:rPr>
                      <w:rFonts w:hint="default" w:ascii="Times New Roman" w:hAnsi="Times New Roman" w:eastAsia="宋体" w:cs="Times New Roman"/>
                      <w:b/>
                      <w:bCs/>
                      <w:i w:val="0"/>
                      <w:iCs w:val="0"/>
                      <w:color w:val="auto"/>
                      <w:sz w:val="21"/>
                      <w:szCs w:val="21"/>
                      <w:u w:val="none"/>
                    </w:rPr>
                  </w:pPr>
                </w:p>
              </w:tc>
              <w:tc>
                <w:tcPr>
                  <w:tcW w:w="1080" w:type="dxa"/>
                  <w:tcBorders>
                    <w:tl2br w:val="nil"/>
                    <w:tr2bl w:val="nil"/>
                  </w:tcBorders>
                  <w:shd w:val="clear" w:color="auto" w:fill="auto"/>
                  <w:vAlign w:val="center"/>
                </w:tcPr>
                <w:p w14:paraId="165F12F9">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浓度（</w:t>
                  </w:r>
                  <w:r>
                    <w:rPr>
                      <w:rFonts w:hint="eastAsia" w:cs="Times New Roman"/>
                      <w:b/>
                      <w:bCs/>
                      <w:i w:val="0"/>
                      <w:iCs w:val="0"/>
                      <w:color w:val="auto"/>
                      <w:kern w:val="0"/>
                      <w:sz w:val="21"/>
                      <w:szCs w:val="21"/>
                      <w:u w:val="none"/>
                      <w:lang w:val="en-US" w:eastAsia="zh-CN" w:bidi="ar"/>
                    </w:rPr>
                    <w:t>m</w:t>
                  </w:r>
                  <w:r>
                    <w:rPr>
                      <w:rFonts w:hint="default" w:ascii="Times New Roman" w:hAnsi="Times New Roman" w:eastAsia="宋体" w:cs="Times New Roman"/>
                      <w:b/>
                      <w:bCs/>
                      <w:i w:val="0"/>
                      <w:iCs w:val="0"/>
                      <w:color w:val="auto"/>
                      <w:kern w:val="0"/>
                      <w:sz w:val="21"/>
                      <w:szCs w:val="21"/>
                      <w:u w:val="none"/>
                      <w:lang w:val="en-US" w:eastAsia="zh-CN" w:bidi="ar"/>
                    </w:rPr>
                    <w:t>g/L）</w:t>
                  </w:r>
                </w:p>
              </w:tc>
              <w:tc>
                <w:tcPr>
                  <w:tcW w:w="1080" w:type="dxa"/>
                  <w:tcBorders>
                    <w:tl2br w:val="nil"/>
                    <w:tr2bl w:val="nil"/>
                  </w:tcBorders>
                  <w:shd w:val="clear" w:color="auto" w:fill="auto"/>
                  <w:vAlign w:val="center"/>
                </w:tcPr>
                <w:p w14:paraId="0EF054C5">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产生量</w:t>
                  </w:r>
                  <w:r>
                    <w:rPr>
                      <w:rFonts w:hint="default" w:ascii="Times New Roman" w:hAnsi="Times New Roman" w:eastAsia="宋体" w:cs="Times New Roman"/>
                      <w:b/>
                      <w:bCs/>
                      <w:i w:val="0"/>
                      <w:iCs w:val="0"/>
                      <w:color w:val="auto"/>
                      <w:kern w:val="0"/>
                      <w:sz w:val="21"/>
                      <w:szCs w:val="21"/>
                      <w:u w:val="none"/>
                      <w:lang w:val="en-US" w:eastAsia="zh-CN" w:bidi="ar"/>
                    </w:rPr>
                    <w:br w:type="textWrapping"/>
                  </w:r>
                  <w:r>
                    <w:rPr>
                      <w:rFonts w:hint="default" w:ascii="Times New Roman" w:hAnsi="Times New Roman" w:eastAsia="宋体" w:cs="Times New Roman"/>
                      <w:b/>
                      <w:bCs/>
                      <w:i w:val="0"/>
                      <w:iCs w:val="0"/>
                      <w:color w:val="auto"/>
                      <w:kern w:val="0"/>
                      <w:sz w:val="21"/>
                      <w:szCs w:val="21"/>
                      <w:u w:val="none"/>
                      <w:lang w:val="en-US" w:eastAsia="zh-CN" w:bidi="ar"/>
                    </w:rPr>
                    <w:t>（t/a）</w:t>
                  </w:r>
                </w:p>
              </w:tc>
              <w:tc>
                <w:tcPr>
                  <w:tcW w:w="1080" w:type="dxa"/>
                  <w:vMerge w:val="continue"/>
                  <w:tcBorders>
                    <w:tl2br w:val="nil"/>
                    <w:tr2bl w:val="nil"/>
                  </w:tcBorders>
                  <w:shd w:val="clear" w:color="auto" w:fill="auto"/>
                  <w:vAlign w:val="center"/>
                </w:tcPr>
                <w:p w14:paraId="5E7AAA29">
                  <w:pPr>
                    <w:jc w:val="center"/>
                    <w:rPr>
                      <w:rFonts w:hint="default" w:ascii="Times New Roman" w:hAnsi="Times New Roman" w:eastAsia="宋体" w:cs="Times New Roman"/>
                      <w:b/>
                      <w:bCs/>
                      <w:i w:val="0"/>
                      <w:iCs w:val="0"/>
                      <w:color w:val="auto"/>
                      <w:sz w:val="21"/>
                      <w:szCs w:val="21"/>
                      <w:u w:val="none"/>
                    </w:rPr>
                  </w:pPr>
                </w:p>
              </w:tc>
              <w:tc>
                <w:tcPr>
                  <w:tcW w:w="1080" w:type="dxa"/>
                  <w:vMerge w:val="continue"/>
                  <w:tcBorders>
                    <w:tl2br w:val="nil"/>
                    <w:tr2bl w:val="nil"/>
                  </w:tcBorders>
                  <w:shd w:val="clear" w:color="auto" w:fill="auto"/>
                  <w:vAlign w:val="center"/>
                </w:tcPr>
                <w:p w14:paraId="0D7F8AD8">
                  <w:pPr>
                    <w:jc w:val="center"/>
                    <w:rPr>
                      <w:rFonts w:hint="default" w:ascii="Times New Roman" w:hAnsi="Times New Roman" w:eastAsia="宋体" w:cs="Times New Roman"/>
                      <w:b/>
                      <w:bCs/>
                      <w:i w:val="0"/>
                      <w:iCs w:val="0"/>
                      <w:color w:val="auto"/>
                      <w:sz w:val="21"/>
                      <w:szCs w:val="21"/>
                      <w:u w:val="none"/>
                    </w:rPr>
                  </w:pPr>
                </w:p>
              </w:tc>
              <w:tc>
                <w:tcPr>
                  <w:tcW w:w="1080" w:type="dxa"/>
                  <w:tcBorders>
                    <w:tl2br w:val="nil"/>
                    <w:tr2bl w:val="nil"/>
                  </w:tcBorders>
                  <w:shd w:val="clear" w:color="auto" w:fill="auto"/>
                  <w:vAlign w:val="center"/>
                </w:tcPr>
                <w:p w14:paraId="493E239B">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浓度（</w:t>
                  </w:r>
                  <w:r>
                    <w:rPr>
                      <w:rFonts w:hint="eastAsia" w:cs="Times New Roman"/>
                      <w:b/>
                      <w:bCs/>
                      <w:i w:val="0"/>
                      <w:iCs w:val="0"/>
                      <w:color w:val="auto"/>
                      <w:kern w:val="0"/>
                      <w:sz w:val="21"/>
                      <w:szCs w:val="21"/>
                      <w:u w:val="none"/>
                      <w:lang w:val="en-US" w:eastAsia="zh-CN" w:bidi="ar"/>
                    </w:rPr>
                    <w:t>m</w:t>
                  </w:r>
                  <w:r>
                    <w:rPr>
                      <w:rFonts w:hint="default" w:ascii="Times New Roman" w:hAnsi="Times New Roman" w:eastAsia="宋体" w:cs="Times New Roman"/>
                      <w:b/>
                      <w:bCs/>
                      <w:i w:val="0"/>
                      <w:iCs w:val="0"/>
                      <w:color w:val="auto"/>
                      <w:kern w:val="0"/>
                      <w:sz w:val="21"/>
                      <w:szCs w:val="21"/>
                      <w:u w:val="none"/>
                      <w:lang w:val="en-US" w:eastAsia="zh-CN" w:bidi="ar"/>
                    </w:rPr>
                    <w:t>g/L）</w:t>
                  </w:r>
                </w:p>
              </w:tc>
              <w:tc>
                <w:tcPr>
                  <w:tcW w:w="1080" w:type="dxa"/>
                  <w:tcBorders>
                    <w:tl2br w:val="nil"/>
                    <w:tr2bl w:val="nil"/>
                  </w:tcBorders>
                  <w:shd w:val="clear" w:color="auto" w:fill="auto"/>
                  <w:vAlign w:val="center"/>
                </w:tcPr>
                <w:p w14:paraId="2E391AD0">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排放量</w:t>
                  </w:r>
                  <w:r>
                    <w:rPr>
                      <w:rFonts w:hint="default" w:ascii="Times New Roman" w:hAnsi="Times New Roman" w:eastAsia="宋体" w:cs="Times New Roman"/>
                      <w:b/>
                      <w:bCs/>
                      <w:i w:val="0"/>
                      <w:iCs w:val="0"/>
                      <w:color w:val="auto"/>
                      <w:kern w:val="0"/>
                      <w:sz w:val="21"/>
                      <w:szCs w:val="21"/>
                      <w:u w:val="none"/>
                      <w:lang w:val="en-US" w:eastAsia="zh-CN" w:bidi="ar"/>
                    </w:rPr>
                    <w:br w:type="textWrapping"/>
                  </w:r>
                  <w:r>
                    <w:rPr>
                      <w:rFonts w:hint="default" w:ascii="Times New Roman" w:hAnsi="Times New Roman" w:eastAsia="宋体" w:cs="Times New Roman"/>
                      <w:b/>
                      <w:bCs/>
                      <w:i w:val="0"/>
                      <w:iCs w:val="0"/>
                      <w:color w:val="auto"/>
                      <w:kern w:val="0"/>
                      <w:sz w:val="21"/>
                      <w:szCs w:val="21"/>
                      <w:u w:val="none"/>
                      <w:lang w:val="en-US" w:eastAsia="zh-CN" w:bidi="ar"/>
                    </w:rPr>
                    <w:t>（t/a）</w:t>
                  </w:r>
                </w:p>
              </w:tc>
              <w:tc>
                <w:tcPr>
                  <w:tcW w:w="1080" w:type="dxa"/>
                  <w:vMerge w:val="continue"/>
                  <w:tcBorders>
                    <w:tl2br w:val="nil"/>
                    <w:tr2bl w:val="nil"/>
                  </w:tcBorders>
                  <w:shd w:val="clear" w:color="auto" w:fill="auto"/>
                  <w:vAlign w:val="center"/>
                </w:tcPr>
                <w:p w14:paraId="477A5F1C">
                  <w:pPr>
                    <w:jc w:val="center"/>
                    <w:rPr>
                      <w:rFonts w:hint="default" w:ascii="Times New Roman" w:hAnsi="Times New Roman" w:eastAsia="宋体" w:cs="Times New Roman"/>
                      <w:b/>
                      <w:bCs/>
                      <w:i w:val="0"/>
                      <w:iCs w:val="0"/>
                      <w:color w:val="auto"/>
                      <w:sz w:val="21"/>
                      <w:szCs w:val="21"/>
                      <w:u w:val="none"/>
                    </w:rPr>
                  </w:pPr>
                </w:p>
              </w:tc>
            </w:tr>
            <w:tr w14:paraId="6D3333A5">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397" w:hRule="atLeast"/>
                <w:jc w:val="center"/>
              </w:trPr>
              <w:tc>
                <w:tcPr>
                  <w:tcW w:w="1080" w:type="dxa"/>
                  <w:vMerge w:val="restart"/>
                  <w:tcBorders>
                    <w:tl2br w:val="nil"/>
                    <w:tr2bl w:val="nil"/>
                  </w:tcBorders>
                  <w:shd w:val="clear" w:color="auto" w:fill="auto"/>
                  <w:vAlign w:val="center"/>
                </w:tcPr>
                <w:p w14:paraId="71567EB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处理后的中水</w:t>
                  </w:r>
                </w:p>
              </w:tc>
              <w:tc>
                <w:tcPr>
                  <w:tcW w:w="1080" w:type="dxa"/>
                  <w:tcBorders>
                    <w:tl2br w:val="nil"/>
                    <w:tr2bl w:val="nil"/>
                  </w:tcBorders>
                  <w:shd w:val="clear" w:color="auto" w:fill="auto"/>
                  <w:vAlign w:val="center"/>
                </w:tcPr>
                <w:p w14:paraId="24194FF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水量</w:t>
                  </w:r>
                </w:p>
              </w:tc>
              <w:tc>
                <w:tcPr>
                  <w:tcW w:w="1080" w:type="dxa"/>
                  <w:tcBorders>
                    <w:tl2br w:val="nil"/>
                    <w:tr2bl w:val="nil"/>
                  </w:tcBorders>
                  <w:shd w:val="clear" w:color="auto" w:fill="auto"/>
                  <w:vAlign w:val="center"/>
                </w:tcPr>
                <w:p w14:paraId="7923B9D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080" w:type="dxa"/>
                  <w:tcBorders>
                    <w:tl2br w:val="nil"/>
                    <w:tr2bl w:val="nil"/>
                  </w:tcBorders>
                  <w:shd w:val="clear" w:color="auto" w:fill="auto"/>
                  <w:vAlign w:val="center"/>
                </w:tcPr>
                <w:p w14:paraId="7102FD4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1825000</w:t>
                  </w:r>
                </w:p>
              </w:tc>
              <w:tc>
                <w:tcPr>
                  <w:tcW w:w="1080" w:type="dxa"/>
                  <w:vMerge w:val="restart"/>
                  <w:tcBorders>
                    <w:tl2br w:val="nil"/>
                    <w:tr2bl w:val="nil"/>
                  </w:tcBorders>
                  <w:shd w:val="clear" w:color="auto" w:fill="auto"/>
                  <w:vAlign w:val="center"/>
                </w:tcPr>
                <w:p w14:paraId="3671F84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改良AAO生物处理+磁絮凝池+深度脱氮+消毒工艺</w:t>
                  </w:r>
                </w:p>
              </w:tc>
              <w:tc>
                <w:tcPr>
                  <w:tcW w:w="1080" w:type="dxa"/>
                  <w:tcBorders>
                    <w:tl2br w:val="nil"/>
                    <w:tr2bl w:val="nil"/>
                  </w:tcBorders>
                  <w:shd w:val="clear" w:color="auto" w:fill="auto"/>
                  <w:vAlign w:val="center"/>
                </w:tcPr>
                <w:p w14:paraId="1305D93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080" w:type="dxa"/>
                  <w:tcBorders>
                    <w:tl2br w:val="nil"/>
                    <w:tr2bl w:val="nil"/>
                  </w:tcBorders>
                  <w:shd w:val="clear" w:color="auto" w:fill="auto"/>
                  <w:vAlign w:val="center"/>
                </w:tcPr>
                <w:p w14:paraId="3BDC69E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080" w:type="dxa"/>
                  <w:tcBorders>
                    <w:tl2br w:val="nil"/>
                    <w:tr2bl w:val="nil"/>
                  </w:tcBorders>
                  <w:shd w:val="clear" w:color="auto" w:fill="auto"/>
                  <w:vAlign w:val="center"/>
                </w:tcPr>
                <w:p w14:paraId="3053F53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1825000</w:t>
                  </w:r>
                </w:p>
              </w:tc>
              <w:tc>
                <w:tcPr>
                  <w:tcW w:w="1080" w:type="dxa"/>
                  <w:tcBorders>
                    <w:tl2br w:val="nil"/>
                    <w:tr2bl w:val="nil"/>
                  </w:tcBorders>
                  <w:shd w:val="clear" w:color="auto" w:fill="auto"/>
                  <w:vAlign w:val="center"/>
                </w:tcPr>
                <w:p w14:paraId="222EBE0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r w14:paraId="7EAD2935">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397" w:hRule="atLeast"/>
                <w:jc w:val="center"/>
              </w:trPr>
              <w:tc>
                <w:tcPr>
                  <w:tcW w:w="1080" w:type="dxa"/>
                  <w:vMerge w:val="continue"/>
                  <w:tcBorders>
                    <w:tl2br w:val="nil"/>
                    <w:tr2bl w:val="nil"/>
                  </w:tcBorders>
                  <w:shd w:val="clear" w:color="auto" w:fill="auto"/>
                  <w:vAlign w:val="center"/>
                </w:tcPr>
                <w:p w14:paraId="02FDA3B6">
                  <w:pPr>
                    <w:jc w:val="center"/>
                    <w:rPr>
                      <w:rFonts w:hint="default" w:ascii="Times New Roman" w:hAnsi="Times New Roman" w:eastAsia="宋体" w:cs="Times New Roman"/>
                      <w:i w:val="0"/>
                      <w:iCs w:val="0"/>
                      <w:color w:val="auto"/>
                      <w:sz w:val="21"/>
                      <w:szCs w:val="21"/>
                      <w:u w:val="none"/>
                    </w:rPr>
                  </w:pPr>
                </w:p>
              </w:tc>
              <w:tc>
                <w:tcPr>
                  <w:tcW w:w="1080" w:type="dxa"/>
                  <w:tcBorders>
                    <w:tl2br w:val="nil"/>
                    <w:tr2bl w:val="nil"/>
                  </w:tcBorders>
                  <w:shd w:val="clear" w:color="auto" w:fill="auto"/>
                  <w:vAlign w:val="center"/>
                </w:tcPr>
                <w:p w14:paraId="00DD12A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COD</w:t>
                  </w:r>
                  <w:r>
                    <w:rPr>
                      <w:rFonts w:hint="default" w:ascii="Times New Roman" w:hAnsi="Times New Roman" w:eastAsia="宋体" w:cs="Times New Roman"/>
                      <w:i w:val="0"/>
                      <w:iCs w:val="0"/>
                      <w:color w:val="auto"/>
                      <w:kern w:val="0"/>
                      <w:sz w:val="21"/>
                      <w:szCs w:val="21"/>
                      <w:u w:val="none"/>
                      <w:vertAlign w:val="subscript"/>
                      <w:lang w:val="en-US" w:eastAsia="zh-CN" w:bidi="ar"/>
                    </w:rPr>
                    <w:t>Cr</w:t>
                  </w:r>
                </w:p>
              </w:tc>
              <w:tc>
                <w:tcPr>
                  <w:tcW w:w="1080" w:type="dxa"/>
                  <w:tcBorders>
                    <w:tl2br w:val="nil"/>
                    <w:tr2bl w:val="nil"/>
                  </w:tcBorders>
                  <w:shd w:val="clear" w:color="auto" w:fill="auto"/>
                  <w:vAlign w:val="center"/>
                </w:tcPr>
                <w:p w14:paraId="6E3D6BFE">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350</w:t>
                  </w:r>
                </w:p>
              </w:tc>
              <w:tc>
                <w:tcPr>
                  <w:tcW w:w="1080" w:type="dxa"/>
                  <w:tcBorders>
                    <w:tl2br w:val="nil"/>
                    <w:tr2bl w:val="nil"/>
                  </w:tcBorders>
                  <w:shd w:val="clear" w:color="auto" w:fill="auto"/>
                  <w:vAlign w:val="center"/>
                </w:tcPr>
                <w:p w14:paraId="480F99C5">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638.75</w:t>
                  </w:r>
                </w:p>
              </w:tc>
              <w:tc>
                <w:tcPr>
                  <w:tcW w:w="1080" w:type="dxa"/>
                  <w:vMerge w:val="continue"/>
                  <w:tcBorders>
                    <w:tl2br w:val="nil"/>
                    <w:tr2bl w:val="nil"/>
                  </w:tcBorders>
                  <w:shd w:val="clear" w:color="auto" w:fill="auto"/>
                  <w:vAlign w:val="center"/>
                </w:tcPr>
                <w:p w14:paraId="4B52C04E">
                  <w:pPr>
                    <w:jc w:val="center"/>
                    <w:rPr>
                      <w:rFonts w:hint="default" w:ascii="Times New Roman" w:hAnsi="Times New Roman" w:eastAsia="宋体" w:cs="Times New Roman"/>
                      <w:i w:val="0"/>
                      <w:iCs w:val="0"/>
                      <w:color w:val="auto"/>
                      <w:sz w:val="21"/>
                      <w:szCs w:val="21"/>
                      <w:u w:val="none"/>
                    </w:rPr>
                  </w:pPr>
                </w:p>
              </w:tc>
              <w:tc>
                <w:tcPr>
                  <w:tcW w:w="1080" w:type="dxa"/>
                  <w:tcBorders>
                    <w:tl2br w:val="nil"/>
                    <w:tr2bl w:val="nil"/>
                  </w:tcBorders>
                  <w:shd w:val="clear" w:color="auto" w:fill="auto"/>
                  <w:vAlign w:val="center"/>
                </w:tcPr>
                <w:p w14:paraId="46192342">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88.57</w:t>
                  </w:r>
                </w:p>
              </w:tc>
              <w:tc>
                <w:tcPr>
                  <w:tcW w:w="1080" w:type="dxa"/>
                  <w:tcBorders>
                    <w:tl2br w:val="nil"/>
                    <w:tr2bl w:val="nil"/>
                  </w:tcBorders>
                  <w:shd w:val="clear" w:color="auto" w:fill="auto"/>
                  <w:vAlign w:val="center"/>
                </w:tcPr>
                <w:p w14:paraId="2932F4A4">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w:t>
                  </w:r>
                </w:p>
              </w:tc>
              <w:tc>
                <w:tcPr>
                  <w:tcW w:w="1080" w:type="dxa"/>
                  <w:tcBorders>
                    <w:tl2br w:val="nil"/>
                    <w:tr2bl w:val="nil"/>
                  </w:tcBorders>
                  <w:shd w:val="clear" w:color="auto" w:fill="auto"/>
                  <w:vAlign w:val="center"/>
                </w:tcPr>
                <w:p w14:paraId="6BD9314A">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45.63</w:t>
                  </w:r>
                </w:p>
              </w:tc>
              <w:tc>
                <w:tcPr>
                  <w:tcW w:w="1080" w:type="dxa"/>
                  <w:tcBorders>
                    <w:tl2br w:val="nil"/>
                    <w:tr2bl w:val="nil"/>
                  </w:tcBorders>
                  <w:shd w:val="clear" w:color="auto" w:fill="auto"/>
                  <w:vAlign w:val="center"/>
                </w:tcPr>
                <w:p w14:paraId="0D3029BE">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50</w:t>
                  </w:r>
                </w:p>
              </w:tc>
            </w:tr>
            <w:tr w14:paraId="042E2BFC">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397" w:hRule="atLeast"/>
                <w:jc w:val="center"/>
              </w:trPr>
              <w:tc>
                <w:tcPr>
                  <w:tcW w:w="1080" w:type="dxa"/>
                  <w:vMerge w:val="continue"/>
                  <w:tcBorders>
                    <w:tl2br w:val="nil"/>
                    <w:tr2bl w:val="nil"/>
                  </w:tcBorders>
                  <w:shd w:val="clear" w:color="auto" w:fill="auto"/>
                  <w:vAlign w:val="center"/>
                </w:tcPr>
                <w:p w14:paraId="5B1B67E6">
                  <w:pPr>
                    <w:jc w:val="center"/>
                    <w:rPr>
                      <w:rFonts w:hint="default" w:ascii="Times New Roman" w:hAnsi="Times New Roman" w:eastAsia="宋体" w:cs="Times New Roman"/>
                      <w:i w:val="0"/>
                      <w:iCs w:val="0"/>
                      <w:color w:val="auto"/>
                      <w:sz w:val="21"/>
                      <w:szCs w:val="21"/>
                      <w:u w:val="none"/>
                    </w:rPr>
                  </w:pPr>
                </w:p>
              </w:tc>
              <w:tc>
                <w:tcPr>
                  <w:tcW w:w="1080" w:type="dxa"/>
                  <w:tcBorders>
                    <w:tl2br w:val="nil"/>
                    <w:tr2bl w:val="nil"/>
                  </w:tcBorders>
                  <w:shd w:val="clear" w:color="auto" w:fill="auto"/>
                  <w:vAlign w:val="center"/>
                </w:tcPr>
                <w:p w14:paraId="2BBA2EE5">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vertAlign w:val="baseline"/>
                      <w:lang w:val="en-US" w:eastAsia="zh-CN" w:bidi="ar"/>
                    </w:rPr>
                    <w:t>BOD</w:t>
                  </w:r>
                  <w:r>
                    <w:rPr>
                      <w:rFonts w:hint="default" w:ascii="Times New Roman" w:hAnsi="Times New Roman" w:eastAsia="宋体" w:cs="Times New Roman"/>
                      <w:i w:val="0"/>
                      <w:iCs w:val="0"/>
                      <w:color w:val="auto"/>
                      <w:kern w:val="0"/>
                      <w:sz w:val="21"/>
                      <w:szCs w:val="21"/>
                      <w:u w:val="none"/>
                      <w:vertAlign w:val="subscript"/>
                      <w:lang w:val="en-US" w:eastAsia="zh-CN" w:bidi="ar"/>
                    </w:rPr>
                    <w:t>5</w:t>
                  </w:r>
                </w:p>
              </w:tc>
              <w:tc>
                <w:tcPr>
                  <w:tcW w:w="1080" w:type="dxa"/>
                  <w:tcBorders>
                    <w:tl2br w:val="nil"/>
                    <w:tr2bl w:val="nil"/>
                  </w:tcBorders>
                  <w:shd w:val="clear" w:color="auto" w:fill="auto"/>
                  <w:vAlign w:val="center"/>
                </w:tcPr>
                <w:p w14:paraId="714CBFB2">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1080" w:type="dxa"/>
                  <w:tcBorders>
                    <w:tl2br w:val="nil"/>
                    <w:tr2bl w:val="nil"/>
                  </w:tcBorders>
                  <w:shd w:val="clear" w:color="auto" w:fill="auto"/>
                  <w:vAlign w:val="center"/>
                </w:tcPr>
                <w:p w14:paraId="62007C61">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365.00</w:t>
                  </w:r>
                </w:p>
              </w:tc>
              <w:tc>
                <w:tcPr>
                  <w:tcW w:w="1080" w:type="dxa"/>
                  <w:vMerge w:val="continue"/>
                  <w:tcBorders>
                    <w:tl2br w:val="nil"/>
                    <w:tr2bl w:val="nil"/>
                  </w:tcBorders>
                  <w:shd w:val="clear" w:color="auto" w:fill="auto"/>
                  <w:vAlign w:val="center"/>
                </w:tcPr>
                <w:p w14:paraId="5E0870E9">
                  <w:pPr>
                    <w:jc w:val="center"/>
                    <w:rPr>
                      <w:rFonts w:hint="default" w:ascii="Times New Roman" w:hAnsi="Times New Roman" w:eastAsia="宋体" w:cs="Times New Roman"/>
                      <w:i w:val="0"/>
                      <w:iCs w:val="0"/>
                      <w:color w:val="auto"/>
                      <w:sz w:val="21"/>
                      <w:szCs w:val="21"/>
                      <w:u w:val="none"/>
                    </w:rPr>
                  </w:pPr>
                </w:p>
              </w:tc>
              <w:tc>
                <w:tcPr>
                  <w:tcW w:w="1080" w:type="dxa"/>
                  <w:tcBorders>
                    <w:tl2br w:val="nil"/>
                    <w:tr2bl w:val="nil"/>
                  </w:tcBorders>
                  <w:shd w:val="clear" w:color="auto" w:fill="auto"/>
                  <w:vAlign w:val="center"/>
                </w:tcPr>
                <w:p w14:paraId="3A13C5C7">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95.00</w:t>
                  </w:r>
                </w:p>
              </w:tc>
              <w:tc>
                <w:tcPr>
                  <w:tcW w:w="1080" w:type="dxa"/>
                  <w:tcBorders>
                    <w:tl2br w:val="nil"/>
                    <w:tr2bl w:val="nil"/>
                  </w:tcBorders>
                  <w:shd w:val="clear" w:color="auto" w:fill="auto"/>
                  <w:vAlign w:val="center"/>
                </w:tcPr>
                <w:p w14:paraId="0124D10D">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080" w:type="dxa"/>
                  <w:tcBorders>
                    <w:tl2br w:val="nil"/>
                    <w:tr2bl w:val="nil"/>
                  </w:tcBorders>
                  <w:shd w:val="clear" w:color="auto" w:fill="auto"/>
                  <w:vAlign w:val="center"/>
                </w:tcPr>
                <w:p w14:paraId="0A3C86B8">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18.25</w:t>
                  </w:r>
                </w:p>
              </w:tc>
              <w:tc>
                <w:tcPr>
                  <w:tcW w:w="1080" w:type="dxa"/>
                  <w:tcBorders>
                    <w:tl2br w:val="nil"/>
                    <w:tr2bl w:val="nil"/>
                  </w:tcBorders>
                  <w:shd w:val="clear" w:color="auto" w:fill="auto"/>
                  <w:vAlign w:val="center"/>
                </w:tcPr>
                <w:p w14:paraId="2FA3F2F9">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r>
            <w:tr w14:paraId="6416B428">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397" w:hRule="atLeast"/>
                <w:jc w:val="center"/>
              </w:trPr>
              <w:tc>
                <w:tcPr>
                  <w:tcW w:w="1080" w:type="dxa"/>
                  <w:vMerge w:val="continue"/>
                  <w:tcBorders>
                    <w:tl2br w:val="nil"/>
                    <w:tr2bl w:val="nil"/>
                  </w:tcBorders>
                  <w:shd w:val="clear" w:color="auto" w:fill="auto"/>
                  <w:vAlign w:val="center"/>
                </w:tcPr>
                <w:p w14:paraId="4E88784D">
                  <w:pPr>
                    <w:jc w:val="center"/>
                    <w:rPr>
                      <w:rFonts w:hint="default" w:ascii="Times New Roman" w:hAnsi="Times New Roman" w:eastAsia="宋体" w:cs="Times New Roman"/>
                      <w:i w:val="0"/>
                      <w:iCs w:val="0"/>
                      <w:color w:val="auto"/>
                      <w:sz w:val="21"/>
                      <w:szCs w:val="21"/>
                      <w:u w:val="none"/>
                    </w:rPr>
                  </w:pPr>
                </w:p>
              </w:tc>
              <w:tc>
                <w:tcPr>
                  <w:tcW w:w="1080" w:type="dxa"/>
                  <w:tcBorders>
                    <w:tl2br w:val="nil"/>
                    <w:tr2bl w:val="nil"/>
                  </w:tcBorders>
                  <w:shd w:val="clear" w:color="auto" w:fill="auto"/>
                  <w:vAlign w:val="center"/>
                </w:tcPr>
                <w:p w14:paraId="7527FF9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SS</w:t>
                  </w:r>
                </w:p>
              </w:tc>
              <w:tc>
                <w:tcPr>
                  <w:tcW w:w="1080" w:type="dxa"/>
                  <w:tcBorders>
                    <w:tl2br w:val="nil"/>
                    <w:tr2bl w:val="nil"/>
                  </w:tcBorders>
                  <w:shd w:val="clear" w:color="auto" w:fill="auto"/>
                  <w:vAlign w:val="center"/>
                </w:tcPr>
                <w:p w14:paraId="49893BC7">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180</w:t>
                  </w:r>
                </w:p>
              </w:tc>
              <w:tc>
                <w:tcPr>
                  <w:tcW w:w="1080" w:type="dxa"/>
                  <w:tcBorders>
                    <w:tl2br w:val="nil"/>
                    <w:tr2bl w:val="nil"/>
                  </w:tcBorders>
                  <w:shd w:val="clear" w:color="auto" w:fill="auto"/>
                  <w:vAlign w:val="center"/>
                </w:tcPr>
                <w:p w14:paraId="5012A451">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328.50</w:t>
                  </w:r>
                </w:p>
              </w:tc>
              <w:tc>
                <w:tcPr>
                  <w:tcW w:w="1080" w:type="dxa"/>
                  <w:vMerge w:val="continue"/>
                  <w:tcBorders>
                    <w:tl2br w:val="nil"/>
                    <w:tr2bl w:val="nil"/>
                  </w:tcBorders>
                  <w:shd w:val="clear" w:color="auto" w:fill="auto"/>
                  <w:vAlign w:val="center"/>
                </w:tcPr>
                <w:p w14:paraId="4F7216E8">
                  <w:pPr>
                    <w:jc w:val="center"/>
                    <w:rPr>
                      <w:rFonts w:hint="default" w:ascii="Times New Roman" w:hAnsi="Times New Roman" w:eastAsia="宋体" w:cs="Times New Roman"/>
                      <w:i w:val="0"/>
                      <w:iCs w:val="0"/>
                      <w:color w:val="auto"/>
                      <w:sz w:val="21"/>
                      <w:szCs w:val="21"/>
                      <w:u w:val="none"/>
                    </w:rPr>
                  </w:pPr>
                </w:p>
              </w:tc>
              <w:tc>
                <w:tcPr>
                  <w:tcW w:w="1080" w:type="dxa"/>
                  <w:tcBorders>
                    <w:tl2br w:val="nil"/>
                    <w:tr2bl w:val="nil"/>
                  </w:tcBorders>
                  <w:shd w:val="clear" w:color="auto" w:fill="auto"/>
                  <w:vAlign w:val="center"/>
                </w:tcPr>
                <w:p w14:paraId="192DB9A1">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94.44</w:t>
                  </w:r>
                </w:p>
              </w:tc>
              <w:tc>
                <w:tcPr>
                  <w:tcW w:w="1080" w:type="dxa"/>
                  <w:tcBorders>
                    <w:tl2br w:val="nil"/>
                    <w:tr2bl w:val="nil"/>
                  </w:tcBorders>
                  <w:shd w:val="clear" w:color="auto" w:fill="auto"/>
                  <w:vAlign w:val="center"/>
                </w:tcPr>
                <w:p w14:paraId="07BF4912">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080" w:type="dxa"/>
                  <w:tcBorders>
                    <w:tl2br w:val="nil"/>
                    <w:tr2bl w:val="nil"/>
                  </w:tcBorders>
                  <w:shd w:val="clear" w:color="auto" w:fill="auto"/>
                  <w:vAlign w:val="center"/>
                </w:tcPr>
                <w:p w14:paraId="498D6021">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18.25</w:t>
                  </w:r>
                </w:p>
              </w:tc>
              <w:tc>
                <w:tcPr>
                  <w:tcW w:w="1080" w:type="dxa"/>
                  <w:tcBorders>
                    <w:tl2br w:val="nil"/>
                    <w:tr2bl w:val="nil"/>
                  </w:tcBorders>
                  <w:shd w:val="clear" w:color="auto" w:fill="auto"/>
                  <w:vAlign w:val="center"/>
                </w:tcPr>
                <w:p w14:paraId="226C03D1">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r>
            <w:tr w14:paraId="2FF84D15">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397" w:hRule="atLeast"/>
                <w:jc w:val="center"/>
              </w:trPr>
              <w:tc>
                <w:tcPr>
                  <w:tcW w:w="1080" w:type="dxa"/>
                  <w:vMerge w:val="continue"/>
                  <w:tcBorders>
                    <w:tl2br w:val="nil"/>
                    <w:tr2bl w:val="nil"/>
                  </w:tcBorders>
                  <w:shd w:val="clear" w:color="auto" w:fill="auto"/>
                  <w:vAlign w:val="center"/>
                </w:tcPr>
                <w:p w14:paraId="41A8B39D">
                  <w:pPr>
                    <w:jc w:val="center"/>
                    <w:rPr>
                      <w:rFonts w:hint="default" w:ascii="Times New Roman" w:hAnsi="Times New Roman" w:eastAsia="宋体" w:cs="Times New Roman"/>
                      <w:i w:val="0"/>
                      <w:iCs w:val="0"/>
                      <w:color w:val="auto"/>
                      <w:sz w:val="21"/>
                      <w:szCs w:val="21"/>
                      <w:u w:val="none"/>
                    </w:rPr>
                  </w:pPr>
                </w:p>
              </w:tc>
              <w:tc>
                <w:tcPr>
                  <w:tcW w:w="1080" w:type="dxa"/>
                  <w:tcBorders>
                    <w:tl2br w:val="nil"/>
                    <w:tr2bl w:val="nil"/>
                  </w:tcBorders>
                  <w:shd w:val="clear" w:color="auto" w:fill="auto"/>
                  <w:vAlign w:val="center"/>
                </w:tcPr>
                <w:p w14:paraId="4F4F0BD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氨氮</w:t>
                  </w:r>
                </w:p>
              </w:tc>
              <w:tc>
                <w:tcPr>
                  <w:tcW w:w="1080" w:type="dxa"/>
                  <w:tcBorders>
                    <w:tl2br w:val="nil"/>
                    <w:tr2bl w:val="nil"/>
                  </w:tcBorders>
                  <w:shd w:val="clear" w:color="auto" w:fill="auto"/>
                  <w:vAlign w:val="center"/>
                </w:tcPr>
                <w:p w14:paraId="243D9CB5">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60</w:t>
                  </w:r>
                </w:p>
              </w:tc>
              <w:tc>
                <w:tcPr>
                  <w:tcW w:w="1080" w:type="dxa"/>
                  <w:tcBorders>
                    <w:tl2br w:val="nil"/>
                    <w:tr2bl w:val="nil"/>
                  </w:tcBorders>
                  <w:shd w:val="clear" w:color="auto" w:fill="auto"/>
                  <w:vAlign w:val="center"/>
                </w:tcPr>
                <w:p w14:paraId="019ACF6D">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109.50</w:t>
                  </w:r>
                </w:p>
              </w:tc>
              <w:tc>
                <w:tcPr>
                  <w:tcW w:w="1080" w:type="dxa"/>
                  <w:vMerge w:val="continue"/>
                  <w:tcBorders>
                    <w:tl2br w:val="nil"/>
                    <w:tr2bl w:val="nil"/>
                  </w:tcBorders>
                  <w:shd w:val="clear" w:color="auto" w:fill="auto"/>
                  <w:vAlign w:val="center"/>
                </w:tcPr>
                <w:p w14:paraId="0075D63C">
                  <w:pPr>
                    <w:jc w:val="center"/>
                    <w:rPr>
                      <w:rFonts w:hint="default" w:ascii="Times New Roman" w:hAnsi="Times New Roman" w:eastAsia="宋体" w:cs="Times New Roman"/>
                      <w:i w:val="0"/>
                      <w:iCs w:val="0"/>
                      <w:color w:val="auto"/>
                      <w:sz w:val="21"/>
                      <w:szCs w:val="21"/>
                      <w:u w:val="none"/>
                    </w:rPr>
                  </w:pPr>
                </w:p>
              </w:tc>
              <w:tc>
                <w:tcPr>
                  <w:tcW w:w="1080" w:type="dxa"/>
                  <w:tcBorders>
                    <w:tl2br w:val="nil"/>
                    <w:tr2bl w:val="nil"/>
                  </w:tcBorders>
                  <w:shd w:val="clear" w:color="auto" w:fill="auto"/>
                  <w:vAlign w:val="center"/>
                </w:tcPr>
                <w:p w14:paraId="023BA7DB">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85.71</w:t>
                  </w:r>
                </w:p>
              </w:tc>
              <w:tc>
                <w:tcPr>
                  <w:tcW w:w="1080" w:type="dxa"/>
                  <w:tcBorders>
                    <w:tl2br w:val="nil"/>
                    <w:tr2bl w:val="nil"/>
                  </w:tcBorders>
                  <w:shd w:val="clear" w:color="auto" w:fill="auto"/>
                  <w:vAlign w:val="center"/>
                </w:tcPr>
                <w:p w14:paraId="487AA147">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1080" w:type="dxa"/>
                  <w:tcBorders>
                    <w:tl2br w:val="nil"/>
                    <w:tr2bl w:val="nil"/>
                  </w:tcBorders>
                  <w:shd w:val="clear" w:color="auto" w:fill="auto"/>
                  <w:vAlign w:val="center"/>
                </w:tcPr>
                <w:p w14:paraId="332EF45A">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5.48</w:t>
                  </w:r>
                </w:p>
              </w:tc>
              <w:tc>
                <w:tcPr>
                  <w:tcW w:w="1080" w:type="dxa"/>
                  <w:tcBorders>
                    <w:tl2br w:val="nil"/>
                    <w:tr2bl w:val="nil"/>
                  </w:tcBorders>
                  <w:shd w:val="clear" w:color="auto" w:fill="auto"/>
                  <w:vAlign w:val="center"/>
                </w:tcPr>
                <w:p w14:paraId="70BF358B">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w:t>
                  </w:r>
                </w:p>
              </w:tc>
            </w:tr>
            <w:tr w14:paraId="09F7C035">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397" w:hRule="atLeast"/>
                <w:jc w:val="center"/>
              </w:trPr>
              <w:tc>
                <w:tcPr>
                  <w:tcW w:w="1080" w:type="dxa"/>
                  <w:vMerge w:val="continue"/>
                  <w:tcBorders>
                    <w:tl2br w:val="nil"/>
                    <w:tr2bl w:val="nil"/>
                  </w:tcBorders>
                  <w:shd w:val="clear" w:color="auto" w:fill="auto"/>
                  <w:vAlign w:val="center"/>
                </w:tcPr>
                <w:p w14:paraId="1E0468E7">
                  <w:pPr>
                    <w:jc w:val="center"/>
                    <w:rPr>
                      <w:rFonts w:hint="default" w:ascii="Times New Roman" w:hAnsi="Times New Roman" w:eastAsia="宋体" w:cs="Times New Roman"/>
                      <w:i w:val="0"/>
                      <w:iCs w:val="0"/>
                      <w:color w:val="auto"/>
                      <w:sz w:val="21"/>
                      <w:szCs w:val="21"/>
                      <w:u w:val="none"/>
                    </w:rPr>
                  </w:pPr>
                </w:p>
              </w:tc>
              <w:tc>
                <w:tcPr>
                  <w:tcW w:w="1080" w:type="dxa"/>
                  <w:tcBorders>
                    <w:tl2br w:val="nil"/>
                    <w:tr2bl w:val="nil"/>
                  </w:tcBorders>
                  <w:shd w:val="clear" w:color="auto" w:fill="auto"/>
                  <w:vAlign w:val="center"/>
                </w:tcPr>
                <w:p w14:paraId="2406898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总氮</w:t>
                  </w:r>
                </w:p>
              </w:tc>
              <w:tc>
                <w:tcPr>
                  <w:tcW w:w="1080" w:type="dxa"/>
                  <w:tcBorders>
                    <w:tl2br w:val="nil"/>
                    <w:tr2bl w:val="nil"/>
                  </w:tcBorders>
                  <w:shd w:val="clear" w:color="auto" w:fill="auto"/>
                  <w:vAlign w:val="center"/>
                </w:tcPr>
                <w:p w14:paraId="337325FE">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80</w:t>
                  </w:r>
                </w:p>
              </w:tc>
              <w:tc>
                <w:tcPr>
                  <w:tcW w:w="1080" w:type="dxa"/>
                  <w:tcBorders>
                    <w:tl2br w:val="nil"/>
                    <w:tr2bl w:val="nil"/>
                  </w:tcBorders>
                  <w:shd w:val="clear" w:color="auto" w:fill="auto"/>
                  <w:vAlign w:val="center"/>
                </w:tcPr>
                <w:p w14:paraId="65BE24E9">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146.00</w:t>
                  </w:r>
                </w:p>
              </w:tc>
              <w:tc>
                <w:tcPr>
                  <w:tcW w:w="1080" w:type="dxa"/>
                  <w:vMerge w:val="continue"/>
                  <w:tcBorders>
                    <w:tl2br w:val="nil"/>
                    <w:tr2bl w:val="nil"/>
                  </w:tcBorders>
                  <w:shd w:val="clear" w:color="auto" w:fill="auto"/>
                  <w:vAlign w:val="center"/>
                </w:tcPr>
                <w:p w14:paraId="634F5D38">
                  <w:pPr>
                    <w:jc w:val="center"/>
                    <w:rPr>
                      <w:rFonts w:hint="default" w:ascii="Times New Roman" w:hAnsi="Times New Roman" w:eastAsia="宋体" w:cs="Times New Roman"/>
                      <w:i w:val="0"/>
                      <w:iCs w:val="0"/>
                      <w:color w:val="auto"/>
                      <w:sz w:val="21"/>
                      <w:szCs w:val="21"/>
                      <w:u w:val="none"/>
                    </w:rPr>
                  </w:pPr>
                </w:p>
              </w:tc>
              <w:tc>
                <w:tcPr>
                  <w:tcW w:w="1080" w:type="dxa"/>
                  <w:tcBorders>
                    <w:tl2br w:val="nil"/>
                    <w:tr2bl w:val="nil"/>
                  </w:tcBorders>
                  <w:shd w:val="clear" w:color="auto" w:fill="auto"/>
                  <w:vAlign w:val="center"/>
                </w:tcPr>
                <w:p w14:paraId="184C9F35">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66.67</w:t>
                  </w:r>
                </w:p>
              </w:tc>
              <w:tc>
                <w:tcPr>
                  <w:tcW w:w="1080" w:type="dxa"/>
                  <w:tcBorders>
                    <w:tl2br w:val="nil"/>
                    <w:tr2bl w:val="nil"/>
                  </w:tcBorders>
                  <w:shd w:val="clear" w:color="auto" w:fill="auto"/>
                  <w:vAlign w:val="center"/>
                </w:tcPr>
                <w:p w14:paraId="5164BD03">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080" w:type="dxa"/>
                  <w:tcBorders>
                    <w:tl2br w:val="nil"/>
                    <w:tr2bl w:val="nil"/>
                  </w:tcBorders>
                  <w:shd w:val="clear" w:color="auto" w:fill="auto"/>
                  <w:vAlign w:val="center"/>
                </w:tcPr>
                <w:p w14:paraId="534B823A">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18.25</w:t>
                  </w:r>
                </w:p>
              </w:tc>
              <w:tc>
                <w:tcPr>
                  <w:tcW w:w="1080" w:type="dxa"/>
                  <w:tcBorders>
                    <w:tl2br w:val="nil"/>
                    <w:tr2bl w:val="nil"/>
                  </w:tcBorders>
                  <w:shd w:val="clear" w:color="auto" w:fill="auto"/>
                  <w:vAlign w:val="center"/>
                </w:tcPr>
                <w:p w14:paraId="0C75E583">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w:t>
                  </w:r>
                </w:p>
              </w:tc>
            </w:tr>
            <w:tr w14:paraId="533260BD">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397" w:hRule="atLeast"/>
                <w:jc w:val="center"/>
              </w:trPr>
              <w:tc>
                <w:tcPr>
                  <w:tcW w:w="1080" w:type="dxa"/>
                  <w:vMerge w:val="continue"/>
                  <w:tcBorders>
                    <w:tl2br w:val="nil"/>
                    <w:tr2bl w:val="nil"/>
                  </w:tcBorders>
                  <w:shd w:val="clear" w:color="auto" w:fill="auto"/>
                  <w:vAlign w:val="center"/>
                </w:tcPr>
                <w:p w14:paraId="4B3020B1">
                  <w:pPr>
                    <w:jc w:val="center"/>
                    <w:rPr>
                      <w:rFonts w:hint="default" w:ascii="Times New Roman" w:hAnsi="Times New Roman" w:eastAsia="宋体" w:cs="Times New Roman"/>
                      <w:i w:val="0"/>
                      <w:iCs w:val="0"/>
                      <w:color w:val="auto"/>
                      <w:sz w:val="21"/>
                      <w:szCs w:val="21"/>
                      <w:u w:val="none"/>
                    </w:rPr>
                  </w:pPr>
                </w:p>
              </w:tc>
              <w:tc>
                <w:tcPr>
                  <w:tcW w:w="1080" w:type="dxa"/>
                  <w:tcBorders>
                    <w:tl2br w:val="nil"/>
                    <w:tr2bl w:val="nil"/>
                  </w:tcBorders>
                  <w:shd w:val="clear" w:color="auto" w:fill="auto"/>
                  <w:vAlign w:val="center"/>
                </w:tcPr>
                <w:p w14:paraId="42CE8E7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总磷</w:t>
                  </w:r>
                </w:p>
              </w:tc>
              <w:tc>
                <w:tcPr>
                  <w:tcW w:w="1080" w:type="dxa"/>
                  <w:tcBorders>
                    <w:tl2br w:val="nil"/>
                    <w:tr2bl w:val="nil"/>
                  </w:tcBorders>
                  <w:shd w:val="clear" w:color="auto" w:fill="auto"/>
                  <w:vAlign w:val="center"/>
                </w:tcPr>
                <w:p w14:paraId="6A004E03">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080" w:type="dxa"/>
                  <w:tcBorders>
                    <w:tl2br w:val="nil"/>
                    <w:tr2bl w:val="nil"/>
                  </w:tcBorders>
                  <w:shd w:val="clear" w:color="auto" w:fill="auto"/>
                  <w:vAlign w:val="center"/>
                </w:tcPr>
                <w:p w14:paraId="6F002F1F">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17.34</w:t>
                  </w:r>
                </w:p>
              </w:tc>
              <w:tc>
                <w:tcPr>
                  <w:tcW w:w="1080" w:type="dxa"/>
                  <w:vMerge w:val="continue"/>
                  <w:tcBorders>
                    <w:tl2br w:val="nil"/>
                    <w:tr2bl w:val="nil"/>
                  </w:tcBorders>
                  <w:shd w:val="clear" w:color="auto" w:fill="auto"/>
                  <w:vAlign w:val="center"/>
                </w:tcPr>
                <w:p w14:paraId="2A260A42">
                  <w:pPr>
                    <w:jc w:val="center"/>
                    <w:rPr>
                      <w:rFonts w:hint="default" w:ascii="Times New Roman" w:hAnsi="Times New Roman" w:eastAsia="宋体" w:cs="Times New Roman"/>
                      <w:i w:val="0"/>
                      <w:iCs w:val="0"/>
                      <w:color w:val="auto"/>
                      <w:sz w:val="21"/>
                      <w:szCs w:val="21"/>
                      <w:u w:val="none"/>
                    </w:rPr>
                  </w:pPr>
                </w:p>
              </w:tc>
              <w:tc>
                <w:tcPr>
                  <w:tcW w:w="1080" w:type="dxa"/>
                  <w:tcBorders>
                    <w:tl2br w:val="nil"/>
                    <w:tr2bl w:val="nil"/>
                  </w:tcBorders>
                  <w:shd w:val="clear" w:color="auto" w:fill="auto"/>
                  <w:vAlign w:val="center"/>
                </w:tcPr>
                <w:p w14:paraId="013BEBA5">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90.00</w:t>
                  </w:r>
                </w:p>
              </w:tc>
              <w:tc>
                <w:tcPr>
                  <w:tcW w:w="1080" w:type="dxa"/>
                  <w:tcBorders>
                    <w:tl2br w:val="nil"/>
                    <w:tr2bl w:val="nil"/>
                  </w:tcBorders>
                  <w:shd w:val="clear" w:color="auto" w:fill="auto"/>
                  <w:vAlign w:val="center"/>
                </w:tcPr>
                <w:p w14:paraId="6AD789D8">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cs="Times New Roman"/>
                      <w:color w:val="auto"/>
                      <w:sz w:val="21"/>
                      <w:szCs w:val="21"/>
                      <w:lang w:val="en-US" w:eastAsia="zh-CN"/>
                    </w:rPr>
                    <w:t>.25</w:t>
                  </w:r>
                </w:p>
              </w:tc>
              <w:tc>
                <w:tcPr>
                  <w:tcW w:w="1080" w:type="dxa"/>
                  <w:tcBorders>
                    <w:tl2br w:val="nil"/>
                    <w:tr2bl w:val="nil"/>
                  </w:tcBorders>
                  <w:shd w:val="clear" w:color="auto" w:fill="auto"/>
                  <w:vAlign w:val="center"/>
                </w:tcPr>
                <w:p w14:paraId="2B92598C">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0.46</w:t>
                  </w:r>
                </w:p>
              </w:tc>
              <w:tc>
                <w:tcPr>
                  <w:tcW w:w="1080" w:type="dxa"/>
                  <w:tcBorders>
                    <w:tl2br w:val="nil"/>
                    <w:tr2bl w:val="nil"/>
                  </w:tcBorders>
                  <w:shd w:val="clear" w:color="auto" w:fill="auto"/>
                  <w:vAlign w:val="center"/>
                </w:tcPr>
                <w:p w14:paraId="1AC645BE">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0.5</w:t>
                  </w:r>
                </w:p>
              </w:tc>
            </w:tr>
          </w:tbl>
          <w:p w14:paraId="7DA53E94">
            <w:pPr>
              <w:spacing w:line="360" w:lineRule="auto"/>
              <w:jc w:val="center"/>
              <w:rPr>
                <w:rFonts w:hint="default" w:ascii="Times New Roman" w:hAnsi="Times New Roman" w:eastAsia="宋体" w:cs="Times New Roman"/>
                <w:bCs/>
                <w:color w:val="auto"/>
                <w:sz w:val="24"/>
                <w:highlight w:val="none"/>
                <w:lang w:val="en-US" w:eastAsia="zh-CN"/>
              </w:rPr>
            </w:pPr>
          </w:p>
          <w:p w14:paraId="318DCB5B">
            <w:pPr>
              <w:spacing w:line="360" w:lineRule="auto"/>
              <w:ind w:firstLine="420"/>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1.2处理工艺的可行性分析</w:t>
            </w:r>
          </w:p>
          <w:p w14:paraId="5F0568DE">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（1）技术可行性</w:t>
            </w:r>
          </w:p>
          <w:p w14:paraId="4A6790C2">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本项目一期更新改造污水处理采用改良AAO生物处理+磁絮凝池+深度脱氮+消毒工艺方案，根据表4-2分析，本次改造工艺符合《排污许可证申请与核发技术规范水处理（试行）》（HJ 978-2018）6.2污水处理中表4污水处理可行技术参照表要求，属于污水处理可行技术。</w:t>
            </w:r>
          </w:p>
          <w:p w14:paraId="0A78DB5D">
            <w:pPr>
              <w:spacing w:line="360" w:lineRule="auto"/>
              <w:jc w:val="center"/>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表4-2 污水处理可行技术参照表</w:t>
            </w:r>
          </w:p>
          <w:tbl>
            <w:tblPr>
              <w:tblStyle w:val="10"/>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shd w:val="clear" w:color="auto" w:fill="auto"/>
              <w:tblLayout w:type="fixed"/>
              <w:tblCellMar>
                <w:top w:w="0" w:type="dxa"/>
                <w:left w:w="108" w:type="dxa"/>
                <w:bottom w:w="0" w:type="dxa"/>
                <w:right w:w="108" w:type="dxa"/>
              </w:tblCellMar>
            </w:tblPr>
            <w:tblGrid>
              <w:gridCol w:w="743"/>
              <w:gridCol w:w="1025"/>
              <w:gridCol w:w="1009"/>
              <w:gridCol w:w="3019"/>
              <w:gridCol w:w="2320"/>
            </w:tblGrid>
            <w:tr w14:paraId="1AC90E80">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747" w:type="dxa"/>
                  <w:tcBorders>
                    <w:tl2br w:val="nil"/>
                    <w:tr2bl w:val="nil"/>
                  </w:tcBorders>
                  <w:shd w:val="clear" w:color="auto" w:fill="auto"/>
                  <w:vAlign w:val="center"/>
                </w:tcPr>
                <w:p w14:paraId="472ACC1A">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废水类别</w:t>
                  </w:r>
                </w:p>
              </w:tc>
              <w:tc>
                <w:tcPr>
                  <w:tcW w:w="1036" w:type="dxa"/>
                  <w:tcBorders>
                    <w:tl2br w:val="nil"/>
                    <w:tr2bl w:val="nil"/>
                  </w:tcBorders>
                  <w:shd w:val="clear" w:color="auto" w:fill="auto"/>
                  <w:vAlign w:val="center"/>
                </w:tcPr>
                <w:p w14:paraId="590B3207">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执行标准</w:t>
                  </w:r>
                </w:p>
              </w:tc>
              <w:tc>
                <w:tcPr>
                  <w:tcW w:w="1018" w:type="dxa"/>
                  <w:tcBorders>
                    <w:tl2br w:val="nil"/>
                    <w:tr2bl w:val="nil"/>
                  </w:tcBorders>
                  <w:shd w:val="clear" w:color="auto" w:fill="auto"/>
                  <w:vAlign w:val="center"/>
                </w:tcPr>
                <w:p w14:paraId="7303CB3D">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主要工艺</w:t>
                  </w:r>
                </w:p>
              </w:tc>
              <w:tc>
                <w:tcPr>
                  <w:tcW w:w="3066" w:type="dxa"/>
                  <w:tcBorders>
                    <w:tl2br w:val="nil"/>
                    <w:tr2bl w:val="nil"/>
                  </w:tcBorders>
                  <w:shd w:val="clear" w:color="auto" w:fill="auto"/>
                  <w:vAlign w:val="center"/>
                </w:tcPr>
                <w:p w14:paraId="4167B9BC">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《排污许可证申请与核发技术规范水处理（试行）》（HJ 978-2018可行技术</w:t>
                  </w:r>
                  <w:r>
                    <w:rPr>
                      <w:rFonts w:hint="eastAsia" w:cs="Times New Roman"/>
                      <w:b/>
                      <w:bCs/>
                      <w:i w:val="0"/>
                      <w:iCs w:val="0"/>
                      <w:color w:val="auto"/>
                      <w:kern w:val="0"/>
                      <w:sz w:val="21"/>
                      <w:szCs w:val="21"/>
                      <w:u w:val="none"/>
                      <w:lang w:val="en-US" w:eastAsia="zh-CN" w:bidi="ar"/>
                    </w:rPr>
                    <w:t>）</w:t>
                  </w:r>
                </w:p>
              </w:tc>
              <w:tc>
                <w:tcPr>
                  <w:tcW w:w="2355" w:type="dxa"/>
                  <w:tcBorders>
                    <w:tl2br w:val="nil"/>
                    <w:tr2bl w:val="nil"/>
                  </w:tcBorders>
                  <w:shd w:val="clear" w:color="auto" w:fill="auto"/>
                  <w:vAlign w:val="center"/>
                </w:tcPr>
                <w:p w14:paraId="400A978E">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本次改造污水处理设施采用的技术</w:t>
                  </w:r>
                </w:p>
              </w:tc>
            </w:tr>
            <w:tr w14:paraId="27A08724">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454" w:hRule="atLeast"/>
                <w:jc w:val="center"/>
              </w:trPr>
              <w:tc>
                <w:tcPr>
                  <w:tcW w:w="747" w:type="dxa"/>
                  <w:vMerge w:val="restart"/>
                  <w:tcBorders>
                    <w:tl2br w:val="nil"/>
                    <w:tr2bl w:val="nil"/>
                  </w:tcBorders>
                  <w:shd w:val="clear" w:color="auto" w:fill="auto"/>
                  <w:vAlign w:val="center"/>
                </w:tcPr>
                <w:p w14:paraId="7DD107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生活污水</w:t>
                  </w:r>
                </w:p>
              </w:tc>
              <w:tc>
                <w:tcPr>
                  <w:tcW w:w="1036" w:type="dxa"/>
                  <w:vMerge w:val="restart"/>
                  <w:tcBorders>
                    <w:tl2br w:val="nil"/>
                    <w:tr2bl w:val="nil"/>
                  </w:tcBorders>
                  <w:shd w:val="clear" w:color="auto" w:fill="auto"/>
                  <w:vAlign w:val="center"/>
                </w:tcPr>
                <w:p w14:paraId="2784173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执行GB18918中一级标准的A标准或更严格标准</w:t>
                  </w:r>
                </w:p>
              </w:tc>
              <w:tc>
                <w:tcPr>
                  <w:tcW w:w="1018" w:type="dxa"/>
                  <w:tcBorders>
                    <w:tl2br w:val="nil"/>
                    <w:tr2bl w:val="nil"/>
                  </w:tcBorders>
                  <w:shd w:val="clear" w:color="auto" w:fill="auto"/>
                  <w:vAlign w:val="center"/>
                </w:tcPr>
                <w:p w14:paraId="2FB8710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预处理</w:t>
                  </w:r>
                </w:p>
              </w:tc>
              <w:tc>
                <w:tcPr>
                  <w:tcW w:w="3066" w:type="dxa"/>
                  <w:tcBorders>
                    <w:tl2br w:val="nil"/>
                    <w:tr2bl w:val="nil"/>
                  </w:tcBorders>
                  <w:shd w:val="clear" w:color="auto" w:fill="auto"/>
                  <w:vAlign w:val="center"/>
                </w:tcPr>
                <w:p w14:paraId="2DFE159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格栅、沉淀（沉砂、初沉）、调节</w:t>
                  </w:r>
                </w:p>
              </w:tc>
              <w:tc>
                <w:tcPr>
                  <w:tcW w:w="2355" w:type="dxa"/>
                  <w:tcBorders>
                    <w:tl2br w:val="nil"/>
                    <w:tr2bl w:val="nil"/>
                  </w:tcBorders>
                  <w:shd w:val="clear" w:color="auto" w:fill="auto"/>
                  <w:vAlign w:val="center"/>
                </w:tcPr>
                <w:p w14:paraId="150840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格栅隔渣、沉砂调节</w:t>
                  </w:r>
                </w:p>
              </w:tc>
            </w:tr>
            <w:tr w14:paraId="44E732CD">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454" w:hRule="atLeast"/>
                <w:jc w:val="center"/>
              </w:trPr>
              <w:tc>
                <w:tcPr>
                  <w:tcW w:w="747" w:type="dxa"/>
                  <w:vMerge w:val="continue"/>
                  <w:tcBorders>
                    <w:tl2br w:val="nil"/>
                    <w:tr2bl w:val="nil"/>
                  </w:tcBorders>
                  <w:shd w:val="clear" w:color="auto" w:fill="auto"/>
                  <w:vAlign w:val="center"/>
                </w:tcPr>
                <w:p w14:paraId="37E8CF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036" w:type="dxa"/>
                  <w:vMerge w:val="continue"/>
                  <w:tcBorders>
                    <w:tl2br w:val="nil"/>
                    <w:tr2bl w:val="nil"/>
                  </w:tcBorders>
                  <w:shd w:val="clear" w:color="auto" w:fill="auto"/>
                  <w:vAlign w:val="center"/>
                </w:tcPr>
                <w:p w14:paraId="6AB3941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018" w:type="dxa"/>
                  <w:tcBorders>
                    <w:tl2br w:val="nil"/>
                    <w:tr2bl w:val="nil"/>
                  </w:tcBorders>
                  <w:shd w:val="clear" w:color="auto" w:fill="auto"/>
                  <w:vAlign w:val="center"/>
                </w:tcPr>
                <w:p w14:paraId="29605FD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生化处理</w:t>
                  </w:r>
                </w:p>
              </w:tc>
              <w:tc>
                <w:tcPr>
                  <w:tcW w:w="3066" w:type="dxa"/>
                  <w:tcBorders>
                    <w:tl2br w:val="nil"/>
                    <w:tr2bl w:val="nil"/>
                  </w:tcBorders>
                  <w:shd w:val="clear" w:color="auto" w:fill="auto"/>
                  <w:vAlign w:val="center"/>
                </w:tcPr>
                <w:p w14:paraId="6D30366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缺氧好氧、厌氧缺氧好氧、序批式活性污泥、接触氧化、氧化沟、移动生物床反应器、膜生物反应器</w:t>
                  </w:r>
                </w:p>
              </w:tc>
              <w:tc>
                <w:tcPr>
                  <w:tcW w:w="2355" w:type="dxa"/>
                  <w:tcBorders>
                    <w:tl2br w:val="nil"/>
                    <w:tr2bl w:val="nil"/>
                  </w:tcBorders>
                  <w:shd w:val="clear" w:color="auto" w:fill="auto"/>
                  <w:vAlign w:val="center"/>
                </w:tcPr>
                <w:p w14:paraId="372BACA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厌氧缺氧好氧</w:t>
                  </w:r>
                </w:p>
              </w:tc>
            </w:tr>
            <w:tr w14:paraId="30198A32">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tblCellMar>
                  <w:top w:w="0" w:type="dxa"/>
                  <w:left w:w="108" w:type="dxa"/>
                  <w:bottom w:w="0" w:type="dxa"/>
                  <w:right w:w="108" w:type="dxa"/>
                </w:tblCellMar>
              </w:tblPrEx>
              <w:trPr>
                <w:trHeight w:val="454" w:hRule="atLeast"/>
                <w:jc w:val="center"/>
              </w:trPr>
              <w:tc>
                <w:tcPr>
                  <w:tcW w:w="747" w:type="dxa"/>
                  <w:vMerge w:val="continue"/>
                  <w:tcBorders>
                    <w:tl2br w:val="nil"/>
                    <w:tr2bl w:val="nil"/>
                  </w:tcBorders>
                  <w:shd w:val="clear" w:color="auto" w:fill="auto"/>
                  <w:vAlign w:val="center"/>
                </w:tcPr>
                <w:p w14:paraId="36E0E7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036" w:type="dxa"/>
                  <w:vMerge w:val="continue"/>
                  <w:tcBorders>
                    <w:tl2br w:val="nil"/>
                    <w:tr2bl w:val="nil"/>
                  </w:tcBorders>
                  <w:shd w:val="clear" w:color="auto" w:fill="auto"/>
                  <w:vAlign w:val="center"/>
                </w:tcPr>
                <w:p w14:paraId="7069D70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018" w:type="dxa"/>
                  <w:tcBorders>
                    <w:tl2br w:val="nil"/>
                    <w:tr2bl w:val="nil"/>
                  </w:tcBorders>
                  <w:shd w:val="clear" w:color="auto" w:fill="auto"/>
                  <w:vAlign w:val="center"/>
                </w:tcPr>
                <w:p w14:paraId="5951EA6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深度处理</w:t>
                  </w:r>
                </w:p>
              </w:tc>
              <w:tc>
                <w:tcPr>
                  <w:tcW w:w="3066" w:type="dxa"/>
                  <w:tcBorders>
                    <w:tl2br w:val="nil"/>
                    <w:tr2bl w:val="nil"/>
                  </w:tcBorders>
                  <w:shd w:val="clear" w:color="auto" w:fill="auto"/>
                  <w:vAlign w:val="center"/>
                </w:tcPr>
                <w:p w14:paraId="7F54C2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混凝沉淀、过滤、曝气生物滤池、微滤、超滤、消毒</w:t>
                  </w:r>
                  <w:r>
                    <w:rPr>
                      <w:rFonts w:hint="eastAsia"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次氯酸钠、臭氧、紫外、二氧化氯</w:t>
                  </w:r>
                  <w:r>
                    <w:rPr>
                      <w:rFonts w:hint="eastAsia" w:cs="Times New Roman"/>
                      <w:i w:val="0"/>
                      <w:iCs w:val="0"/>
                      <w:color w:val="auto"/>
                      <w:kern w:val="0"/>
                      <w:sz w:val="21"/>
                      <w:szCs w:val="21"/>
                      <w:u w:val="none"/>
                      <w:lang w:val="en-US" w:eastAsia="zh-CN" w:bidi="ar"/>
                    </w:rPr>
                    <w:t>）</w:t>
                  </w:r>
                </w:p>
              </w:tc>
              <w:tc>
                <w:tcPr>
                  <w:tcW w:w="2355" w:type="dxa"/>
                  <w:tcBorders>
                    <w:tl2br w:val="nil"/>
                    <w:tr2bl w:val="nil"/>
                  </w:tcBorders>
                  <w:shd w:val="clear" w:color="auto" w:fill="auto"/>
                  <w:vAlign w:val="center"/>
                </w:tcPr>
                <w:p w14:paraId="04FDBC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磁絮凝混凝沉淀池、反硝化深床滤池、次氯酸钠消毒</w:t>
                  </w:r>
                  <w:r>
                    <w:rPr>
                      <w:rFonts w:hint="eastAsia" w:cs="Times New Roman"/>
                      <w:i w:val="0"/>
                      <w:iCs w:val="0"/>
                      <w:color w:val="auto"/>
                      <w:kern w:val="0"/>
                      <w:sz w:val="21"/>
                      <w:szCs w:val="21"/>
                      <w:u w:val="none"/>
                      <w:lang w:val="en-US" w:eastAsia="zh-CN" w:bidi="ar"/>
                    </w:rPr>
                    <w:t>。</w:t>
                  </w:r>
                </w:p>
              </w:tc>
            </w:tr>
          </w:tbl>
          <w:p w14:paraId="4466E18D">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（2）达标可行性</w:t>
            </w:r>
          </w:p>
          <w:p w14:paraId="348EA838">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城市污水主要的污染物包括：悬浮物SS，有机污染物CODcr、</w:t>
            </w:r>
            <w:r>
              <w:rPr>
                <w:rFonts w:hint="default" w:ascii="Times New Roman" w:hAnsi="Times New Roman" w:eastAsia="宋体" w:cs="Times New Roman"/>
                <w:bCs/>
                <w:color w:val="auto"/>
                <w:sz w:val="24"/>
                <w:highlight w:val="none"/>
                <w:vertAlign w:val="baseline"/>
                <w:lang w:val="en-US" w:eastAsia="zh-CN"/>
              </w:rPr>
              <w:t>BOD</w:t>
            </w:r>
            <w:r>
              <w:rPr>
                <w:rFonts w:hint="default" w:ascii="Times New Roman" w:hAnsi="Times New Roman" w:eastAsia="宋体" w:cs="Times New Roman"/>
                <w:bCs/>
                <w:color w:val="auto"/>
                <w:sz w:val="24"/>
                <w:highlight w:val="none"/>
                <w:vertAlign w:val="subscript"/>
                <w:lang w:val="en-US" w:eastAsia="zh-CN"/>
              </w:rPr>
              <w:t>5</w:t>
            </w:r>
            <w:r>
              <w:rPr>
                <w:rFonts w:hint="default" w:ascii="Times New Roman" w:hAnsi="Times New Roman" w:eastAsia="宋体" w:cs="Times New Roman"/>
                <w:bCs/>
                <w:color w:val="auto"/>
                <w:sz w:val="24"/>
                <w:highlight w:val="none"/>
                <w:lang w:val="en-US" w:eastAsia="zh-CN"/>
              </w:rPr>
              <w:t>，无机营养盐N、P等。整个污水处理系统各污染物的去除情况分述如下：</w:t>
            </w:r>
          </w:p>
          <w:p w14:paraId="009DDCCC">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①</w:t>
            </w:r>
            <w:r>
              <w:rPr>
                <w:rFonts w:hint="default" w:ascii="Times New Roman" w:hAnsi="Times New Roman" w:eastAsia="宋体" w:cs="Times New Roman"/>
                <w:bCs/>
                <w:color w:val="auto"/>
                <w:sz w:val="24"/>
                <w:highlight w:val="none"/>
                <w:vertAlign w:val="baseline"/>
                <w:lang w:val="en-US" w:eastAsia="zh-CN"/>
              </w:rPr>
              <w:t>BOD</w:t>
            </w:r>
            <w:r>
              <w:rPr>
                <w:rFonts w:hint="default" w:ascii="Times New Roman" w:hAnsi="Times New Roman" w:eastAsia="宋体" w:cs="Times New Roman"/>
                <w:bCs/>
                <w:color w:val="auto"/>
                <w:sz w:val="24"/>
                <w:highlight w:val="none"/>
                <w:vertAlign w:val="subscript"/>
                <w:lang w:val="en-US" w:eastAsia="zh-CN"/>
              </w:rPr>
              <w:t>5</w:t>
            </w:r>
          </w:p>
          <w:p w14:paraId="099749D8">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污水生物处理中微生物在有氧条件下，通过合成代谢将污水中一部分有机物合成新的细胞</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通过分解代谢将部分有机物分解以获得细胞合成所需要的能量。污水中的</w:t>
            </w:r>
            <w:r>
              <w:rPr>
                <w:rFonts w:hint="default" w:ascii="Times New Roman" w:hAnsi="Times New Roman" w:eastAsia="宋体" w:cs="Times New Roman"/>
                <w:bCs/>
                <w:color w:val="auto"/>
                <w:sz w:val="24"/>
                <w:highlight w:val="none"/>
                <w:vertAlign w:val="baseline"/>
                <w:lang w:val="en-US" w:eastAsia="zh-CN"/>
              </w:rPr>
              <w:t>BOD</w:t>
            </w:r>
            <w:r>
              <w:rPr>
                <w:rFonts w:hint="default" w:ascii="Times New Roman" w:hAnsi="Times New Roman" w:eastAsia="宋体" w:cs="Times New Roman"/>
                <w:bCs/>
                <w:color w:val="auto"/>
                <w:sz w:val="24"/>
                <w:highlight w:val="none"/>
                <w:vertAlign w:val="subscript"/>
                <w:lang w:val="en-US" w:eastAsia="zh-CN"/>
              </w:rPr>
              <w:t>5</w:t>
            </w:r>
            <w:r>
              <w:rPr>
                <w:rFonts w:hint="default" w:ascii="Times New Roman" w:hAnsi="Times New Roman" w:eastAsia="宋体" w:cs="Times New Roman"/>
                <w:bCs/>
                <w:color w:val="auto"/>
                <w:sz w:val="24"/>
                <w:highlight w:val="none"/>
                <w:lang w:val="en-US" w:eastAsia="zh-CN"/>
              </w:rPr>
              <w:t>主要在工艺流程中的曝气池即主反应池内去除。</w:t>
            </w:r>
          </w:p>
          <w:p w14:paraId="65BE8237">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②COD</w:t>
            </w:r>
          </w:p>
          <w:p w14:paraId="6753C633">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污水中COD的去除原理和</w:t>
            </w:r>
            <w:r>
              <w:rPr>
                <w:rFonts w:hint="default" w:ascii="Times New Roman" w:hAnsi="Times New Roman" w:eastAsia="宋体" w:cs="Times New Roman"/>
                <w:bCs/>
                <w:color w:val="auto"/>
                <w:sz w:val="24"/>
                <w:highlight w:val="none"/>
                <w:vertAlign w:val="baseline"/>
                <w:lang w:val="en-US" w:eastAsia="zh-CN"/>
              </w:rPr>
              <w:t>BOD</w:t>
            </w:r>
            <w:r>
              <w:rPr>
                <w:rFonts w:hint="default" w:ascii="Times New Roman" w:hAnsi="Times New Roman" w:eastAsia="宋体" w:cs="Times New Roman"/>
                <w:bCs/>
                <w:color w:val="auto"/>
                <w:sz w:val="24"/>
                <w:highlight w:val="none"/>
                <w:vertAlign w:val="subscript"/>
                <w:lang w:val="en-US" w:eastAsia="zh-CN"/>
              </w:rPr>
              <w:t>5</w:t>
            </w:r>
            <w:r>
              <w:rPr>
                <w:rFonts w:hint="default" w:ascii="Times New Roman" w:hAnsi="Times New Roman" w:eastAsia="宋体" w:cs="Times New Roman"/>
                <w:bCs/>
                <w:color w:val="auto"/>
                <w:sz w:val="24"/>
                <w:highlight w:val="none"/>
                <w:lang w:val="en-US" w:eastAsia="zh-CN"/>
              </w:rPr>
              <w:t>基本相同，COD的去除率取决于原水中有机物的可生化性，如果原水中有机物的生化性差，需要采取措施提高有机物的可生化性。</w:t>
            </w:r>
          </w:p>
          <w:p w14:paraId="42D7121B">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③悬浮物（SS）</w:t>
            </w:r>
          </w:p>
          <w:p w14:paraId="73E8F91D">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污水中大直径的无机颗粒和有机颗粒，靠自然沉降或过滤作用即可去除，小直径的有机颗粒靠微生物的降解作用去除，小直径的无机颗粒则靠活性污泥絮体的吸附、网络作用，与活性污泥絮体同时被去除。</w:t>
            </w:r>
          </w:p>
          <w:p w14:paraId="558CB43A">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④N</w:t>
            </w:r>
            <w:r>
              <w:rPr>
                <w:rFonts w:hint="default" w:ascii="Times New Roman" w:hAnsi="Times New Roman" w:eastAsia="宋体" w:cs="Times New Roman"/>
                <w:bCs/>
                <w:color w:val="auto"/>
                <w:sz w:val="24"/>
                <w:highlight w:val="none"/>
                <w:vertAlign w:val="baseline"/>
                <w:lang w:val="en-US" w:eastAsia="zh-CN"/>
              </w:rPr>
              <w:t>H</w:t>
            </w:r>
            <w:r>
              <w:rPr>
                <w:rFonts w:hint="default" w:ascii="Times New Roman" w:hAnsi="Times New Roman" w:eastAsia="宋体" w:cs="Times New Roman"/>
                <w:bCs/>
                <w:color w:val="auto"/>
                <w:sz w:val="24"/>
                <w:highlight w:val="none"/>
                <w:vertAlign w:val="subscript"/>
                <w:lang w:val="en-US" w:eastAsia="zh-CN"/>
              </w:rPr>
              <w:t>3</w:t>
            </w:r>
            <w:r>
              <w:rPr>
                <w:rFonts w:hint="default" w:ascii="Times New Roman" w:hAnsi="Times New Roman" w:eastAsia="宋体" w:cs="Times New Roman"/>
                <w:bCs/>
                <w:color w:val="auto"/>
                <w:sz w:val="24"/>
                <w:highlight w:val="none"/>
                <w:lang w:val="en-US" w:eastAsia="zh-CN"/>
              </w:rPr>
              <w:t>-N和TN</w:t>
            </w:r>
          </w:p>
          <w:p w14:paraId="4E114C27">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N</w:t>
            </w:r>
            <w:r>
              <w:rPr>
                <w:rFonts w:hint="default" w:ascii="Times New Roman" w:hAnsi="Times New Roman" w:eastAsia="宋体" w:cs="Times New Roman"/>
                <w:bCs/>
                <w:color w:val="auto"/>
                <w:sz w:val="24"/>
                <w:highlight w:val="none"/>
                <w:vertAlign w:val="baseline"/>
                <w:lang w:val="en-US" w:eastAsia="zh-CN"/>
              </w:rPr>
              <w:t>H</w:t>
            </w:r>
            <w:r>
              <w:rPr>
                <w:rFonts w:hint="default" w:ascii="Times New Roman" w:hAnsi="Times New Roman" w:eastAsia="宋体" w:cs="Times New Roman"/>
                <w:bCs/>
                <w:color w:val="auto"/>
                <w:sz w:val="24"/>
                <w:highlight w:val="none"/>
                <w:vertAlign w:val="subscript"/>
                <w:lang w:val="en-US" w:eastAsia="zh-CN"/>
              </w:rPr>
              <w:t>3</w:t>
            </w:r>
            <w:r>
              <w:rPr>
                <w:rFonts w:hint="default" w:ascii="Times New Roman" w:hAnsi="Times New Roman" w:eastAsia="宋体" w:cs="Times New Roman"/>
                <w:bCs/>
                <w:color w:val="auto"/>
                <w:sz w:val="24"/>
                <w:highlight w:val="none"/>
                <w:lang w:val="en-US" w:eastAsia="zh-CN"/>
              </w:rPr>
              <w:t>-N的去除主要在好氧生化池内完成，在溶解氧充足的条件下，亚硝酸菌先将氨氮氧化成亚硝酸氮，接着硝酸菌进一步将亚硝酸氮氧化成硝酸氮。要控制出水中TN的含量，必须进行反硝化脱氮。反硝化是在缺氧的条件下，反硝化菌利用有机物作为电子供体，将硝酸盐还原成N</w:t>
            </w:r>
            <w:r>
              <w:rPr>
                <w:rFonts w:hint="default" w:ascii="Times New Roman" w:hAnsi="Times New Roman" w:eastAsia="宋体" w:cs="Times New Roman"/>
                <w:bCs/>
                <w:color w:val="auto"/>
                <w:sz w:val="24"/>
                <w:highlight w:val="none"/>
                <w:vertAlign w:val="subscript"/>
                <w:lang w:val="en-US" w:eastAsia="zh-CN"/>
              </w:rPr>
              <w:t>2</w:t>
            </w:r>
            <w:r>
              <w:rPr>
                <w:rFonts w:hint="default" w:ascii="Times New Roman" w:hAnsi="Times New Roman" w:eastAsia="宋体" w:cs="Times New Roman"/>
                <w:bCs/>
                <w:color w:val="auto"/>
                <w:sz w:val="24"/>
                <w:highlight w:val="none"/>
                <w:lang w:val="en-US" w:eastAsia="zh-CN"/>
              </w:rPr>
              <w:t>的过程。在前端出水总氮未达到预期处理效果的情况下，由反硝化深床滤池进行强化处理，保证污水达标排放，反硝化深床滤池总氮去除效率</w:t>
            </w:r>
            <w:r>
              <w:rPr>
                <w:rFonts w:hint="eastAsia" w:cs="Times New Roman"/>
                <w:bCs/>
                <w:color w:val="auto"/>
                <w:sz w:val="24"/>
                <w:highlight w:val="none"/>
                <w:lang w:val="en-US" w:eastAsia="zh-CN"/>
              </w:rPr>
              <w:t>为</w:t>
            </w:r>
            <w:r>
              <w:rPr>
                <w:rFonts w:hint="default" w:ascii="Times New Roman" w:hAnsi="Times New Roman" w:eastAsia="宋体" w:cs="Times New Roman"/>
                <w:bCs/>
                <w:color w:val="auto"/>
                <w:sz w:val="24"/>
                <w:highlight w:val="none"/>
                <w:lang w:val="en-US" w:eastAsia="zh-CN"/>
              </w:rPr>
              <w:t>50%~80%。</w:t>
            </w:r>
          </w:p>
          <w:p w14:paraId="0EB2031D">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⑤TP</w:t>
            </w:r>
          </w:p>
          <w:p w14:paraId="6AA22348">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生物除磷是</w:t>
            </w:r>
            <w:r>
              <w:rPr>
                <w:rFonts w:hint="eastAsia" w:cs="Times New Roman"/>
                <w:bCs/>
                <w:color w:val="auto"/>
                <w:sz w:val="24"/>
                <w:highlight w:val="none"/>
                <w:lang w:val="en-US" w:eastAsia="zh-CN"/>
              </w:rPr>
              <w:t>指</w:t>
            </w:r>
            <w:r>
              <w:rPr>
                <w:rFonts w:hint="default" w:ascii="Times New Roman" w:hAnsi="Times New Roman" w:eastAsia="宋体" w:cs="Times New Roman"/>
                <w:bCs/>
                <w:color w:val="auto"/>
                <w:sz w:val="24"/>
                <w:highlight w:val="none"/>
                <w:lang w:val="en-US" w:eastAsia="zh-CN"/>
              </w:rPr>
              <w:t>聚磷菌在厌氧条件下释放出体内的磷酸盐，在好氧条件下过量吸收污水中的磷，形成高含磷的活性污泥，随剩余污泥排出而达到去除污水中磷的目的。具有生物除磷功能的污水处理工艺通常能够使被处理的污水中磷含量降低至1.0</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g/L以下。在前端出水总磷未达到预期处理效果的情况下，由反硝化深床滤池进行强化处理，保证污水达标排放，反硝化深床滤池总磷最大去除效率20%~40%。</w:t>
            </w:r>
          </w:p>
          <w:p w14:paraId="5D43476A">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本次改造污水处理设施预计处理效果如下：</w:t>
            </w:r>
          </w:p>
          <w:p w14:paraId="71C92EAD">
            <w:pPr>
              <w:spacing w:line="360" w:lineRule="auto"/>
              <w:ind w:firstLine="0" w:firstLineChars="0"/>
              <w:jc w:val="center"/>
              <w:rPr>
                <w:rFonts w:hint="default" w:ascii="Times New Roman" w:hAnsi="Times New Roman" w:eastAsia="宋体" w:cs="Times New Roman"/>
                <w:b/>
                <w:bCs/>
                <w:color w:val="auto"/>
                <w:sz w:val="24"/>
                <w:szCs w:val="20"/>
              </w:rPr>
            </w:pPr>
            <w:r>
              <w:rPr>
                <w:rFonts w:hint="default" w:ascii="Times New Roman" w:hAnsi="Times New Roman" w:eastAsia="宋体" w:cs="Times New Roman"/>
                <w:b/>
                <w:bCs/>
                <w:color w:val="auto"/>
                <w:sz w:val="24"/>
                <w:szCs w:val="20"/>
              </w:rPr>
              <w:t>表</w:t>
            </w:r>
            <w:r>
              <w:rPr>
                <w:rFonts w:hint="default" w:ascii="Times New Roman" w:hAnsi="Times New Roman" w:eastAsia="宋体" w:cs="Times New Roman"/>
                <w:b/>
                <w:bCs/>
                <w:color w:val="auto"/>
                <w:sz w:val="24"/>
                <w:szCs w:val="20"/>
                <w:lang w:val="en-US" w:eastAsia="zh-CN"/>
              </w:rPr>
              <w:t>4-3</w:t>
            </w:r>
            <w:r>
              <w:rPr>
                <w:rFonts w:hint="default" w:ascii="Times New Roman" w:hAnsi="Times New Roman" w:eastAsia="宋体" w:cs="Times New Roman"/>
                <w:b/>
                <w:bCs/>
                <w:color w:val="auto"/>
                <w:sz w:val="24"/>
                <w:szCs w:val="20"/>
              </w:rPr>
              <w:t xml:space="preserve"> 本项目污水处理效率一览表</w:t>
            </w:r>
          </w:p>
          <w:tbl>
            <w:tblPr>
              <w:tblStyle w:val="10"/>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231"/>
              <w:gridCol w:w="1149"/>
              <w:gridCol w:w="956"/>
              <w:gridCol w:w="956"/>
              <w:gridCol w:w="956"/>
              <w:gridCol w:w="956"/>
              <w:gridCol w:w="956"/>
              <w:gridCol w:w="957"/>
            </w:tblGrid>
            <w:tr w14:paraId="5B0232F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1465" w:type="pct"/>
                  <w:gridSpan w:val="2"/>
                  <w:tcBorders>
                    <w:left w:val="single" w:color="auto" w:sz="0" w:space="0"/>
                    <w:bottom w:val="single" w:color="auto" w:sz="12" w:space="0"/>
                    <w:right w:val="single" w:color="auto" w:sz="12" w:space="0"/>
                  </w:tcBorders>
                  <w:noWrap w:val="0"/>
                  <w:vAlign w:val="center"/>
                </w:tcPr>
                <w:p w14:paraId="15D6AEFC">
                  <w:pPr>
                    <w:spacing w:line="240" w:lineRule="auto"/>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项目</w:t>
                  </w:r>
                </w:p>
              </w:tc>
              <w:tc>
                <w:tcPr>
                  <w:tcW w:w="588" w:type="pct"/>
                  <w:tcBorders>
                    <w:left w:val="single" w:color="auto" w:sz="12" w:space="0"/>
                    <w:bottom w:val="single" w:color="auto" w:sz="12" w:space="0"/>
                    <w:right w:val="single" w:color="auto" w:sz="12" w:space="0"/>
                  </w:tcBorders>
                  <w:noWrap w:val="0"/>
                  <w:vAlign w:val="center"/>
                </w:tcPr>
                <w:p w14:paraId="5BBCCC88">
                  <w:pPr>
                    <w:spacing w:line="240" w:lineRule="auto"/>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CODcr</w:t>
                  </w:r>
                </w:p>
              </w:tc>
              <w:tc>
                <w:tcPr>
                  <w:tcW w:w="588" w:type="pct"/>
                  <w:tcBorders>
                    <w:left w:val="single" w:color="auto" w:sz="12" w:space="0"/>
                    <w:bottom w:val="single" w:color="auto" w:sz="12" w:space="0"/>
                    <w:right w:val="single" w:color="auto" w:sz="12" w:space="0"/>
                  </w:tcBorders>
                  <w:noWrap w:val="0"/>
                  <w:vAlign w:val="center"/>
                </w:tcPr>
                <w:p w14:paraId="1FFD7185">
                  <w:pPr>
                    <w:spacing w:line="240" w:lineRule="auto"/>
                    <w:ind w:firstLine="0" w:firstLineChars="0"/>
                    <w:jc w:val="center"/>
                    <w:rPr>
                      <w:rFonts w:hint="default" w:ascii="Times New Roman" w:hAnsi="Times New Roman" w:eastAsia="宋体" w:cs="Times New Roman"/>
                      <w:b/>
                      <w:bCs w:val="0"/>
                      <w:color w:val="auto"/>
                      <w:sz w:val="21"/>
                      <w:szCs w:val="21"/>
                      <w:lang w:eastAsia="zh-CN"/>
                    </w:rPr>
                  </w:pPr>
                  <w:r>
                    <w:rPr>
                      <w:rFonts w:hint="default" w:ascii="Times New Roman" w:hAnsi="Times New Roman" w:eastAsia="宋体" w:cs="Times New Roman"/>
                      <w:b/>
                      <w:bCs w:val="0"/>
                      <w:color w:val="auto"/>
                      <w:sz w:val="21"/>
                      <w:szCs w:val="21"/>
                      <w:vertAlign w:val="baseline"/>
                      <w:lang w:eastAsia="zh-CN"/>
                    </w:rPr>
                    <w:t>BOD</w:t>
                  </w:r>
                  <w:r>
                    <w:rPr>
                      <w:rFonts w:hint="default" w:ascii="Times New Roman" w:hAnsi="Times New Roman" w:eastAsia="宋体" w:cs="Times New Roman"/>
                      <w:b/>
                      <w:bCs w:val="0"/>
                      <w:color w:val="auto"/>
                      <w:sz w:val="21"/>
                      <w:szCs w:val="21"/>
                      <w:vertAlign w:val="subscript"/>
                      <w:lang w:eastAsia="zh-CN"/>
                    </w:rPr>
                    <w:t>5</w:t>
                  </w:r>
                </w:p>
              </w:tc>
              <w:tc>
                <w:tcPr>
                  <w:tcW w:w="588" w:type="pct"/>
                  <w:tcBorders>
                    <w:left w:val="single" w:color="auto" w:sz="12" w:space="0"/>
                    <w:bottom w:val="single" w:color="auto" w:sz="12" w:space="0"/>
                    <w:right w:val="single" w:color="auto" w:sz="12" w:space="0"/>
                  </w:tcBorders>
                  <w:noWrap w:val="0"/>
                  <w:vAlign w:val="center"/>
                </w:tcPr>
                <w:p w14:paraId="5E9047C4">
                  <w:pPr>
                    <w:spacing w:line="240" w:lineRule="auto"/>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SS</w:t>
                  </w:r>
                </w:p>
              </w:tc>
              <w:tc>
                <w:tcPr>
                  <w:tcW w:w="588" w:type="pct"/>
                  <w:tcBorders>
                    <w:left w:val="single" w:color="auto" w:sz="12" w:space="0"/>
                    <w:bottom w:val="single" w:color="auto" w:sz="12" w:space="0"/>
                    <w:right w:val="single" w:color="auto" w:sz="12" w:space="0"/>
                  </w:tcBorders>
                  <w:noWrap w:val="0"/>
                  <w:vAlign w:val="center"/>
                </w:tcPr>
                <w:p w14:paraId="68B50243">
                  <w:pPr>
                    <w:spacing w:line="240" w:lineRule="auto"/>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N</w:t>
                  </w:r>
                  <w:r>
                    <w:rPr>
                      <w:rFonts w:hint="default" w:ascii="Times New Roman" w:hAnsi="Times New Roman" w:eastAsia="宋体" w:cs="Times New Roman"/>
                      <w:b/>
                      <w:bCs w:val="0"/>
                      <w:color w:val="auto"/>
                      <w:sz w:val="21"/>
                      <w:szCs w:val="21"/>
                      <w:vertAlign w:val="baseline"/>
                      <w:lang w:eastAsia="zh-CN"/>
                    </w:rPr>
                    <w:t>H</w:t>
                  </w:r>
                  <w:r>
                    <w:rPr>
                      <w:rFonts w:hint="default" w:ascii="Times New Roman" w:hAnsi="Times New Roman" w:eastAsia="宋体" w:cs="Times New Roman"/>
                      <w:b/>
                      <w:bCs w:val="0"/>
                      <w:color w:val="auto"/>
                      <w:sz w:val="21"/>
                      <w:szCs w:val="21"/>
                      <w:vertAlign w:val="subscript"/>
                      <w:lang w:eastAsia="zh-CN"/>
                    </w:rPr>
                    <w:t>3</w:t>
                  </w:r>
                  <w:r>
                    <w:rPr>
                      <w:rFonts w:hint="default" w:ascii="Times New Roman" w:hAnsi="Times New Roman" w:eastAsia="宋体" w:cs="Times New Roman"/>
                      <w:b/>
                      <w:bCs w:val="0"/>
                      <w:color w:val="auto"/>
                      <w:sz w:val="21"/>
                      <w:szCs w:val="21"/>
                    </w:rPr>
                    <w:t>-N</w:t>
                  </w:r>
                </w:p>
              </w:tc>
              <w:tc>
                <w:tcPr>
                  <w:tcW w:w="588" w:type="pct"/>
                  <w:tcBorders>
                    <w:left w:val="single" w:color="auto" w:sz="12" w:space="0"/>
                    <w:bottom w:val="single" w:color="auto" w:sz="12" w:space="0"/>
                    <w:right w:val="single" w:color="auto" w:sz="12" w:space="0"/>
                  </w:tcBorders>
                  <w:noWrap w:val="0"/>
                  <w:vAlign w:val="center"/>
                </w:tcPr>
                <w:p w14:paraId="4AEE1C41">
                  <w:pPr>
                    <w:spacing w:line="240" w:lineRule="auto"/>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TN</w:t>
                  </w:r>
                </w:p>
              </w:tc>
              <w:tc>
                <w:tcPr>
                  <w:tcW w:w="589" w:type="pct"/>
                  <w:tcBorders>
                    <w:left w:val="single" w:color="auto" w:sz="12" w:space="0"/>
                    <w:bottom w:val="single" w:color="auto" w:sz="12" w:space="0"/>
                    <w:right w:val="single" w:color="auto" w:sz="12" w:space="0"/>
                  </w:tcBorders>
                  <w:noWrap w:val="0"/>
                  <w:vAlign w:val="center"/>
                </w:tcPr>
                <w:p w14:paraId="01410399">
                  <w:pPr>
                    <w:spacing w:line="240" w:lineRule="auto"/>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TP</w:t>
                  </w:r>
                </w:p>
              </w:tc>
            </w:tr>
            <w:tr w14:paraId="4A6FB60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1465" w:type="pct"/>
                  <w:gridSpan w:val="2"/>
                  <w:tcBorders>
                    <w:top w:val="single" w:color="auto" w:sz="12" w:space="0"/>
                    <w:left w:val="single" w:color="auto" w:sz="4" w:space="0"/>
                    <w:bottom w:val="single" w:color="auto" w:sz="12" w:space="0"/>
                    <w:right w:val="single" w:color="auto" w:sz="12" w:space="0"/>
                  </w:tcBorders>
                  <w:shd w:val="clear" w:color="auto" w:fill="auto"/>
                  <w:noWrap w:val="0"/>
                  <w:vAlign w:val="center"/>
                </w:tcPr>
                <w:p w14:paraId="0AE89948">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进厂水质</w:t>
                  </w:r>
                  <w:r>
                    <w:rPr>
                      <w:rFonts w:hint="eastAsia" w:cs="Times New Roman"/>
                      <w:b/>
                      <w:bCs/>
                      <w:i w:val="0"/>
                      <w:iCs w:val="0"/>
                      <w:color w:val="auto"/>
                      <w:kern w:val="0"/>
                      <w:sz w:val="21"/>
                      <w:szCs w:val="21"/>
                      <w:u w:val="none"/>
                      <w:lang w:val="en-US" w:eastAsia="zh-CN" w:bidi="ar"/>
                    </w:rPr>
                    <w:t>（m</w:t>
                  </w:r>
                  <w:r>
                    <w:rPr>
                      <w:rFonts w:hint="default" w:ascii="Times New Roman" w:hAnsi="Times New Roman" w:eastAsia="宋体" w:cs="Times New Roman"/>
                      <w:b/>
                      <w:bCs/>
                      <w:i w:val="0"/>
                      <w:iCs w:val="0"/>
                      <w:color w:val="auto"/>
                      <w:kern w:val="0"/>
                      <w:sz w:val="21"/>
                      <w:szCs w:val="21"/>
                      <w:u w:val="none"/>
                      <w:lang w:val="en-US" w:eastAsia="zh-CN" w:bidi="ar"/>
                    </w:rPr>
                    <w:t>g/L</w:t>
                  </w:r>
                  <w:r>
                    <w:rPr>
                      <w:rFonts w:hint="eastAsia" w:cs="Times New Roman"/>
                      <w:b/>
                      <w:bCs/>
                      <w:i w:val="0"/>
                      <w:iCs w:val="0"/>
                      <w:color w:val="auto"/>
                      <w:kern w:val="0"/>
                      <w:sz w:val="21"/>
                      <w:szCs w:val="21"/>
                      <w:u w:val="none"/>
                      <w:lang w:val="en-US" w:eastAsia="zh-CN" w:bidi="ar"/>
                    </w:rPr>
                    <w:t>）</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48BE53F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350</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502B9FB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2356634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180</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5037E43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60</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3225415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80</w:t>
                  </w:r>
                </w:p>
              </w:tc>
              <w:tc>
                <w:tcPr>
                  <w:tcW w:w="589"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413D5EF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9.5</w:t>
                  </w:r>
                </w:p>
              </w:tc>
            </w:tr>
            <w:tr w14:paraId="6E68A12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57" w:type="pct"/>
                  <w:vMerge w:val="restart"/>
                  <w:tcBorders>
                    <w:top w:val="single" w:color="auto" w:sz="12" w:space="0"/>
                    <w:left w:val="single" w:color="auto" w:sz="4" w:space="0"/>
                    <w:bottom w:val="single" w:color="auto" w:sz="12" w:space="0"/>
                    <w:right w:val="single" w:color="auto" w:sz="12" w:space="0"/>
                  </w:tcBorders>
                  <w:shd w:val="clear" w:color="auto" w:fill="auto"/>
                  <w:noWrap w:val="0"/>
                  <w:vAlign w:val="center"/>
                </w:tcPr>
                <w:p w14:paraId="01CE59FB">
                  <w:pPr>
                    <w:keepNext w:val="0"/>
                    <w:keepLines w:val="0"/>
                    <w:widowControl/>
                    <w:suppressLineNumbers w:val="0"/>
                    <w:jc w:val="center"/>
                    <w:textAlignment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i w:val="0"/>
                      <w:iCs w:val="0"/>
                      <w:color w:val="auto"/>
                      <w:kern w:val="0"/>
                      <w:sz w:val="21"/>
                      <w:szCs w:val="21"/>
                      <w:u w:val="none"/>
                      <w:lang w:val="en-US" w:eastAsia="zh-CN" w:bidi="ar"/>
                    </w:rPr>
                    <w:t>格栅间+沉砂池</w:t>
                  </w:r>
                </w:p>
              </w:tc>
              <w:tc>
                <w:tcPr>
                  <w:tcW w:w="707"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23EC86E1">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进水水质</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02D92F5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350</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7098955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0452855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180</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3019143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60</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70CFBAB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80</w:t>
                  </w:r>
                </w:p>
              </w:tc>
              <w:tc>
                <w:tcPr>
                  <w:tcW w:w="589"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2C8BE8B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9.5</w:t>
                  </w:r>
                </w:p>
              </w:tc>
            </w:tr>
            <w:tr w14:paraId="1698B36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57" w:type="pct"/>
                  <w:vMerge w:val="continue"/>
                  <w:tcBorders>
                    <w:top w:val="single" w:color="auto" w:sz="12" w:space="0"/>
                    <w:left w:val="single" w:color="auto" w:sz="4" w:space="0"/>
                    <w:bottom w:val="single" w:color="auto" w:sz="12" w:space="0"/>
                    <w:right w:val="single" w:color="auto" w:sz="12" w:space="0"/>
                  </w:tcBorders>
                  <w:noWrap w:val="0"/>
                  <w:vAlign w:val="center"/>
                </w:tcPr>
                <w:p w14:paraId="0441C019">
                  <w:pPr>
                    <w:spacing w:line="240" w:lineRule="auto"/>
                    <w:ind w:firstLine="0" w:firstLineChars="0"/>
                    <w:jc w:val="center"/>
                    <w:rPr>
                      <w:rFonts w:hint="default" w:ascii="Times New Roman" w:hAnsi="Times New Roman" w:eastAsia="宋体" w:cs="Times New Roman"/>
                      <w:b/>
                      <w:bCs w:val="0"/>
                      <w:color w:val="auto"/>
                      <w:sz w:val="21"/>
                      <w:szCs w:val="21"/>
                    </w:rPr>
                  </w:pPr>
                </w:p>
              </w:tc>
              <w:tc>
                <w:tcPr>
                  <w:tcW w:w="707"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58AE05F4">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处理效率</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055A7A1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69F5B8D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7D98846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34547C2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2C9DC1B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w:t>
                  </w:r>
                </w:p>
              </w:tc>
              <w:tc>
                <w:tcPr>
                  <w:tcW w:w="589"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4A52768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w:t>
                  </w:r>
                </w:p>
              </w:tc>
            </w:tr>
            <w:tr w14:paraId="3E1537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57" w:type="pct"/>
                  <w:vMerge w:val="restart"/>
                  <w:tcBorders>
                    <w:top w:val="single" w:color="auto" w:sz="12" w:space="0"/>
                    <w:left w:val="single" w:color="auto" w:sz="4" w:space="0"/>
                    <w:bottom w:val="single" w:color="auto" w:sz="12" w:space="0"/>
                    <w:right w:val="single" w:color="auto" w:sz="12" w:space="0"/>
                  </w:tcBorders>
                  <w:shd w:val="clear" w:color="auto" w:fill="auto"/>
                  <w:noWrap w:val="0"/>
                  <w:vAlign w:val="center"/>
                </w:tcPr>
                <w:p w14:paraId="75B97B3D">
                  <w:pPr>
                    <w:keepNext w:val="0"/>
                    <w:keepLines w:val="0"/>
                    <w:widowControl/>
                    <w:suppressLineNumbers w:val="0"/>
                    <w:jc w:val="center"/>
                    <w:textAlignment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i w:val="0"/>
                      <w:iCs w:val="0"/>
                      <w:color w:val="auto"/>
                      <w:kern w:val="0"/>
                      <w:sz w:val="21"/>
                      <w:szCs w:val="21"/>
                      <w:u w:val="none"/>
                      <w:lang w:val="en-US" w:eastAsia="zh-CN" w:bidi="ar"/>
                    </w:rPr>
                    <w:t>生化池+二沉池</w:t>
                  </w:r>
                </w:p>
              </w:tc>
              <w:tc>
                <w:tcPr>
                  <w:tcW w:w="707"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4C58DE1B">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进水水质</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3B258D1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333 </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3F4EA01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196 </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725AE8D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180 </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5BD8686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60 </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235075D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80 </w:t>
                  </w:r>
                </w:p>
              </w:tc>
              <w:tc>
                <w:tcPr>
                  <w:tcW w:w="589"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0134ED2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9.5 </w:t>
                  </w:r>
                </w:p>
              </w:tc>
            </w:tr>
            <w:tr w14:paraId="795C80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57" w:type="pct"/>
                  <w:vMerge w:val="continue"/>
                  <w:tcBorders>
                    <w:top w:val="single" w:color="auto" w:sz="12" w:space="0"/>
                    <w:left w:val="single" w:color="auto" w:sz="4" w:space="0"/>
                    <w:bottom w:val="single" w:color="auto" w:sz="12" w:space="0"/>
                    <w:right w:val="single" w:color="auto" w:sz="12" w:space="0"/>
                  </w:tcBorders>
                  <w:noWrap w:val="0"/>
                  <w:vAlign w:val="center"/>
                </w:tcPr>
                <w:p w14:paraId="69936B82">
                  <w:pPr>
                    <w:spacing w:line="240" w:lineRule="auto"/>
                    <w:ind w:firstLine="0" w:firstLineChars="0"/>
                    <w:jc w:val="center"/>
                    <w:rPr>
                      <w:rFonts w:hint="default" w:ascii="Times New Roman" w:hAnsi="Times New Roman" w:eastAsia="宋体" w:cs="Times New Roman"/>
                      <w:b/>
                      <w:bCs w:val="0"/>
                      <w:color w:val="auto"/>
                      <w:sz w:val="21"/>
                      <w:szCs w:val="21"/>
                    </w:rPr>
                  </w:pPr>
                </w:p>
              </w:tc>
              <w:tc>
                <w:tcPr>
                  <w:tcW w:w="707"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773A42E7">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处理效率</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21AA6DA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90%</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331D6E3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90%</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7DBC0D3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80%</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14A3237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95%</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77F3EA4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88%</w:t>
                  </w:r>
                </w:p>
              </w:tc>
              <w:tc>
                <w:tcPr>
                  <w:tcW w:w="589"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627F70B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85%</w:t>
                  </w:r>
                </w:p>
              </w:tc>
            </w:tr>
            <w:tr w14:paraId="32C9579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57" w:type="pct"/>
                  <w:vMerge w:val="restart"/>
                  <w:tcBorders>
                    <w:top w:val="single" w:color="auto" w:sz="12" w:space="0"/>
                    <w:left w:val="single" w:color="auto" w:sz="4" w:space="0"/>
                    <w:bottom w:val="single" w:color="auto" w:sz="12" w:space="0"/>
                    <w:right w:val="single" w:color="auto" w:sz="12" w:space="0"/>
                  </w:tcBorders>
                  <w:shd w:val="clear" w:color="auto" w:fill="auto"/>
                  <w:noWrap w:val="0"/>
                  <w:vAlign w:val="center"/>
                </w:tcPr>
                <w:p w14:paraId="47ABE63C">
                  <w:pPr>
                    <w:keepNext w:val="0"/>
                    <w:keepLines w:val="0"/>
                    <w:widowControl/>
                    <w:suppressLineNumbers w:val="0"/>
                    <w:jc w:val="center"/>
                    <w:textAlignment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i w:val="0"/>
                      <w:iCs w:val="0"/>
                      <w:color w:val="auto"/>
                      <w:kern w:val="0"/>
                      <w:sz w:val="21"/>
                      <w:szCs w:val="21"/>
                      <w:u w:val="none"/>
                      <w:lang w:val="en-US" w:eastAsia="zh-CN" w:bidi="ar"/>
                    </w:rPr>
                    <w:t>磁混凝沉淀池</w:t>
                  </w:r>
                </w:p>
              </w:tc>
              <w:tc>
                <w:tcPr>
                  <w:tcW w:w="707"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067BC833">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进水水质</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16F0C54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33.25</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437E14C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20 </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4C09387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36</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12FD0F7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6FEEA05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w:t>
                  </w:r>
                </w:p>
              </w:tc>
              <w:tc>
                <w:tcPr>
                  <w:tcW w:w="589"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6F5CC33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1.4</w:t>
                  </w:r>
                </w:p>
              </w:tc>
            </w:tr>
            <w:tr w14:paraId="35662D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57" w:type="pct"/>
                  <w:vMerge w:val="continue"/>
                  <w:tcBorders>
                    <w:top w:val="single" w:color="auto" w:sz="12" w:space="0"/>
                    <w:left w:val="single" w:color="auto" w:sz="4" w:space="0"/>
                    <w:bottom w:val="single" w:color="auto" w:sz="12" w:space="0"/>
                    <w:right w:val="single" w:color="auto" w:sz="12" w:space="0"/>
                  </w:tcBorders>
                  <w:noWrap w:val="0"/>
                  <w:vAlign w:val="center"/>
                </w:tcPr>
                <w:p w14:paraId="5A9B12F1">
                  <w:pPr>
                    <w:spacing w:line="240" w:lineRule="auto"/>
                    <w:ind w:firstLine="0" w:firstLineChars="0"/>
                    <w:jc w:val="center"/>
                    <w:rPr>
                      <w:rFonts w:hint="default" w:ascii="Times New Roman" w:hAnsi="Times New Roman" w:eastAsia="宋体" w:cs="Times New Roman"/>
                      <w:b/>
                      <w:bCs w:val="0"/>
                      <w:color w:val="auto"/>
                      <w:sz w:val="21"/>
                      <w:szCs w:val="21"/>
                    </w:rPr>
                  </w:pPr>
                </w:p>
              </w:tc>
              <w:tc>
                <w:tcPr>
                  <w:tcW w:w="707"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25D1A219">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处理效率</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1C83883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25%</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530AC6A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50%</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75F7E7B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60%</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4B9D747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0"/>
                      <w:sz w:val="21"/>
                      <w:szCs w:val="21"/>
                      <w:u w:val="none"/>
                      <w:lang w:val="en-US" w:eastAsia="zh-CN" w:bidi="ar"/>
                    </w:rPr>
                    <w:t>/</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5CC5F08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0"/>
                      <w:sz w:val="21"/>
                      <w:szCs w:val="21"/>
                      <w:u w:val="none"/>
                      <w:lang w:val="en-US" w:eastAsia="zh-CN" w:bidi="ar"/>
                    </w:rPr>
                    <w:t>/</w:t>
                  </w:r>
                </w:p>
              </w:tc>
              <w:tc>
                <w:tcPr>
                  <w:tcW w:w="589"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62F3DB9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82%</w:t>
                  </w:r>
                </w:p>
              </w:tc>
            </w:tr>
            <w:tr w14:paraId="6862062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57" w:type="pct"/>
                  <w:vMerge w:val="restart"/>
                  <w:tcBorders>
                    <w:top w:val="single" w:color="auto" w:sz="12" w:space="0"/>
                    <w:left w:val="single" w:color="auto" w:sz="4" w:space="0"/>
                    <w:bottom w:val="single" w:color="auto" w:sz="12" w:space="0"/>
                    <w:right w:val="single" w:color="auto" w:sz="12" w:space="0"/>
                  </w:tcBorders>
                  <w:shd w:val="clear" w:color="auto" w:fill="auto"/>
                  <w:noWrap w:val="0"/>
                  <w:vAlign w:val="center"/>
                </w:tcPr>
                <w:p w14:paraId="1310DD3E">
                  <w:pPr>
                    <w:keepNext w:val="0"/>
                    <w:keepLines w:val="0"/>
                    <w:widowControl/>
                    <w:suppressLineNumbers w:val="0"/>
                    <w:jc w:val="center"/>
                    <w:textAlignment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i w:val="0"/>
                      <w:iCs w:val="0"/>
                      <w:color w:val="auto"/>
                      <w:kern w:val="0"/>
                      <w:sz w:val="21"/>
                      <w:szCs w:val="21"/>
                      <w:u w:val="none"/>
                      <w:lang w:val="en-US" w:eastAsia="zh-CN" w:bidi="ar"/>
                    </w:rPr>
                    <w:t>反硝化深床滤池</w:t>
                  </w:r>
                </w:p>
              </w:tc>
              <w:tc>
                <w:tcPr>
                  <w:tcW w:w="707"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512CCA69">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进水水质</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62CD2AE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25</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146FF5A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40B2EFD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14 </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74E77A9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293D1BF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w:t>
                  </w:r>
                </w:p>
              </w:tc>
              <w:tc>
                <w:tcPr>
                  <w:tcW w:w="589"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62DB93A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0.25 </w:t>
                  </w:r>
                </w:p>
              </w:tc>
            </w:tr>
            <w:tr w14:paraId="4451C09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57" w:type="pct"/>
                  <w:vMerge w:val="continue"/>
                  <w:tcBorders>
                    <w:top w:val="single" w:color="auto" w:sz="12" w:space="0"/>
                    <w:left w:val="single" w:color="auto" w:sz="4" w:space="0"/>
                    <w:bottom w:val="single" w:color="auto" w:sz="12" w:space="0"/>
                    <w:right w:val="single" w:color="auto" w:sz="12" w:space="0"/>
                  </w:tcBorders>
                  <w:shd w:val="clear" w:color="auto" w:fill="auto"/>
                  <w:noWrap w:val="0"/>
                  <w:vAlign w:val="center"/>
                </w:tcPr>
                <w:p w14:paraId="41782367">
                  <w:pPr>
                    <w:jc w:val="center"/>
                    <w:rPr>
                      <w:rFonts w:hint="default" w:ascii="Times New Roman" w:hAnsi="Times New Roman" w:eastAsia="宋体" w:cs="Times New Roman"/>
                      <w:b/>
                      <w:bCs/>
                      <w:i w:val="0"/>
                      <w:iCs w:val="0"/>
                      <w:color w:val="auto"/>
                      <w:sz w:val="21"/>
                      <w:szCs w:val="21"/>
                      <w:u w:val="none"/>
                    </w:rPr>
                  </w:pPr>
                </w:p>
              </w:tc>
              <w:tc>
                <w:tcPr>
                  <w:tcW w:w="707"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27AE1670">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处理效率</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5131A4D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554A080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11A7E0D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31%</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4073BC1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385D27E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c>
                <w:tcPr>
                  <w:tcW w:w="589"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19DB8B1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r>
            <w:tr w14:paraId="0C9E3A0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1465" w:type="pct"/>
                  <w:gridSpan w:val="2"/>
                  <w:tcBorders>
                    <w:top w:val="single" w:color="auto" w:sz="12" w:space="0"/>
                    <w:left w:val="single" w:color="auto" w:sz="4" w:space="0"/>
                    <w:bottom w:val="single" w:color="auto" w:sz="12" w:space="0"/>
                    <w:right w:val="single" w:color="auto" w:sz="12" w:space="0"/>
                  </w:tcBorders>
                  <w:shd w:val="clear" w:color="auto" w:fill="auto"/>
                  <w:noWrap w:val="0"/>
                  <w:vAlign w:val="center"/>
                </w:tcPr>
                <w:p w14:paraId="707C501C">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出厂水质</w:t>
                  </w:r>
                  <w:r>
                    <w:rPr>
                      <w:rFonts w:hint="eastAsia" w:cs="Times New Roman"/>
                      <w:b/>
                      <w:bCs/>
                      <w:i w:val="0"/>
                      <w:iCs w:val="0"/>
                      <w:color w:val="auto"/>
                      <w:kern w:val="0"/>
                      <w:sz w:val="21"/>
                      <w:szCs w:val="21"/>
                      <w:u w:val="none"/>
                      <w:lang w:val="en-US" w:eastAsia="zh-CN" w:bidi="ar"/>
                    </w:rPr>
                    <w:t>（m</w:t>
                  </w:r>
                  <w:r>
                    <w:rPr>
                      <w:rFonts w:hint="default" w:ascii="Times New Roman" w:hAnsi="Times New Roman" w:eastAsia="宋体" w:cs="Times New Roman"/>
                      <w:b/>
                      <w:bCs/>
                      <w:i w:val="0"/>
                      <w:iCs w:val="0"/>
                      <w:color w:val="auto"/>
                      <w:kern w:val="0"/>
                      <w:sz w:val="21"/>
                      <w:szCs w:val="21"/>
                      <w:u w:val="none"/>
                      <w:lang w:val="en-US" w:eastAsia="zh-CN" w:bidi="ar"/>
                    </w:rPr>
                    <w:t>g/L</w:t>
                  </w:r>
                  <w:r>
                    <w:rPr>
                      <w:rFonts w:hint="eastAsia" w:cs="Times New Roman"/>
                      <w:b/>
                      <w:bCs/>
                      <w:i w:val="0"/>
                      <w:iCs w:val="0"/>
                      <w:color w:val="auto"/>
                      <w:kern w:val="0"/>
                      <w:sz w:val="21"/>
                      <w:szCs w:val="21"/>
                      <w:u w:val="none"/>
                      <w:lang w:val="en-US" w:eastAsia="zh-CN" w:bidi="ar"/>
                    </w:rPr>
                    <w:t>）</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108AC29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25</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1CD16B5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330FC6A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24DFDFA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5C7E17B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w:t>
                  </w:r>
                </w:p>
              </w:tc>
              <w:tc>
                <w:tcPr>
                  <w:tcW w:w="589"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15FD794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0.25</w:t>
                  </w:r>
                </w:p>
              </w:tc>
            </w:tr>
            <w:tr w14:paraId="406F27C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1465" w:type="pct"/>
                  <w:gridSpan w:val="2"/>
                  <w:tcBorders>
                    <w:top w:val="single" w:color="auto" w:sz="12" w:space="0"/>
                    <w:left w:val="single" w:color="auto" w:sz="4" w:space="0"/>
                    <w:bottom w:val="single" w:color="auto" w:sz="12" w:space="0"/>
                    <w:right w:val="single" w:color="auto" w:sz="12" w:space="0"/>
                  </w:tcBorders>
                  <w:shd w:val="clear" w:color="auto" w:fill="auto"/>
                  <w:noWrap w:val="0"/>
                  <w:vAlign w:val="center"/>
                </w:tcPr>
                <w:p w14:paraId="455C2764">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污染物总去除率</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2E4BA26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92.9%</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052F8D4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95.0%</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4590A5D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94.4%</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50451E0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95.0%</w:t>
                  </w:r>
                </w:p>
              </w:tc>
              <w:tc>
                <w:tcPr>
                  <w:tcW w:w="588"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638DF43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87.5%</w:t>
                  </w:r>
                </w:p>
              </w:tc>
              <w:tc>
                <w:tcPr>
                  <w:tcW w:w="589" w:type="pct"/>
                  <w:tcBorders>
                    <w:top w:val="single" w:color="auto" w:sz="12" w:space="0"/>
                    <w:left w:val="single" w:color="auto" w:sz="12" w:space="0"/>
                    <w:bottom w:val="single" w:color="auto" w:sz="12" w:space="0"/>
                    <w:right w:val="single" w:color="auto" w:sz="12" w:space="0"/>
                  </w:tcBorders>
                  <w:shd w:val="clear" w:color="auto" w:fill="auto"/>
                  <w:noWrap w:val="0"/>
                  <w:vAlign w:val="center"/>
                </w:tcPr>
                <w:p w14:paraId="22A7C78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97.4%</w:t>
                  </w:r>
                </w:p>
              </w:tc>
            </w:tr>
            <w:tr w14:paraId="27C500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000" w:type="pct"/>
                  <w:gridSpan w:val="8"/>
                  <w:tcBorders>
                    <w:top w:val="single" w:color="auto" w:sz="12" w:space="0"/>
                    <w:left w:val="single" w:color="auto" w:sz="4" w:space="0"/>
                    <w:right w:val="single" w:color="auto" w:sz="12" w:space="0"/>
                  </w:tcBorders>
                  <w:shd w:val="clear" w:color="auto" w:fill="auto"/>
                  <w:noWrap w:val="0"/>
                  <w:vAlign w:val="center"/>
                </w:tcPr>
                <w:p w14:paraId="407F4C49">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注：</w:t>
                  </w:r>
                  <w:r>
                    <w:rPr>
                      <w:rFonts w:hint="default" w:ascii="Times New Roman" w:hAnsi="Times New Roman" w:eastAsia="宋体" w:cs="Times New Roman"/>
                      <w:i w:val="0"/>
                      <w:iCs w:val="0"/>
                      <w:color w:val="auto"/>
                      <w:kern w:val="0"/>
                      <w:sz w:val="21"/>
                      <w:szCs w:val="21"/>
                      <w:u w:val="none"/>
                      <w:lang w:val="en-US" w:eastAsia="zh-CN" w:bidi="ar"/>
                    </w:rPr>
                    <w:t>在正常运行情况下，反硝化深床滤池起到过滤SS的作用，在前端出水总氨、总磷未达到预期处理效果的情况下进行强化处理，保证污水达标排放，反硝化深床滤池总氮去除效率50%~80%，总磷最大去除效率20%~40%。</w:t>
                  </w:r>
                </w:p>
              </w:tc>
            </w:tr>
          </w:tbl>
          <w:p w14:paraId="5EBC873D">
            <w:pPr>
              <w:spacing w:line="360" w:lineRule="auto"/>
              <w:ind w:firstLine="420"/>
              <w:rPr>
                <w:rFonts w:hint="default" w:ascii="Times New Roman" w:hAnsi="Times New Roman" w:eastAsia="宋体" w:cs="Times New Roman"/>
                <w:bCs/>
                <w:color w:val="auto"/>
                <w:sz w:val="24"/>
                <w:highlight w:val="none"/>
                <w:lang w:val="en-US" w:eastAsia="zh-CN"/>
              </w:rPr>
            </w:pPr>
          </w:p>
          <w:p w14:paraId="7B2AE12E">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由上述分析可知，在有效控制污水处理厂进水水质的情况下，进水经预处理、生化处理及深度处理，出水水质可达到《城镇污水处理厂污染物排放标准》（GB18918-2002）及其修改单中一级A标准、《城市污水再生利用工业用水水质》（GB/T19923-2024）、《城市污水再生利用城市杂用水水质》（GB/T18920-2020）。因此，厂区接收的生活污水经本项目污水处理工艺处理后可实现达标排放。</w:t>
            </w:r>
          </w:p>
          <w:p w14:paraId="5E4A72E4">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综上</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本次污水处理厂一期更新改造工程污水处理工艺可行。</w:t>
            </w:r>
          </w:p>
          <w:p w14:paraId="4DE3C664">
            <w:pPr>
              <w:spacing w:line="360" w:lineRule="auto"/>
              <w:ind w:firstLine="420"/>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1.3中水回用可行性分析</w:t>
            </w:r>
          </w:p>
          <w:p w14:paraId="5AF5350D">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本项目污水</w:t>
            </w:r>
            <w:r>
              <w:rPr>
                <w:rFonts w:hint="eastAsia" w:cs="Times New Roman"/>
                <w:bCs/>
                <w:color w:val="auto"/>
                <w:sz w:val="24"/>
                <w:highlight w:val="none"/>
                <w:lang w:val="en-US" w:eastAsia="zh-CN"/>
              </w:rPr>
              <w:t>处理</w:t>
            </w:r>
            <w:r>
              <w:rPr>
                <w:rFonts w:hint="default" w:ascii="Times New Roman" w:hAnsi="Times New Roman" w:eastAsia="宋体" w:cs="Times New Roman"/>
                <w:bCs/>
                <w:color w:val="auto"/>
                <w:sz w:val="24"/>
                <w:highlight w:val="none"/>
                <w:lang w:val="en-US" w:eastAsia="zh-CN"/>
              </w:rPr>
              <w:t>厂处理后的中水全部</w:t>
            </w:r>
            <w:r>
              <w:rPr>
                <w:rFonts w:hint="eastAsia" w:cs="Times New Roman"/>
                <w:bCs/>
                <w:color w:val="auto"/>
                <w:sz w:val="24"/>
                <w:highlight w:val="none"/>
                <w:lang w:val="en-US" w:eastAsia="zh-CN"/>
              </w:rPr>
              <w:t>实现</w:t>
            </w:r>
            <w:r>
              <w:rPr>
                <w:rFonts w:hint="default" w:ascii="Times New Roman" w:hAnsi="Times New Roman" w:eastAsia="宋体" w:cs="Times New Roman"/>
                <w:bCs/>
                <w:color w:val="auto"/>
                <w:sz w:val="24"/>
                <w:highlight w:val="none"/>
                <w:lang w:val="en-US" w:eastAsia="zh-CN"/>
              </w:rPr>
              <w:t>再生利用（即污水回用），根据规划方案，本项目污水处理厂处理后的中水全部实现再生利用（即污水回用）。根据规划方案，一期更新改造后，污水处理厂全厂日处理中水能力为11500t/d，其中8500t/d排入杭锦旗锡尼镇污水处理厂尾水水质净化工程进行深度处理，处理达标后用于周边企业回用及陶赖沟生态补水。其余部分统筹用于园林绿化、鄂尔多斯市新能源产业示范区企业及内蒙古能源发电杭锦发电有限公司工业用水。</w:t>
            </w:r>
          </w:p>
          <w:p w14:paraId="631A1549">
            <w:pPr>
              <w:spacing w:line="360" w:lineRule="auto"/>
              <w:ind w:firstLine="420"/>
              <w:rPr>
                <w:rFonts w:hint="default" w:ascii="Times New Roman" w:hAnsi="Times New Roman" w:eastAsia="宋体" w:cs="Times New Roman"/>
                <w:bCs/>
                <w:color w:val="auto"/>
                <w:sz w:val="24"/>
                <w:highlight w:val="none"/>
                <w:lang w:val="en-US" w:eastAsia="zh-CN"/>
              </w:rPr>
            </w:pPr>
            <w:r>
              <w:rPr>
                <w:rFonts w:hint="eastAsia" w:cs="Times New Roman"/>
                <w:bCs/>
                <w:color w:val="auto"/>
                <w:sz w:val="24"/>
                <w:highlight w:val="none"/>
                <w:lang w:val="en-US" w:eastAsia="zh-CN"/>
              </w:rPr>
              <w:t>鄂尔多斯市同圆水务有限公司</w:t>
            </w:r>
            <w:r>
              <w:rPr>
                <w:rFonts w:hint="default" w:ascii="Times New Roman" w:hAnsi="Times New Roman" w:eastAsia="宋体" w:cs="Times New Roman"/>
                <w:bCs/>
                <w:color w:val="auto"/>
                <w:sz w:val="24"/>
                <w:highlight w:val="none"/>
                <w:lang w:val="en-US" w:eastAsia="zh-CN"/>
              </w:rPr>
              <w:t>于2025年4月30日，与本项目运营单位内蒙古德源水务有限公司签订《中水回用合同》，通过现有中水回用管网，提供给鄂尔多斯新能源产业示范区企业</w:t>
            </w:r>
            <w:r>
              <w:rPr>
                <w:rFonts w:hint="eastAsia" w:cs="Times New Roman"/>
                <w:bCs/>
                <w:color w:val="auto"/>
                <w:sz w:val="24"/>
                <w:highlight w:val="none"/>
                <w:lang w:val="en-US" w:eastAsia="zh-CN"/>
              </w:rPr>
              <w:t>及内蒙古能源发电杭锦发电有限公司</w:t>
            </w:r>
            <w:r>
              <w:rPr>
                <w:rFonts w:hint="default" w:ascii="Times New Roman" w:hAnsi="Times New Roman" w:eastAsia="宋体" w:cs="Times New Roman"/>
                <w:bCs/>
                <w:color w:val="auto"/>
                <w:sz w:val="24"/>
                <w:highlight w:val="none"/>
                <w:lang w:val="en-US" w:eastAsia="zh-CN"/>
              </w:rPr>
              <w:t>工业用水。</w:t>
            </w:r>
          </w:p>
          <w:p w14:paraId="73D79684">
            <w:pPr>
              <w:spacing w:line="360" w:lineRule="auto"/>
              <w:ind w:firstLine="420"/>
              <w:rPr>
                <w:rFonts w:hint="default" w:ascii="Times New Roman" w:hAnsi="Times New Roman" w:eastAsia="宋体" w:cs="Times New Roman"/>
                <w:bCs/>
                <w:color w:val="auto"/>
                <w:sz w:val="24"/>
                <w:highlight w:val="none"/>
                <w:lang w:val="en-US" w:eastAsia="zh-CN"/>
              </w:rPr>
            </w:pPr>
            <w:r>
              <w:rPr>
                <w:rFonts w:hint="eastAsia" w:cs="Times New Roman"/>
                <w:bCs/>
                <w:color w:val="auto"/>
                <w:sz w:val="24"/>
                <w:highlight w:val="none"/>
                <w:lang w:val="en-US" w:eastAsia="zh-CN"/>
              </w:rPr>
              <w:t>2022年9月30日，鄂尔多斯市生态环境局杭锦旗分局以鄂杭环审字</w:t>
            </w:r>
            <w:r>
              <w:rPr>
                <w:rFonts w:hint="eastAsia" w:ascii="宋体" w:hAnsi="宋体" w:eastAsia="宋体" w:cs="宋体"/>
                <w:bCs/>
                <w:color w:val="auto"/>
                <w:sz w:val="24"/>
                <w:highlight w:val="none"/>
                <w:lang w:val="en-US" w:eastAsia="zh-CN"/>
              </w:rPr>
              <w:t>〔2022〕27号</w:t>
            </w:r>
            <w:r>
              <w:rPr>
                <w:rFonts w:hint="eastAsia" w:cs="Times New Roman"/>
                <w:bCs/>
                <w:color w:val="auto"/>
                <w:sz w:val="24"/>
                <w:highlight w:val="none"/>
                <w:lang w:val="en-US" w:eastAsia="zh-CN"/>
              </w:rPr>
              <w:t>对杭锦旗锡尼镇污水处理厂尾水水质净化工程环境影响报告表进行批复。该项目位于鄂尔多斯市杭锦旗锡尼镇污水处理厂上游3.6km处。工程通过对杭锦旗锡尼镇污水处理厂尾水进行深度净化处理后，逐步改善陶赖沟水库水质，最终使其水质达到或优于《地表水环境质量标准》（GB3838-2002）V类标准要求，项目设计处理规模为8500t/d。该工程预计于2025年年底完成验收工作并投入使用。本次改造施工期为1年，预计于2026年9月完成改造工作。届时，杭锦旗锡尼镇污水处理厂尾水水质净化工程已投入使用。</w:t>
            </w:r>
          </w:p>
          <w:p w14:paraId="39B8A6D7">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综上，本项目中水回用</w:t>
            </w:r>
            <w:r>
              <w:rPr>
                <w:rFonts w:hint="eastAsia" w:cs="Times New Roman"/>
                <w:bCs/>
                <w:color w:val="auto"/>
                <w:sz w:val="24"/>
                <w:highlight w:val="none"/>
                <w:lang w:val="en-US" w:eastAsia="zh-CN"/>
              </w:rPr>
              <w:t>具有</w:t>
            </w:r>
            <w:r>
              <w:rPr>
                <w:rFonts w:hint="default" w:ascii="Times New Roman" w:hAnsi="Times New Roman" w:eastAsia="宋体" w:cs="Times New Roman"/>
                <w:bCs/>
                <w:color w:val="auto"/>
                <w:sz w:val="24"/>
                <w:highlight w:val="none"/>
                <w:lang w:val="en-US" w:eastAsia="zh-CN"/>
              </w:rPr>
              <w:t>可行性。</w:t>
            </w:r>
          </w:p>
          <w:p w14:paraId="66C943D8">
            <w:pPr>
              <w:spacing w:line="360" w:lineRule="auto"/>
              <w:ind w:firstLine="420"/>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1.4小结</w:t>
            </w:r>
          </w:p>
          <w:p w14:paraId="707BEF91">
            <w:pPr>
              <w:spacing w:line="360" w:lineRule="auto"/>
              <w:ind w:firstLine="42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本项目污水处理采用改良AAO生物处理+磁絮凝池+深度脱氮+消毒工艺方案，工艺符合《排污许可证申请与核发技术规范水处理（试行）》（HJ 978-2018</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表4污水处理可行技术。本项目出水水质可达到《城镇污水处理厂污染物排放标准》（GB18918-2002）及其修改单中一级A标准、《城市污水再生利用 工业用水水质》（GB/T19923-2024）、《城市污水再生利用 城市杂用水水质》（GB/T18920-2020）。一期更新改造后，污水处理厂全厂日处理中水能力为11500t/d，其中8500t/d排入杭锦旗锡尼镇污水处理厂尾水水质净化工程进行深度处理，处理达标后用于周边企业回用及陶赖沟生态补水。其余部分统筹用于园林绿化、鄂尔多斯市新能源产业示范区企业及内蒙古能源发电杭锦发电有限公司工业用水，</w:t>
            </w:r>
            <w:r>
              <w:rPr>
                <w:rFonts w:hint="eastAsia" w:cs="Times New Roman"/>
                <w:bCs/>
                <w:color w:val="auto"/>
                <w:sz w:val="24"/>
                <w:highlight w:val="none"/>
                <w:lang w:val="en-US" w:eastAsia="zh-CN"/>
              </w:rPr>
              <w:t>不外排</w:t>
            </w:r>
            <w:r>
              <w:rPr>
                <w:rFonts w:hint="default" w:ascii="Times New Roman" w:hAnsi="Times New Roman" w:eastAsia="宋体" w:cs="Times New Roman"/>
                <w:bCs/>
                <w:color w:val="auto"/>
                <w:sz w:val="24"/>
                <w:highlight w:val="none"/>
                <w:lang w:val="en-US" w:eastAsia="zh-CN"/>
              </w:rPr>
              <w:t>。综上，本项目技术可行。</w:t>
            </w:r>
          </w:p>
          <w:p w14:paraId="30AB0E09">
            <w:pPr>
              <w:spacing w:line="360" w:lineRule="auto"/>
              <w:ind w:firstLine="482" w:firstLineChars="200"/>
              <w:jc w:val="left"/>
              <w:rPr>
                <w:rFonts w:hint="default" w:ascii="Times New Roman" w:hAnsi="Times New Roman" w:cs="Times New Roman"/>
                <w:b/>
                <w:bCs/>
                <w:color w:val="auto"/>
                <w:sz w:val="24"/>
              </w:rPr>
            </w:pPr>
            <w:r>
              <w:rPr>
                <w:rFonts w:hint="default" w:ascii="Times New Roman" w:hAnsi="Times New Roman" w:cs="Times New Roman"/>
                <w:b/>
                <w:bCs/>
                <w:color w:val="auto"/>
                <w:sz w:val="24"/>
                <w:lang w:val="en-US" w:eastAsia="zh-CN"/>
              </w:rPr>
              <w:t>1.5</w:t>
            </w:r>
            <w:r>
              <w:rPr>
                <w:rFonts w:hint="default" w:ascii="Times New Roman" w:hAnsi="Times New Roman" w:cs="Times New Roman"/>
                <w:b/>
                <w:bCs/>
                <w:color w:val="auto"/>
                <w:sz w:val="24"/>
              </w:rPr>
              <w:t>监测计划</w:t>
            </w:r>
          </w:p>
          <w:p w14:paraId="398ECA86">
            <w:pPr>
              <w:spacing w:line="360" w:lineRule="auto"/>
              <w:ind w:firstLine="480" w:firstLineChars="200"/>
              <w:jc w:val="left"/>
              <w:rPr>
                <w:rFonts w:hint="default" w:ascii="Times New Roman" w:hAnsi="Times New Roman" w:cs="Times New Roman"/>
                <w:bCs/>
                <w:color w:val="auto"/>
                <w:sz w:val="24"/>
              </w:rPr>
            </w:pPr>
            <w:r>
              <w:rPr>
                <w:rFonts w:hint="default" w:ascii="Times New Roman" w:hAnsi="Times New Roman" w:cs="Times New Roman"/>
                <w:bCs/>
                <w:color w:val="auto"/>
                <w:sz w:val="24"/>
              </w:rPr>
              <w:t>根据《排污单位自行监测技术指南总则》（HJ 819-2017）</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lang w:val="en-US" w:eastAsia="zh-CN"/>
              </w:rPr>
              <w:t>排污单位自行监测技术指南 水处理</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lang w:val="en-US" w:eastAsia="zh-CN"/>
              </w:rPr>
              <w:t>HJ 1083-2020</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rPr>
              <w:t>，本项目</w:t>
            </w:r>
            <w:r>
              <w:rPr>
                <w:rFonts w:hint="default" w:ascii="Times New Roman" w:hAnsi="Times New Roman" w:cs="Times New Roman"/>
                <w:bCs/>
                <w:color w:val="auto"/>
                <w:sz w:val="24"/>
                <w:lang w:val="en-US" w:eastAsia="zh-CN"/>
              </w:rPr>
              <w:t>中水水质</w:t>
            </w:r>
            <w:r>
              <w:rPr>
                <w:rFonts w:hint="default" w:ascii="Times New Roman" w:hAnsi="Times New Roman" w:cs="Times New Roman"/>
                <w:bCs/>
                <w:color w:val="auto"/>
                <w:sz w:val="24"/>
              </w:rPr>
              <w:t>监测</w:t>
            </w:r>
            <w:r>
              <w:rPr>
                <w:rFonts w:hint="default" w:ascii="Times New Roman" w:hAnsi="Times New Roman" w:cs="Times New Roman"/>
                <w:bCs/>
                <w:color w:val="auto"/>
                <w:sz w:val="24"/>
                <w:lang w:val="en-US" w:eastAsia="zh-CN"/>
              </w:rPr>
              <w:t>计划</w:t>
            </w:r>
            <w:r>
              <w:rPr>
                <w:rFonts w:hint="default" w:ascii="Times New Roman" w:hAnsi="Times New Roman" w:cs="Times New Roman"/>
                <w:bCs/>
                <w:color w:val="auto"/>
                <w:sz w:val="24"/>
              </w:rPr>
              <w:t>见表4-</w:t>
            </w:r>
            <w:r>
              <w:rPr>
                <w:rFonts w:hint="default" w:ascii="Times New Roman" w:hAnsi="Times New Roman" w:cs="Times New Roman"/>
                <w:bCs/>
                <w:color w:val="auto"/>
                <w:sz w:val="24"/>
                <w:lang w:val="en-US" w:eastAsia="zh-CN"/>
              </w:rPr>
              <w:t>4</w:t>
            </w:r>
            <w:r>
              <w:rPr>
                <w:rFonts w:hint="default" w:ascii="Times New Roman" w:hAnsi="Times New Roman" w:cs="Times New Roman"/>
                <w:bCs/>
                <w:color w:val="auto"/>
                <w:sz w:val="24"/>
              </w:rPr>
              <w:t>。</w:t>
            </w:r>
          </w:p>
          <w:p w14:paraId="3301FF36">
            <w:pPr>
              <w:adjustRightInd w:val="0"/>
              <w:snapToGrid w:val="0"/>
              <w:spacing w:line="360" w:lineRule="auto"/>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表4-</w:t>
            </w:r>
            <w:r>
              <w:rPr>
                <w:rFonts w:hint="default" w:ascii="Times New Roman" w:hAnsi="Times New Roman" w:cs="Times New Roman"/>
                <w:b/>
                <w:bCs/>
                <w:color w:val="auto"/>
                <w:sz w:val="24"/>
                <w:lang w:val="en-US" w:eastAsia="zh-CN"/>
              </w:rPr>
              <w:t>4废水污染源</w:t>
            </w:r>
            <w:r>
              <w:rPr>
                <w:rFonts w:hint="default" w:ascii="Times New Roman" w:hAnsi="Times New Roman" w:cs="Times New Roman"/>
                <w:b/>
                <w:bCs/>
                <w:color w:val="auto"/>
                <w:sz w:val="24"/>
              </w:rPr>
              <w:t>监测计划一览表</w:t>
            </w:r>
          </w:p>
          <w:tbl>
            <w:tblPr>
              <w:tblStyle w:val="10"/>
              <w:tblW w:w="506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5"/>
              <w:gridCol w:w="2461"/>
              <w:gridCol w:w="1100"/>
              <w:gridCol w:w="900"/>
              <w:gridCol w:w="2874"/>
            </w:tblGrid>
            <w:tr w14:paraId="77B7A6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 w:type="pct"/>
                  <w:noWrap w:val="0"/>
                  <w:vAlign w:val="center"/>
                </w:tcPr>
                <w:p w14:paraId="010825C3">
                  <w:pPr>
                    <w:adjustRightInd w:val="0"/>
                    <w:snapToGrid w:val="0"/>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类别</w:t>
                  </w:r>
                </w:p>
              </w:tc>
              <w:tc>
                <w:tcPr>
                  <w:tcW w:w="1497" w:type="pct"/>
                  <w:noWrap w:val="0"/>
                  <w:vAlign w:val="center"/>
                </w:tcPr>
                <w:p w14:paraId="3218560C">
                  <w:pPr>
                    <w:adjustRightInd w:val="0"/>
                    <w:snapToGrid w:val="0"/>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监测项目</w:t>
                  </w:r>
                </w:p>
              </w:tc>
              <w:tc>
                <w:tcPr>
                  <w:tcW w:w="668" w:type="pct"/>
                  <w:noWrap w:val="0"/>
                  <w:vAlign w:val="center"/>
                </w:tcPr>
                <w:p w14:paraId="685D5BAC">
                  <w:pPr>
                    <w:adjustRightInd w:val="0"/>
                    <w:snapToGrid w:val="0"/>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监测点位置</w:t>
                  </w:r>
                </w:p>
              </w:tc>
              <w:tc>
                <w:tcPr>
                  <w:tcW w:w="547" w:type="pct"/>
                  <w:noWrap w:val="0"/>
                  <w:vAlign w:val="center"/>
                </w:tcPr>
                <w:p w14:paraId="25341E87">
                  <w:pPr>
                    <w:adjustRightInd w:val="0"/>
                    <w:snapToGrid w:val="0"/>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监测频率</w:t>
                  </w:r>
                </w:p>
              </w:tc>
              <w:tc>
                <w:tcPr>
                  <w:tcW w:w="1748" w:type="pct"/>
                  <w:noWrap w:val="0"/>
                  <w:vAlign w:val="center"/>
                </w:tcPr>
                <w:p w14:paraId="65DDA48C">
                  <w:pPr>
                    <w:adjustRightInd w:val="0"/>
                    <w:snapToGrid w:val="0"/>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执行标准</w:t>
                  </w:r>
                </w:p>
              </w:tc>
            </w:tr>
            <w:tr w14:paraId="2E53E5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 w:type="pct"/>
                  <w:vMerge w:val="restart"/>
                  <w:noWrap w:val="0"/>
                  <w:vAlign w:val="center"/>
                </w:tcPr>
                <w:p w14:paraId="0693BED0">
                  <w:pPr>
                    <w:adjustRightInd w:val="0"/>
                    <w:snapToGrid w:val="0"/>
                    <w:jc w:val="center"/>
                    <w:rPr>
                      <w:rFonts w:hint="default" w:ascii="Times New Roman" w:hAnsi="Times New Roman" w:cs="Times New Roman"/>
                      <w:b w:val="0"/>
                      <w:bCs/>
                      <w:color w:val="auto"/>
                      <w:kern w:val="0"/>
                      <w:sz w:val="21"/>
                      <w:szCs w:val="21"/>
                    </w:rPr>
                  </w:pPr>
                  <w:r>
                    <w:rPr>
                      <w:rFonts w:hint="default" w:ascii="Times New Roman" w:hAnsi="Times New Roman" w:cs="Times New Roman"/>
                      <w:b w:val="0"/>
                      <w:bCs/>
                      <w:color w:val="auto"/>
                      <w:kern w:val="0"/>
                      <w:sz w:val="21"/>
                      <w:szCs w:val="21"/>
                      <w:lang w:val="en-US" w:eastAsia="zh-CN"/>
                    </w:rPr>
                    <w:t>废水</w:t>
                  </w:r>
                </w:p>
              </w:tc>
              <w:tc>
                <w:tcPr>
                  <w:tcW w:w="1497" w:type="pct"/>
                  <w:noWrap w:val="0"/>
                  <w:vAlign w:val="center"/>
                </w:tcPr>
                <w:p w14:paraId="6CF6098A">
                  <w:pPr>
                    <w:adjustRightInd w:val="0"/>
                    <w:snapToGrid w:val="0"/>
                    <w:jc w:val="center"/>
                    <w:rPr>
                      <w:rFonts w:hint="default" w:ascii="Times New Roman" w:hAnsi="Times New Roman" w:cs="Times New Roman"/>
                      <w:b w:val="0"/>
                      <w:bCs/>
                      <w:color w:val="auto"/>
                      <w:kern w:val="0"/>
                      <w:sz w:val="21"/>
                      <w:szCs w:val="21"/>
                    </w:rPr>
                  </w:pPr>
                  <w:r>
                    <w:rPr>
                      <w:rFonts w:hint="default" w:ascii="Times New Roman" w:hAnsi="Times New Roman" w:cs="Times New Roman"/>
                      <w:b w:val="0"/>
                      <w:bCs/>
                      <w:color w:val="auto"/>
                      <w:kern w:val="0"/>
                      <w:sz w:val="21"/>
                      <w:szCs w:val="21"/>
                      <w:lang w:val="en-US" w:eastAsia="zh-CN"/>
                    </w:rPr>
                    <w:t>流量、化学需氧量、氨氮</w:t>
                  </w:r>
                </w:p>
              </w:tc>
              <w:tc>
                <w:tcPr>
                  <w:tcW w:w="668" w:type="pct"/>
                  <w:vMerge w:val="restart"/>
                  <w:noWrap w:val="0"/>
                  <w:vAlign w:val="center"/>
                </w:tcPr>
                <w:p w14:paraId="3D5C636B">
                  <w:pPr>
                    <w:adjustRightInd w:val="0"/>
                    <w:snapToGrid w:val="0"/>
                    <w:jc w:val="center"/>
                    <w:rPr>
                      <w:rFonts w:hint="default" w:ascii="Times New Roman" w:hAnsi="Times New Roman" w:eastAsia="宋体" w:cs="Times New Roman"/>
                      <w:b w:val="0"/>
                      <w:bCs/>
                      <w:color w:val="auto"/>
                      <w:kern w:val="0"/>
                      <w:sz w:val="21"/>
                      <w:szCs w:val="21"/>
                      <w:lang w:val="en-US" w:eastAsia="zh-CN"/>
                    </w:rPr>
                  </w:pPr>
                  <w:r>
                    <w:rPr>
                      <w:rFonts w:hint="default" w:ascii="Times New Roman" w:hAnsi="Times New Roman" w:cs="Times New Roman"/>
                      <w:b w:val="0"/>
                      <w:bCs/>
                      <w:color w:val="auto"/>
                      <w:kern w:val="0"/>
                      <w:sz w:val="21"/>
                      <w:szCs w:val="21"/>
                      <w:lang w:val="en-US" w:eastAsia="zh-CN"/>
                    </w:rPr>
                    <w:t>进水总管</w:t>
                  </w:r>
                </w:p>
              </w:tc>
              <w:tc>
                <w:tcPr>
                  <w:tcW w:w="547" w:type="pct"/>
                  <w:noWrap w:val="0"/>
                  <w:vAlign w:val="center"/>
                </w:tcPr>
                <w:p w14:paraId="28559EC6">
                  <w:pPr>
                    <w:adjustRightInd w:val="0"/>
                    <w:snapToGrid w:val="0"/>
                    <w:jc w:val="center"/>
                    <w:rPr>
                      <w:rFonts w:hint="default" w:ascii="Times New Roman" w:hAnsi="Times New Roman" w:cs="Times New Roman"/>
                      <w:b w:val="0"/>
                      <w:bCs/>
                      <w:color w:val="auto"/>
                      <w:kern w:val="0"/>
                      <w:sz w:val="21"/>
                      <w:szCs w:val="21"/>
                    </w:rPr>
                  </w:pPr>
                  <w:r>
                    <w:rPr>
                      <w:rFonts w:hint="default" w:ascii="Times New Roman" w:hAnsi="Times New Roman" w:cs="Times New Roman"/>
                      <w:b w:val="0"/>
                      <w:bCs/>
                      <w:color w:val="auto"/>
                      <w:kern w:val="0"/>
                      <w:sz w:val="21"/>
                      <w:szCs w:val="21"/>
                      <w:lang w:val="en-US" w:eastAsia="zh-CN"/>
                    </w:rPr>
                    <w:t>自动检测</w:t>
                  </w:r>
                </w:p>
              </w:tc>
              <w:tc>
                <w:tcPr>
                  <w:tcW w:w="1748" w:type="pct"/>
                  <w:vMerge w:val="restart"/>
                  <w:noWrap w:val="0"/>
                  <w:vAlign w:val="center"/>
                </w:tcPr>
                <w:p w14:paraId="7249D031">
                  <w:pPr>
                    <w:adjustRightInd w:val="0"/>
                    <w:snapToGrid w:val="0"/>
                    <w:jc w:val="center"/>
                    <w:rPr>
                      <w:rFonts w:hint="default" w:ascii="Times New Roman" w:hAnsi="Times New Roman" w:eastAsia="宋体" w:cs="Times New Roman"/>
                      <w:b w:val="0"/>
                      <w:bCs/>
                      <w:color w:val="auto"/>
                      <w:kern w:val="0"/>
                      <w:sz w:val="21"/>
                      <w:szCs w:val="21"/>
                      <w:lang w:val="en-US" w:eastAsia="zh-CN"/>
                    </w:rPr>
                  </w:pPr>
                  <w:r>
                    <w:rPr>
                      <w:rFonts w:hint="default" w:ascii="Times New Roman" w:hAnsi="Times New Roman" w:cs="Times New Roman"/>
                      <w:b w:val="0"/>
                      <w:bCs/>
                      <w:color w:val="auto"/>
                      <w:kern w:val="0"/>
                      <w:sz w:val="21"/>
                      <w:szCs w:val="21"/>
                      <w:lang w:val="en-US" w:eastAsia="zh-CN"/>
                    </w:rPr>
                    <w:t>设计进水水质要求</w:t>
                  </w:r>
                </w:p>
              </w:tc>
            </w:tr>
            <w:tr w14:paraId="75D52A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 w:type="pct"/>
                  <w:vMerge w:val="continue"/>
                  <w:noWrap w:val="0"/>
                  <w:vAlign w:val="center"/>
                </w:tcPr>
                <w:p w14:paraId="50E4982D">
                  <w:pPr>
                    <w:adjustRightInd w:val="0"/>
                    <w:snapToGrid w:val="0"/>
                    <w:jc w:val="center"/>
                    <w:rPr>
                      <w:rFonts w:hint="default" w:ascii="Times New Roman" w:hAnsi="Times New Roman" w:cs="Times New Roman"/>
                      <w:b w:val="0"/>
                      <w:bCs/>
                      <w:color w:val="auto"/>
                      <w:kern w:val="0"/>
                      <w:sz w:val="21"/>
                      <w:szCs w:val="21"/>
                    </w:rPr>
                  </w:pPr>
                </w:p>
              </w:tc>
              <w:tc>
                <w:tcPr>
                  <w:tcW w:w="1497" w:type="pct"/>
                  <w:noWrap w:val="0"/>
                  <w:vAlign w:val="center"/>
                </w:tcPr>
                <w:p w14:paraId="2FA1D0DE">
                  <w:pPr>
                    <w:adjustRightInd w:val="0"/>
                    <w:snapToGrid w:val="0"/>
                    <w:jc w:val="center"/>
                    <w:rPr>
                      <w:rFonts w:hint="default" w:ascii="Times New Roman" w:hAnsi="Times New Roman" w:cs="Times New Roman"/>
                      <w:b w:val="0"/>
                      <w:bCs/>
                      <w:color w:val="auto"/>
                      <w:kern w:val="0"/>
                      <w:sz w:val="21"/>
                      <w:szCs w:val="21"/>
                    </w:rPr>
                  </w:pPr>
                  <w:r>
                    <w:rPr>
                      <w:rFonts w:hint="default" w:ascii="Times New Roman" w:hAnsi="Times New Roman" w:cs="Times New Roman"/>
                      <w:b w:val="0"/>
                      <w:bCs/>
                      <w:color w:val="auto"/>
                      <w:kern w:val="0"/>
                      <w:sz w:val="21"/>
                      <w:szCs w:val="21"/>
                      <w:lang w:val="en-US" w:eastAsia="zh-CN"/>
                    </w:rPr>
                    <w:t>总磷、总氮</w:t>
                  </w:r>
                </w:p>
              </w:tc>
              <w:tc>
                <w:tcPr>
                  <w:tcW w:w="668" w:type="pct"/>
                  <w:vMerge w:val="continue"/>
                  <w:noWrap w:val="0"/>
                  <w:vAlign w:val="center"/>
                </w:tcPr>
                <w:p w14:paraId="65310DB6">
                  <w:pPr>
                    <w:adjustRightInd w:val="0"/>
                    <w:snapToGrid w:val="0"/>
                    <w:jc w:val="center"/>
                    <w:rPr>
                      <w:rFonts w:hint="default" w:ascii="Times New Roman" w:hAnsi="Times New Roman" w:cs="Times New Roman"/>
                      <w:b w:val="0"/>
                      <w:bCs/>
                      <w:color w:val="auto"/>
                      <w:kern w:val="0"/>
                      <w:sz w:val="21"/>
                      <w:szCs w:val="21"/>
                    </w:rPr>
                  </w:pPr>
                </w:p>
              </w:tc>
              <w:tc>
                <w:tcPr>
                  <w:tcW w:w="547" w:type="pct"/>
                  <w:noWrap w:val="0"/>
                  <w:vAlign w:val="center"/>
                </w:tcPr>
                <w:p w14:paraId="20130A87">
                  <w:pPr>
                    <w:adjustRightInd w:val="0"/>
                    <w:snapToGrid w:val="0"/>
                    <w:jc w:val="center"/>
                    <w:rPr>
                      <w:rFonts w:hint="default" w:ascii="Times New Roman" w:hAnsi="Times New Roman" w:eastAsia="宋体" w:cs="Times New Roman"/>
                      <w:b w:val="0"/>
                      <w:bCs/>
                      <w:color w:val="auto"/>
                      <w:kern w:val="0"/>
                      <w:sz w:val="21"/>
                      <w:szCs w:val="21"/>
                      <w:lang w:val="en-US" w:eastAsia="zh-CN"/>
                    </w:rPr>
                  </w:pPr>
                  <w:r>
                    <w:rPr>
                      <w:rFonts w:hint="default" w:ascii="Times New Roman" w:hAnsi="Times New Roman" w:cs="Times New Roman"/>
                      <w:b w:val="0"/>
                      <w:bCs/>
                      <w:color w:val="auto"/>
                      <w:kern w:val="0"/>
                      <w:sz w:val="21"/>
                      <w:szCs w:val="21"/>
                      <w:lang w:val="en-US" w:eastAsia="zh-CN"/>
                    </w:rPr>
                    <w:t>日</w:t>
                  </w:r>
                </w:p>
              </w:tc>
              <w:tc>
                <w:tcPr>
                  <w:tcW w:w="1748" w:type="pct"/>
                  <w:vMerge w:val="continue"/>
                  <w:noWrap w:val="0"/>
                  <w:vAlign w:val="center"/>
                </w:tcPr>
                <w:p w14:paraId="0AEE9DA7">
                  <w:pPr>
                    <w:adjustRightInd w:val="0"/>
                    <w:snapToGrid w:val="0"/>
                    <w:jc w:val="center"/>
                    <w:rPr>
                      <w:rFonts w:hint="default" w:ascii="Times New Roman" w:hAnsi="Times New Roman" w:cs="Times New Roman"/>
                      <w:b w:val="0"/>
                      <w:bCs/>
                      <w:color w:val="auto"/>
                      <w:kern w:val="0"/>
                      <w:sz w:val="21"/>
                      <w:szCs w:val="21"/>
                    </w:rPr>
                  </w:pPr>
                </w:p>
              </w:tc>
            </w:tr>
            <w:tr w14:paraId="5676C1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 w:type="pct"/>
                  <w:vMerge w:val="continue"/>
                  <w:noWrap w:val="0"/>
                  <w:vAlign w:val="center"/>
                </w:tcPr>
                <w:p w14:paraId="6EDD6B30">
                  <w:pPr>
                    <w:adjustRightInd w:val="0"/>
                    <w:snapToGrid w:val="0"/>
                    <w:jc w:val="center"/>
                    <w:rPr>
                      <w:rFonts w:hint="default" w:ascii="Times New Roman" w:hAnsi="Times New Roman" w:cs="Times New Roman"/>
                      <w:b w:val="0"/>
                      <w:bCs/>
                      <w:color w:val="auto"/>
                      <w:kern w:val="0"/>
                      <w:sz w:val="21"/>
                      <w:szCs w:val="21"/>
                    </w:rPr>
                  </w:pPr>
                </w:p>
              </w:tc>
              <w:tc>
                <w:tcPr>
                  <w:tcW w:w="1497" w:type="pct"/>
                  <w:noWrap w:val="0"/>
                  <w:vAlign w:val="center"/>
                </w:tcPr>
                <w:p w14:paraId="4100E00F">
                  <w:pPr>
                    <w:adjustRightInd w:val="0"/>
                    <w:snapToGrid w:val="0"/>
                    <w:jc w:val="center"/>
                    <w:rPr>
                      <w:rFonts w:hint="default" w:ascii="Times New Roman" w:hAnsi="Times New Roman" w:cs="Times New Roman"/>
                      <w:b w:val="0"/>
                      <w:bCs/>
                      <w:color w:val="auto"/>
                      <w:kern w:val="0"/>
                      <w:sz w:val="21"/>
                      <w:szCs w:val="21"/>
                    </w:rPr>
                  </w:pPr>
                  <w:r>
                    <w:rPr>
                      <w:rFonts w:hint="default" w:ascii="Times New Roman" w:hAnsi="Times New Roman" w:cs="Times New Roman"/>
                      <w:b w:val="0"/>
                      <w:bCs/>
                      <w:color w:val="auto"/>
                      <w:kern w:val="0"/>
                      <w:sz w:val="21"/>
                      <w:szCs w:val="21"/>
                      <w:lang w:val="en-US" w:eastAsia="zh-CN"/>
                    </w:rPr>
                    <w:t>流量、pH值、水温、化学需氧量、氨氮、总磷、总氮</w:t>
                  </w:r>
                </w:p>
              </w:tc>
              <w:tc>
                <w:tcPr>
                  <w:tcW w:w="668" w:type="pct"/>
                  <w:vMerge w:val="restart"/>
                  <w:noWrap w:val="0"/>
                  <w:vAlign w:val="center"/>
                </w:tcPr>
                <w:p w14:paraId="3828887C">
                  <w:pPr>
                    <w:adjustRightInd w:val="0"/>
                    <w:snapToGrid w:val="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污水</w:t>
                  </w:r>
                  <w:r>
                    <w:rPr>
                      <w:rFonts w:hint="default" w:ascii="Times New Roman" w:hAnsi="Times New Roman" w:cs="Times New Roman"/>
                      <w:bCs/>
                      <w:color w:val="auto"/>
                      <w:kern w:val="0"/>
                      <w:sz w:val="21"/>
                      <w:szCs w:val="21"/>
                      <w:lang w:val="en-US" w:eastAsia="zh-CN"/>
                    </w:rPr>
                    <w:t>厂废水总排放</w:t>
                  </w:r>
                  <w:r>
                    <w:rPr>
                      <w:rFonts w:hint="default" w:ascii="Times New Roman" w:hAnsi="Times New Roman" w:cs="Times New Roman"/>
                      <w:bCs/>
                      <w:color w:val="auto"/>
                      <w:kern w:val="0"/>
                      <w:sz w:val="21"/>
                      <w:szCs w:val="21"/>
                    </w:rPr>
                    <w:t>口</w:t>
                  </w:r>
                </w:p>
              </w:tc>
              <w:tc>
                <w:tcPr>
                  <w:tcW w:w="547" w:type="pct"/>
                  <w:noWrap w:val="0"/>
                  <w:vAlign w:val="center"/>
                </w:tcPr>
                <w:p w14:paraId="660EE363">
                  <w:pPr>
                    <w:adjustRightInd w:val="0"/>
                    <w:snapToGrid w:val="0"/>
                    <w:jc w:val="center"/>
                    <w:rPr>
                      <w:rFonts w:hint="default" w:ascii="Times New Roman" w:hAnsi="Times New Roman" w:eastAsia="宋体" w:cs="Times New Roman"/>
                      <w:b w:val="0"/>
                      <w:bCs/>
                      <w:color w:val="auto"/>
                      <w:kern w:val="0"/>
                      <w:sz w:val="21"/>
                      <w:szCs w:val="21"/>
                      <w:lang w:val="en-US" w:eastAsia="zh-CN"/>
                    </w:rPr>
                  </w:pPr>
                  <w:r>
                    <w:rPr>
                      <w:rFonts w:hint="default" w:ascii="Times New Roman" w:hAnsi="Times New Roman" w:cs="Times New Roman"/>
                      <w:b w:val="0"/>
                      <w:bCs/>
                      <w:color w:val="auto"/>
                      <w:kern w:val="0"/>
                      <w:sz w:val="21"/>
                      <w:szCs w:val="21"/>
                      <w:lang w:val="en-US" w:eastAsia="zh-CN"/>
                    </w:rPr>
                    <w:t>自动检测</w:t>
                  </w:r>
                </w:p>
              </w:tc>
              <w:tc>
                <w:tcPr>
                  <w:tcW w:w="1748" w:type="pct"/>
                  <w:vMerge w:val="restart"/>
                  <w:noWrap w:val="0"/>
                  <w:vAlign w:val="center"/>
                </w:tcPr>
                <w:p w14:paraId="3689B68B">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b w:val="0"/>
                      <w:bCs/>
                      <w:color w:val="auto"/>
                      <w:kern w:val="0"/>
                      <w:sz w:val="21"/>
                      <w:szCs w:val="21"/>
                    </w:rPr>
                    <w:t>《城镇污水处理厂污染物排放标准》（GB18918-2002）及其修改单</w:t>
                  </w:r>
                  <w:r>
                    <w:rPr>
                      <w:rFonts w:hint="default" w:ascii="Times New Roman" w:hAnsi="Times New Roman" w:cs="Times New Roman"/>
                      <w:b w:val="0"/>
                      <w:bCs/>
                      <w:color w:val="auto"/>
                      <w:kern w:val="0"/>
                      <w:sz w:val="21"/>
                      <w:szCs w:val="21"/>
                      <w:lang w:val="en-US" w:eastAsia="zh-CN"/>
                    </w:rPr>
                    <w:t>中</w:t>
                  </w:r>
                  <w:r>
                    <w:rPr>
                      <w:rFonts w:hint="default" w:ascii="Times New Roman" w:hAnsi="Times New Roman" w:cs="Times New Roman"/>
                      <w:b w:val="0"/>
                      <w:bCs/>
                      <w:color w:val="auto"/>
                      <w:kern w:val="0"/>
                      <w:sz w:val="21"/>
                      <w:szCs w:val="21"/>
                    </w:rPr>
                    <w:t>一级A标准</w:t>
                  </w:r>
                </w:p>
              </w:tc>
            </w:tr>
            <w:tr w14:paraId="3B86E3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 w:type="pct"/>
                  <w:vMerge w:val="continue"/>
                  <w:noWrap w:val="0"/>
                  <w:vAlign w:val="center"/>
                </w:tcPr>
                <w:p w14:paraId="51513BE8">
                  <w:pPr>
                    <w:adjustRightInd w:val="0"/>
                    <w:snapToGrid w:val="0"/>
                    <w:jc w:val="center"/>
                    <w:rPr>
                      <w:rFonts w:hint="default" w:ascii="Times New Roman" w:hAnsi="Times New Roman" w:eastAsia="宋体" w:cs="Times New Roman"/>
                      <w:bCs/>
                      <w:color w:val="auto"/>
                      <w:kern w:val="0"/>
                      <w:sz w:val="21"/>
                      <w:szCs w:val="21"/>
                      <w:lang w:eastAsia="zh-CN"/>
                    </w:rPr>
                  </w:pPr>
                </w:p>
              </w:tc>
              <w:tc>
                <w:tcPr>
                  <w:tcW w:w="1497" w:type="pct"/>
                  <w:noWrap w:val="0"/>
                  <w:vAlign w:val="center"/>
                </w:tcPr>
                <w:p w14:paraId="54286801">
                  <w:pPr>
                    <w:adjustRightInd w:val="0"/>
                    <w:snapToGrid w:val="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lang w:val="en-US" w:eastAsia="zh-CN"/>
                    </w:rPr>
                    <w:t>悬浮物、色度、五日生化需氧量、动植物油、石油类、阴离子表面活性剂、粪大肠菌群数</w:t>
                  </w:r>
                </w:p>
              </w:tc>
              <w:tc>
                <w:tcPr>
                  <w:tcW w:w="668" w:type="pct"/>
                  <w:vMerge w:val="continue"/>
                  <w:noWrap w:val="0"/>
                  <w:vAlign w:val="center"/>
                </w:tcPr>
                <w:p w14:paraId="18A51E58">
                  <w:pPr>
                    <w:adjustRightInd w:val="0"/>
                    <w:snapToGrid w:val="0"/>
                    <w:jc w:val="center"/>
                    <w:rPr>
                      <w:rFonts w:hint="default" w:ascii="Times New Roman" w:hAnsi="Times New Roman" w:cs="Times New Roman"/>
                      <w:bCs/>
                      <w:color w:val="auto"/>
                      <w:kern w:val="0"/>
                      <w:sz w:val="21"/>
                      <w:szCs w:val="21"/>
                    </w:rPr>
                  </w:pPr>
                </w:p>
              </w:tc>
              <w:tc>
                <w:tcPr>
                  <w:tcW w:w="547" w:type="pct"/>
                  <w:noWrap w:val="0"/>
                  <w:vAlign w:val="center"/>
                </w:tcPr>
                <w:p w14:paraId="7183CA66">
                  <w:pPr>
                    <w:adjustRightInd w:val="0"/>
                    <w:snapToGrid w:val="0"/>
                    <w:jc w:val="center"/>
                    <w:rPr>
                      <w:rFonts w:hint="default" w:ascii="Times New Roman" w:hAnsi="Times New Roman" w:cs="Times New Roman"/>
                      <w:bCs/>
                      <w:color w:val="auto"/>
                      <w:kern w:val="0"/>
                      <w:sz w:val="21"/>
                      <w:szCs w:val="21"/>
                    </w:rPr>
                  </w:pPr>
                  <w:r>
                    <w:rPr>
                      <w:rFonts w:hint="default" w:ascii="Times New Roman" w:hAnsi="Times New Roman" w:cs="Times New Roman"/>
                      <w:bCs/>
                      <w:color w:val="auto"/>
                      <w:kern w:val="0"/>
                      <w:sz w:val="21"/>
                      <w:szCs w:val="21"/>
                    </w:rPr>
                    <w:t>1次/季度</w:t>
                  </w:r>
                </w:p>
              </w:tc>
              <w:tc>
                <w:tcPr>
                  <w:tcW w:w="1748" w:type="pct"/>
                  <w:vMerge w:val="continue"/>
                  <w:noWrap w:val="0"/>
                  <w:vAlign w:val="center"/>
                </w:tcPr>
                <w:p w14:paraId="1B5A1F49">
                  <w:pPr>
                    <w:adjustRightInd w:val="0"/>
                    <w:snapToGrid w:val="0"/>
                    <w:jc w:val="center"/>
                    <w:rPr>
                      <w:rFonts w:hint="default" w:ascii="Times New Roman" w:hAnsi="Times New Roman" w:cs="Times New Roman"/>
                      <w:bCs/>
                      <w:color w:val="auto"/>
                      <w:kern w:val="0"/>
                      <w:sz w:val="21"/>
                      <w:szCs w:val="21"/>
                    </w:rPr>
                  </w:pPr>
                </w:p>
              </w:tc>
            </w:tr>
            <w:tr w14:paraId="3ED7EB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 w:type="pct"/>
                  <w:vMerge w:val="continue"/>
                  <w:noWrap w:val="0"/>
                  <w:vAlign w:val="center"/>
                </w:tcPr>
                <w:p w14:paraId="0D93F807">
                  <w:pPr>
                    <w:adjustRightInd w:val="0"/>
                    <w:snapToGrid w:val="0"/>
                    <w:jc w:val="center"/>
                    <w:rPr>
                      <w:rFonts w:hint="default" w:ascii="Times New Roman" w:hAnsi="Times New Roman" w:eastAsia="宋体" w:cs="Times New Roman"/>
                      <w:bCs/>
                      <w:color w:val="auto"/>
                      <w:kern w:val="0"/>
                      <w:sz w:val="21"/>
                      <w:szCs w:val="21"/>
                      <w:lang w:eastAsia="zh-CN"/>
                    </w:rPr>
                  </w:pPr>
                </w:p>
              </w:tc>
              <w:tc>
                <w:tcPr>
                  <w:tcW w:w="1497" w:type="pct"/>
                  <w:noWrap w:val="0"/>
                  <w:vAlign w:val="center"/>
                </w:tcPr>
                <w:p w14:paraId="0340E923">
                  <w:pPr>
                    <w:adjustRightInd w:val="0"/>
                    <w:snapToGrid w:val="0"/>
                    <w:jc w:val="center"/>
                    <w:rPr>
                      <w:rFonts w:hint="default" w:ascii="Times New Roman" w:hAnsi="Times New Roman" w:cs="Times New Roman"/>
                      <w:bCs/>
                      <w:color w:val="auto"/>
                      <w:kern w:val="0"/>
                      <w:sz w:val="21"/>
                      <w:szCs w:val="21"/>
                      <w:lang w:val="en-US" w:eastAsia="zh-CN"/>
                    </w:rPr>
                  </w:pPr>
                  <w:r>
                    <w:rPr>
                      <w:rFonts w:hint="default" w:ascii="Times New Roman" w:hAnsi="Times New Roman" w:cs="Times New Roman"/>
                      <w:bCs/>
                      <w:color w:val="auto"/>
                      <w:kern w:val="0"/>
                      <w:sz w:val="21"/>
                      <w:szCs w:val="21"/>
                      <w:lang w:val="en-US" w:eastAsia="zh-CN"/>
                    </w:rPr>
                    <w:t>总镉、总铬、总汞、总铅、总砷、六价铬、烷基汞</w:t>
                  </w:r>
                </w:p>
              </w:tc>
              <w:tc>
                <w:tcPr>
                  <w:tcW w:w="668" w:type="pct"/>
                  <w:vMerge w:val="continue"/>
                  <w:noWrap w:val="0"/>
                  <w:vAlign w:val="center"/>
                </w:tcPr>
                <w:p w14:paraId="6F981FDE">
                  <w:pPr>
                    <w:adjustRightInd w:val="0"/>
                    <w:snapToGrid w:val="0"/>
                    <w:jc w:val="center"/>
                    <w:rPr>
                      <w:rFonts w:hint="default" w:ascii="Times New Roman" w:hAnsi="Times New Roman" w:cs="Times New Roman"/>
                      <w:bCs/>
                      <w:color w:val="auto"/>
                      <w:kern w:val="0"/>
                      <w:sz w:val="21"/>
                      <w:szCs w:val="21"/>
                    </w:rPr>
                  </w:pPr>
                </w:p>
              </w:tc>
              <w:tc>
                <w:tcPr>
                  <w:tcW w:w="547" w:type="pct"/>
                  <w:noWrap w:val="0"/>
                  <w:vAlign w:val="center"/>
                </w:tcPr>
                <w:p w14:paraId="4AD6C866">
                  <w:pPr>
                    <w:adjustRightInd w:val="0"/>
                    <w:snapToGrid w:val="0"/>
                    <w:jc w:val="center"/>
                    <w:rPr>
                      <w:rFonts w:hint="default" w:ascii="Times New Roman" w:hAnsi="Times New Roman" w:eastAsia="宋体" w:cs="Times New Roman"/>
                      <w:bCs/>
                      <w:color w:val="auto"/>
                      <w:kern w:val="0"/>
                      <w:sz w:val="21"/>
                      <w:szCs w:val="21"/>
                      <w:lang w:val="en-US" w:eastAsia="zh-CN"/>
                    </w:rPr>
                  </w:pPr>
                  <w:r>
                    <w:rPr>
                      <w:rFonts w:hint="default" w:ascii="Times New Roman" w:hAnsi="Times New Roman" w:cs="Times New Roman"/>
                      <w:bCs/>
                      <w:color w:val="auto"/>
                      <w:kern w:val="0"/>
                      <w:sz w:val="21"/>
                      <w:szCs w:val="21"/>
                    </w:rPr>
                    <w:t>1次/</w:t>
                  </w:r>
                  <w:r>
                    <w:rPr>
                      <w:rFonts w:hint="default" w:ascii="Times New Roman" w:hAnsi="Times New Roman" w:cs="Times New Roman"/>
                      <w:bCs/>
                      <w:color w:val="auto"/>
                      <w:kern w:val="0"/>
                      <w:sz w:val="21"/>
                      <w:szCs w:val="21"/>
                      <w:lang w:val="en-US" w:eastAsia="zh-CN"/>
                    </w:rPr>
                    <w:t>半年</w:t>
                  </w:r>
                </w:p>
              </w:tc>
              <w:tc>
                <w:tcPr>
                  <w:tcW w:w="1748" w:type="pct"/>
                  <w:vMerge w:val="continue"/>
                  <w:noWrap w:val="0"/>
                  <w:vAlign w:val="center"/>
                </w:tcPr>
                <w:p w14:paraId="05EFBE24">
                  <w:pPr>
                    <w:adjustRightInd w:val="0"/>
                    <w:snapToGrid w:val="0"/>
                    <w:jc w:val="center"/>
                    <w:rPr>
                      <w:rFonts w:hint="default" w:ascii="Times New Roman" w:hAnsi="Times New Roman" w:cs="Times New Roman"/>
                      <w:bCs/>
                      <w:color w:val="auto"/>
                      <w:kern w:val="0"/>
                      <w:sz w:val="21"/>
                      <w:szCs w:val="21"/>
                    </w:rPr>
                  </w:pPr>
                </w:p>
              </w:tc>
            </w:tr>
          </w:tbl>
          <w:p w14:paraId="06FDCED7">
            <w:pPr>
              <w:spacing w:line="360" w:lineRule="auto"/>
              <w:ind w:firstLine="482" w:firstLineChars="200"/>
              <w:jc w:val="lef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2</w:t>
            </w:r>
            <w:r>
              <w:rPr>
                <w:rFonts w:hint="default" w:ascii="Times New Roman" w:hAnsi="Times New Roman" w:eastAsia="宋体" w:cs="Times New Roman"/>
                <w:b/>
                <w:bCs/>
                <w:color w:val="auto"/>
                <w:sz w:val="24"/>
                <w:highlight w:val="none"/>
              </w:rPr>
              <w:t>.废气</w:t>
            </w:r>
          </w:p>
          <w:p w14:paraId="7CB2F6C2">
            <w:pPr>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2</w:t>
            </w:r>
            <w:r>
              <w:rPr>
                <w:rFonts w:hint="default" w:ascii="Times New Roman" w:hAnsi="Times New Roman" w:eastAsia="宋体" w:cs="Times New Roman"/>
                <w:b/>
                <w:bCs/>
                <w:color w:val="auto"/>
                <w:sz w:val="24"/>
                <w:highlight w:val="none"/>
              </w:rPr>
              <w:t>.1废气污染源源强分析</w:t>
            </w:r>
          </w:p>
          <w:p w14:paraId="1D4891F2">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污水处理厂废气主要为恶臭气体。本工程中产生臭气的主要地方是预处理区和污泥处理区，包括格栅间、生化池和脱水间，为重点除臭区域。臭气的主要成分为氨气（N</w:t>
            </w:r>
            <w:r>
              <w:rPr>
                <w:rFonts w:hint="default" w:ascii="Times New Roman" w:hAnsi="Times New Roman" w:eastAsia="宋体" w:cs="Times New Roman"/>
                <w:bCs/>
                <w:color w:val="auto"/>
                <w:sz w:val="24"/>
                <w:highlight w:val="none"/>
                <w:vertAlign w:val="baseline"/>
                <w:lang w:val="en-US" w:eastAsia="zh-CN"/>
              </w:rPr>
              <w:t>H</w:t>
            </w:r>
            <w:r>
              <w:rPr>
                <w:rFonts w:hint="default" w:ascii="Times New Roman" w:hAnsi="Times New Roman" w:eastAsia="宋体" w:cs="Times New Roman"/>
                <w:bCs/>
                <w:color w:val="auto"/>
                <w:sz w:val="24"/>
                <w:highlight w:val="none"/>
                <w:vertAlign w:val="subscript"/>
                <w:lang w:val="en-US" w:eastAsia="zh-CN"/>
              </w:rPr>
              <w:t>3</w:t>
            </w:r>
            <w:r>
              <w:rPr>
                <w:rFonts w:hint="default" w:ascii="Times New Roman" w:hAnsi="Times New Roman" w:eastAsia="宋体" w:cs="Times New Roman"/>
                <w:bCs/>
                <w:color w:val="auto"/>
                <w:sz w:val="24"/>
                <w:highlight w:val="none"/>
                <w:lang w:val="en-US" w:eastAsia="zh-CN"/>
              </w:rPr>
              <w:t>）、硫化氢（</w:t>
            </w:r>
            <w:r>
              <w:rPr>
                <w:rFonts w:hint="default" w:ascii="Times New Roman" w:hAnsi="Times New Roman" w:eastAsia="宋体" w:cs="Times New Roman"/>
                <w:bCs/>
                <w:color w:val="auto"/>
                <w:sz w:val="24"/>
                <w:highlight w:val="none"/>
                <w:vertAlign w:val="baseline"/>
                <w:lang w:val="en-US" w:eastAsia="zh-CN"/>
              </w:rPr>
              <w:t>H</w:t>
            </w:r>
            <w:r>
              <w:rPr>
                <w:rFonts w:hint="default" w:ascii="Times New Roman" w:hAnsi="Times New Roman" w:eastAsia="宋体" w:cs="Times New Roman"/>
                <w:bCs/>
                <w:color w:val="auto"/>
                <w:sz w:val="24"/>
                <w:highlight w:val="none"/>
                <w:vertAlign w:val="subscript"/>
                <w:lang w:val="en-US" w:eastAsia="zh-CN"/>
              </w:rPr>
              <w:t>2</w:t>
            </w:r>
            <w:r>
              <w:rPr>
                <w:rFonts w:hint="default" w:ascii="Times New Roman" w:hAnsi="Times New Roman" w:eastAsia="宋体" w:cs="Times New Roman"/>
                <w:bCs/>
                <w:color w:val="auto"/>
                <w:sz w:val="24"/>
                <w:highlight w:val="none"/>
                <w:lang w:val="en-US" w:eastAsia="zh-CN"/>
              </w:rPr>
              <w:t>S）等。</w:t>
            </w:r>
          </w:p>
          <w:p w14:paraId="52A428CE">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随季节温度的变化臭气浓度有所变化，夏季气温高，臭气强；冬季气温低，臭气弱。同时臭气的散发还与污水量、污泥量、污水中有机物浓度、水流紊动状态和水面暴露面积、污泥稳定程度、污泥贮存方式及日照、气温、水温、风速等多种因素有关。</w:t>
            </w:r>
          </w:p>
          <w:p w14:paraId="52CBB323">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本次环评采用N</w:t>
            </w:r>
            <w:r>
              <w:rPr>
                <w:rFonts w:hint="default" w:ascii="Times New Roman" w:hAnsi="Times New Roman" w:eastAsia="宋体" w:cs="Times New Roman"/>
                <w:bCs/>
                <w:color w:val="auto"/>
                <w:sz w:val="24"/>
                <w:highlight w:val="none"/>
                <w:vertAlign w:val="baseline"/>
                <w:lang w:val="en-US" w:eastAsia="zh-CN"/>
              </w:rPr>
              <w:t>H</w:t>
            </w:r>
            <w:r>
              <w:rPr>
                <w:rFonts w:hint="default" w:ascii="Times New Roman" w:hAnsi="Times New Roman" w:eastAsia="宋体" w:cs="Times New Roman"/>
                <w:bCs/>
                <w:color w:val="auto"/>
                <w:sz w:val="24"/>
                <w:highlight w:val="none"/>
                <w:vertAlign w:val="subscript"/>
                <w:lang w:val="en-US" w:eastAsia="zh-CN"/>
              </w:rPr>
              <w:t>3</w:t>
            </w:r>
            <w:r>
              <w:rPr>
                <w:rFonts w:hint="default" w:ascii="Times New Roman" w:hAnsi="Times New Roman" w:eastAsia="宋体" w:cs="Times New Roman"/>
                <w:bCs/>
                <w:color w:val="auto"/>
                <w:sz w:val="24"/>
                <w:highlight w:val="none"/>
                <w:lang w:val="en-US" w:eastAsia="zh-CN"/>
              </w:rPr>
              <w:t>和</w:t>
            </w:r>
            <w:r>
              <w:rPr>
                <w:rFonts w:hint="default" w:ascii="Times New Roman" w:hAnsi="Times New Roman" w:eastAsia="宋体" w:cs="Times New Roman"/>
                <w:bCs/>
                <w:color w:val="auto"/>
                <w:sz w:val="24"/>
                <w:highlight w:val="none"/>
                <w:vertAlign w:val="baseline"/>
                <w:lang w:val="en-US" w:eastAsia="zh-CN"/>
              </w:rPr>
              <w:t>H</w:t>
            </w:r>
            <w:r>
              <w:rPr>
                <w:rFonts w:hint="default" w:ascii="Times New Roman" w:hAnsi="Times New Roman" w:eastAsia="宋体" w:cs="Times New Roman"/>
                <w:bCs/>
                <w:color w:val="auto"/>
                <w:sz w:val="24"/>
                <w:highlight w:val="none"/>
                <w:vertAlign w:val="subscript"/>
                <w:lang w:val="en-US" w:eastAsia="zh-CN"/>
              </w:rPr>
              <w:t>2</w:t>
            </w:r>
            <w:r>
              <w:rPr>
                <w:rFonts w:hint="default" w:ascii="Times New Roman" w:hAnsi="Times New Roman" w:eastAsia="宋体" w:cs="Times New Roman"/>
                <w:bCs/>
                <w:color w:val="auto"/>
                <w:sz w:val="24"/>
                <w:highlight w:val="none"/>
                <w:lang w:val="en-US" w:eastAsia="zh-CN"/>
              </w:rPr>
              <w:t>S作为项目污水处理系统的特征恶臭污染物来评价污水（一般工业废水和生活污水）处理系统</w:t>
            </w:r>
            <w:r>
              <w:rPr>
                <w:rFonts w:hint="eastAsia" w:cs="Times New Roman"/>
                <w:bCs/>
                <w:color w:val="auto"/>
                <w:sz w:val="24"/>
                <w:highlight w:val="none"/>
                <w:lang w:val="en-US" w:eastAsia="zh-CN"/>
              </w:rPr>
              <w:t>对</w:t>
            </w:r>
            <w:r>
              <w:rPr>
                <w:rFonts w:hint="default" w:ascii="Times New Roman" w:hAnsi="Times New Roman" w:eastAsia="宋体" w:cs="Times New Roman"/>
                <w:bCs/>
                <w:color w:val="auto"/>
                <w:sz w:val="24"/>
                <w:highlight w:val="none"/>
                <w:lang w:val="en-US" w:eastAsia="zh-CN"/>
              </w:rPr>
              <w:t>恶臭的环境影响。</w:t>
            </w:r>
          </w:p>
          <w:p w14:paraId="4EBB4FEC">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根据美国EPA对城市污水处理厂恶臭污染物产生情况的研究结论，即每去除1g</w:t>
            </w:r>
            <w:r>
              <w:rPr>
                <w:rFonts w:hint="default" w:ascii="Times New Roman" w:hAnsi="Times New Roman" w:eastAsia="宋体" w:cs="Times New Roman"/>
                <w:bCs/>
                <w:color w:val="auto"/>
                <w:sz w:val="24"/>
                <w:highlight w:val="none"/>
                <w:vertAlign w:val="baseline"/>
                <w:lang w:val="en-US" w:eastAsia="zh-CN"/>
              </w:rPr>
              <w:t>BOD</w:t>
            </w:r>
            <w:r>
              <w:rPr>
                <w:rFonts w:hint="default" w:ascii="Times New Roman" w:hAnsi="Times New Roman" w:eastAsia="宋体" w:cs="Times New Roman"/>
                <w:bCs/>
                <w:color w:val="auto"/>
                <w:sz w:val="24"/>
                <w:highlight w:val="none"/>
                <w:vertAlign w:val="subscript"/>
                <w:lang w:val="en-US" w:eastAsia="zh-CN"/>
              </w:rPr>
              <w:t>5</w:t>
            </w:r>
            <w:r>
              <w:rPr>
                <w:rFonts w:hint="default" w:ascii="Times New Roman" w:hAnsi="Times New Roman" w:eastAsia="宋体" w:cs="Times New Roman"/>
                <w:bCs/>
                <w:color w:val="auto"/>
                <w:sz w:val="24"/>
                <w:highlight w:val="none"/>
                <w:lang w:val="en-US" w:eastAsia="zh-CN"/>
              </w:rPr>
              <w:t>可产生0.0031gN</w:t>
            </w:r>
            <w:r>
              <w:rPr>
                <w:rFonts w:hint="default" w:ascii="Times New Roman" w:hAnsi="Times New Roman" w:eastAsia="宋体" w:cs="Times New Roman"/>
                <w:bCs/>
                <w:color w:val="auto"/>
                <w:sz w:val="24"/>
                <w:highlight w:val="none"/>
                <w:vertAlign w:val="baseline"/>
                <w:lang w:val="en-US" w:eastAsia="zh-CN"/>
              </w:rPr>
              <w:t>H</w:t>
            </w:r>
            <w:r>
              <w:rPr>
                <w:rFonts w:hint="default" w:ascii="Times New Roman" w:hAnsi="Times New Roman" w:eastAsia="宋体" w:cs="Times New Roman"/>
                <w:bCs/>
                <w:color w:val="auto"/>
                <w:sz w:val="24"/>
                <w:highlight w:val="none"/>
                <w:vertAlign w:val="subscript"/>
                <w:lang w:val="en-US" w:eastAsia="zh-CN"/>
              </w:rPr>
              <w:t>3</w:t>
            </w:r>
            <w:r>
              <w:rPr>
                <w:rFonts w:hint="default" w:ascii="Times New Roman" w:hAnsi="Times New Roman" w:eastAsia="宋体" w:cs="Times New Roman"/>
                <w:bCs/>
                <w:color w:val="auto"/>
                <w:sz w:val="24"/>
                <w:highlight w:val="none"/>
                <w:lang w:val="en-US" w:eastAsia="zh-CN"/>
              </w:rPr>
              <w:t>和0.00012g</w:t>
            </w:r>
            <w:r>
              <w:rPr>
                <w:rFonts w:hint="default" w:ascii="Times New Roman" w:hAnsi="Times New Roman" w:eastAsia="宋体" w:cs="Times New Roman"/>
                <w:bCs/>
                <w:color w:val="auto"/>
                <w:sz w:val="24"/>
                <w:highlight w:val="none"/>
                <w:vertAlign w:val="baseline"/>
                <w:lang w:val="en-US" w:eastAsia="zh-CN"/>
              </w:rPr>
              <w:t>H</w:t>
            </w:r>
            <w:r>
              <w:rPr>
                <w:rFonts w:hint="default" w:ascii="Times New Roman" w:hAnsi="Times New Roman" w:eastAsia="宋体" w:cs="Times New Roman"/>
                <w:bCs/>
                <w:color w:val="auto"/>
                <w:sz w:val="24"/>
                <w:highlight w:val="none"/>
                <w:vertAlign w:val="subscript"/>
                <w:lang w:val="en-US" w:eastAsia="zh-CN"/>
              </w:rPr>
              <w:t>2</w:t>
            </w:r>
            <w:r>
              <w:rPr>
                <w:rFonts w:hint="default" w:ascii="Times New Roman" w:hAnsi="Times New Roman" w:eastAsia="宋体" w:cs="Times New Roman"/>
                <w:bCs/>
                <w:color w:val="auto"/>
                <w:sz w:val="24"/>
                <w:highlight w:val="none"/>
                <w:lang w:val="en-US" w:eastAsia="zh-CN"/>
              </w:rPr>
              <w:t>S。本项目此次一期工程更新改造后由污水处理厂一期处理规模为5000t/d，</w:t>
            </w:r>
            <w:r>
              <w:rPr>
                <w:rFonts w:hint="default" w:ascii="Times New Roman" w:hAnsi="Times New Roman" w:eastAsia="宋体" w:cs="Times New Roman"/>
                <w:bCs/>
                <w:color w:val="auto"/>
                <w:sz w:val="24"/>
                <w:highlight w:val="none"/>
                <w:vertAlign w:val="baseline"/>
                <w:lang w:val="en-US" w:eastAsia="zh-CN"/>
              </w:rPr>
              <w:t>BOD</w:t>
            </w:r>
            <w:r>
              <w:rPr>
                <w:rFonts w:hint="default" w:ascii="Times New Roman" w:hAnsi="Times New Roman" w:eastAsia="宋体" w:cs="Times New Roman"/>
                <w:bCs/>
                <w:color w:val="auto"/>
                <w:sz w:val="24"/>
                <w:highlight w:val="none"/>
                <w:vertAlign w:val="subscript"/>
                <w:lang w:val="en-US" w:eastAsia="zh-CN"/>
              </w:rPr>
              <w:t>5</w:t>
            </w:r>
            <w:r>
              <w:rPr>
                <w:rFonts w:hint="default" w:ascii="Times New Roman" w:hAnsi="Times New Roman" w:eastAsia="宋体" w:cs="Times New Roman"/>
                <w:bCs/>
                <w:color w:val="auto"/>
                <w:sz w:val="24"/>
                <w:highlight w:val="none"/>
                <w:lang w:val="en-US" w:eastAsia="zh-CN"/>
              </w:rPr>
              <w:t xml:space="preserve">进水浓度200 </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g/L，出水浓度≤10</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g/L（本项目取10</w:t>
            </w:r>
            <w:r>
              <w:rPr>
                <w:rFonts w:hint="eastAsia" w:cs="Times New Roman"/>
                <w:bCs/>
                <w:color w:val="auto"/>
                <w:sz w:val="24"/>
                <w:highlight w:val="none"/>
                <w:lang w:val="en-US" w:eastAsia="zh-CN"/>
              </w:rPr>
              <w:t>m</w:t>
            </w:r>
            <w:r>
              <w:rPr>
                <w:rFonts w:hint="default" w:ascii="Times New Roman" w:hAnsi="Times New Roman" w:eastAsia="宋体" w:cs="Times New Roman"/>
                <w:bCs/>
                <w:color w:val="auto"/>
                <w:sz w:val="24"/>
                <w:highlight w:val="none"/>
                <w:lang w:val="en-US" w:eastAsia="zh-CN"/>
              </w:rPr>
              <w:t>g/L），则去除BOD的量为0.95t/d，由此计算产生的N</w:t>
            </w:r>
            <w:r>
              <w:rPr>
                <w:rFonts w:hint="default" w:ascii="Times New Roman" w:hAnsi="Times New Roman" w:eastAsia="宋体" w:cs="Times New Roman"/>
                <w:bCs/>
                <w:color w:val="auto"/>
                <w:sz w:val="24"/>
                <w:highlight w:val="none"/>
                <w:vertAlign w:val="baseline"/>
                <w:lang w:val="en-US" w:eastAsia="zh-CN"/>
              </w:rPr>
              <w:t>H</w:t>
            </w:r>
            <w:r>
              <w:rPr>
                <w:rFonts w:hint="default" w:ascii="Times New Roman" w:hAnsi="Times New Roman" w:eastAsia="宋体" w:cs="Times New Roman"/>
                <w:bCs/>
                <w:color w:val="auto"/>
                <w:sz w:val="24"/>
                <w:highlight w:val="none"/>
                <w:vertAlign w:val="subscript"/>
                <w:lang w:val="en-US" w:eastAsia="zh-CN"/>
              </w:rPr>
              <w:t>3</w:t>
            </w:r>
            <w:r>
              <w:rPr>
                <w:rFonts w:hint="default" w:ascii="Times New Roman" w:hAnsi="Times New Roman" w:eastAsia="宋体" w:cs="Times New Roman"/>
                <w:bCs/>
                <w:color w:val="auto"/>
                <w:sz w:val="24"/>
                <w:highlight w:val="none"/>
                <w:lang w:val="en-US" w:eastAsia="zh-CN"/>
              </w:rPr>
              <w:t>为0.123kg/h（1.075t/a）、</w:t>
            </w:r>
            <w:r>
              <w:rPr>
                <w:rFonts w:hint="default" w:ascii="Times New Roman" w:hAnsi="Times New Roman" w:eastAsia="宋体" w:cs="Times New Roman"/>
                <w:bCs/>
                <w:color w:val="auto"/>
                <w:sz w:val="24"/>
                <w:highlight w:val="none"/>
                <w:vertAlign w:val="baseline"/>
                <w:lang w:val="en-US" w:eastAsia="zh-CN"/>
              </w:rPr>
              <w:t>H</w:t>
            </w:r>
            <w:r>
              <w:rPr>
                <w:rFonts w:hint="default" w:ascii="Times New Roman" w:hAnsi="Times New Roman" w:eastAsia="宋体" w:cs="Times New Roman"/>
                <w:bCs/>
                <w:color w:val="auto"/>
                <w:sz w:val="24"/>
                <w:highlight w:val="none"/>
                <w:vertAlign w:val="subscript"/>
                <w:lang w:val="en-US" w:eastAsia="zh-CN"/>
              </w:rPr>
              <w:t>2</w:t>
            </w:r>
            <w:r>
              <w:rPr>
                <w:rFonts w:hint="default" w:ascii="Times New Roman" w:hAnsi="Times New Roman" w:eastAsia="宋体" w:cs="Times New Roman"/>
                <w:bCs/>
                <w:color w:val="auto"/>
                <w:sz w:val="24"/>
                <w:highlight w:val="none"/>
                <w:lang w:val="en-US" w:eastAsia="zh-CN"/>
              </w:rPr>
              <w:t>S为0.005kg/h（0.042t/a）。</w:t>
            </w:r>
          </w:p>
          <w:p w14:paraId="6641EC22">
            <w:pPr>
              <w:spacing w:line="360" w:lineRule="auto"/>
              <w:ind w:firstLine="482" w:firstLineChars="200"/>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2</w:t>
            </w:r>
            <w:r>
              <w:rPr>
                <w:rFonts w:hint="eastAsia" w:cs="Times New Roman"/>
                <w:b/>
                <w:bCs w:val="0"/>
                <w:color w:val="auto"/>
                <w:sz w:val="24"/>
                <w:highlight w:val="none"/>
                <w:lang w:val="en-US" w:eastAsia="zh-CN"/>
              </w:rPr>
              <w:t>.2</w:t>
            </w:r>
            <w:r>
              <w:rPr>
                <w:rFonts w:hint="default" w:ascii="Times New Roman" w:hAnsi="Times New Roman" w:eastAsia="宋体" w:cs="Times New Roman"/>
                <w:b/>
                <w:bCs w:val="0"/>
                <w:color w:val="auto"/>
                <w:sz w:val="24"/>
                <w:highlight w:val="none"/>
                <w:lang w:val="en-US" w:eastAsia="zh-CN"/>
              </w:rPr>
              <w:t>废气治理及排放</w:t>
            </w:r>
          </w:p>
          <w:p w14:paraId="34C0A904">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项目对产生恶臭气体的格栅、生化池、污泥脱水工序布置于全封闭厂房内，并在生物池的缺氧段安装微生物培养箱4台，采用全流程除臭工艺。利用微生物填料和培养箱，在污水处理厂生物池中培养出高效除臭微生物，将含高效除臭微生物的污泥回流于污水厂预处理段，除臭微生物与水中的恶臭物质发生吸附、凝聚和生物转化降解等作用，使得污水厂各构筑物恶臭物质在水中得到</w:t>
            </w:r>
            <w:r>
              <w:rPr>
                <w:rFonts w:hint="eastAsia" w:cs="Times New Roman"/>
                <w:bCs/>
                <w:color w:val="auto"/>
                <w:sz w:val="24"/>
                <w:highlight w:val="none"/>
                <w:lang w:val="en-US" w:eastAsia="zh-CN"/>
              </w:rPr>
              <w:t>去除</w:t>
            </w:r>
            <w:r>
              <w:rPr>
                <w:rFonts w:hint="default" w:ascii="Times New Roman" w:hAnsi="Times New Roman" w:eastAsia="宋体" w:cs="Times New Roman"/>
                <w:bCs/>
                <w:color w:val="auto"/>
                <w:sz w:val="24"/>
                <w:highlight w:val="none"/>
                <w:lang w:val="en-US" w:eastAsia="zh-CN"/>
              </w:rPr>
              <w:t>，实现污水厂恶臭的全过程控制。</w:t>
            </w:r>
          </w:p>
          <w:p w14:paraId="1E2C9BBA">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通过高效除臭微生物全过程除臭工艺处理后（可研设计处理效率90%~95%，取90%），则N</w:t>
            </w:r>
            <w:r>
              <w:rPr>
                <w:rFonts w:hint="default" w:ascii="Times New Roman" w:hAnsi="Times New Roman" w:eastAsia="宋体" w:cs="Times New Roman"/>
                <w:bCs/>
                <w:color w:val="auto"/>
                <w:sz w:val="24"/>
                <w:highlight w:val="none"/>
                <w:vertAlign w:val="baseline"/>
                <w:lang w:val="en-US" w:eastAsia="zh-CN"/>
              </w:rPr>
              <w:t>H</w:t>
            </w:r>
            <w:r>
              <w:rPr>
                <w:rFonts w:hint="default" w:ascii="Times New Roman" w:hAnsi="Times New Roman" w:eastAsia="宋体" w:cs="Times New Roman"/>
                <w:bCs/>
                <w:color w:val="auto"/>
                <w:sz w:val="24"/>
                <w:highlight w:val="none"/>
                <w:vertAlign w:val="subscript"/>
                <w:lang w:val="en-US" w:eastAsia="zh-CN"/>
              </w:rPr>
              <w:t>3</w:t>
            </w:r>
            <w:r>
              <w:rPr>
                <w:rFonts w:hint="default" w:ascii="Times New Roman" w:hAnsi="Times New Roman" w:eastAsia="宋体" w:cs="Times New Roman"/>
                <w:bCs/>
                <w:color w:val="auto"/>
                <w:sz w:val="24"/>
                <w:highlight w:val="none"/>
                <w:lang w:val="en-US" w:eastAsia="zh-CN"/>
              </w:rPr>
              <w:t>和</w:t>
            </w:r>
            <w:r>
              <w:rPr>
                <w:rFonts w:hint="default" w:ascii="Times New Roman" w:hAnsi="Times New Roman" w:eastAsia="宋体" w:cs="Times New Roman"/>
                <w:bCs/>
                <w:color w:val="auto"/>
                <w:sz w:val="24"/>
                <w:highlight w:val="none"/>
                <w:vertAlign w:val="baseline"/>
                <w:lang w:val="en-US" w:eastAsia="zh-CN"/>
              </w:rPr>
              <w:t>H</w:t>
            </w:r>
            <w:r>
              <w:rPr>
                <w:rFonts w:hint="default" w:ascii="Times New Roman" w:hAnsi="Times New Roman" w:eastAsia="宋体" w:cs="Times New Roman"/>
                <w:bCs/>
                <w:color w:val="auto"/>
                <w:sz w:val="24"/>
                <w:highlight w:val="none"/>
                <w:vertAlign w:val="subscript"/>
                <w:lang w:val="en-US" w:eastAsia="zh-CN"/>
              </w:rPr>
              <w:t>2</w:t>
            </w:r>
            <w:r>
              <w:rPr>
                <w:rFonts w:hint="default" w:ascii="Times New Roman" w:hAnsi="Times New Roman" w:eastAsia="宋体" w:cs="Times New Roman"/>
                <w:bCs/>
                <w:color w:val="auto"/>
                <w:sz w:val="24"/>
                <w:highlight w:val="none"/>
                <w:lang w:val="en-US" w:eastAsia="zh-CN"/>
              </w:rPr>
              <w:t>S的排放速率分别为N</w:t>
            </w:r>
            <w:r>
              <w:rPr>
                <w:rFonts w:hint="default" w:ascii="Times New Roman" w:hAnsi="Times New Roman" w:eastAsia="宋体" w:cs="Times New Roman"/>
                <w:bCs/>
                <w:color w:val="auto"/>
                <w:sz w:val="24"/>
                <w:highlight w:val="none"/>
                <w:vertAlign w:val="baseline"/>
                <w:lang w:val="en-US" w:eastAsia="zh-CN"/>
              </w:rPr>
              <w:t>H</w:t>
            </w:r>
            <w:r>
              <w:rPr>
                <w:rFonts w:hint="default" w:ascii="Times New Roman" w:hAnsi="Times New Roman" w:eastAsia="宋体" w:cs="Times New Roman"/>
                <w:bCs/>
                <w:color w:val="auto"/>
                <w:sz w:val="24"/>
                <w:highlight w:val="none"/>
                <w:vertAlign w:val="subscript"/>
                <w:lang w:val="en-US" w:eastAsia="zh-CN"/>
              </w:rPr>
              <w:t>3</w:t>
            </w:r>
            <w:r>
              <w:rPr>
                <w:rFonts w:hint="default" w:ascii="Times New Roman" w:hAnsi="Times New Roman" w:eastAsia="宋体" w:cs="Times New Roman"/>
                <w:bCs/>
                <w:color w:val="auto"/>
                <w:sz w:val="24"/>
                <w:highlight w:val="none"/>
                <w:lang w:val="en-US" w:eastAsia="zh-CN"/>
              </w:rPr>
              <w:t>：0.0123kg/h（0.107t/a），</w:t>
            </w:r>
            <w:r>
              <w:rPr>
                <w:rFonts w:hint="default" w:ascii="Times New Roman" w:hAnsi="Times New Roman" w:eastAsia="宋体" w:cs="Times New Roman"/>
                <w:bCs/>
                <w:color w:val="auto"/>
                <w:sz w:val="24"/>
                <w:highlight w:val="none"/>
                <w:vertAlign w:val="baseline"/>
                <w:lang w:val="en-US" w:eastAsia="zh-CN"/>
              </w:rPr>
              <w:t>H</w:t>
            </w:r>
            <w:r>
              <w:rPr>
                <w:rFonts w:hint="default" w:ascii="Times New Roman" w:hAnsi="Times New Roman" w:eastAsia="宋体" w:cs="Times New Roman"/>
                <w:bCs/>
                <w:color w:val="auto"/>
                <w:sz w:val="24"/>
                <w:highlight w:val="none"/>
                <w:vertAlign w:val="subscript"/>
                <w:lang w:val="en-US" w:eastAsia="zh-CN"/>
              </w:rPr>
              <w:t>2</w:t>
            </w:r>
            <w:r>
              <w:rPr>
                <w:rFonts w:hint="default" w:ascii="Times New Roman" w:hAnsi="Times New Roman" w:eastAsia="宋体" w:cs="Times New Roman"/>
                <w:bCs/>
                <w:color w:val="auto"/>
                <w:sz w:val="24"/>
                <w:highlight w:val="none"/>
                <w:lang w:val="en-US" w:eastAsia="zh-CN"/>
              </w:rPr>
              <w:t>S：0.0005kg/h（0.004t/a）。</w:t>
            </w:r>
          </w:p>
          <w:p w14:paraId="56AB08CB">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本项目污水处理恶臭污染物的无组织排放源强具体见下表。</w:t>
            </w:r>
          </w:p>
          <w:p w14:paraId="5E5DFD78">
            <w:pPr>
              <w:spacing w:line="360" w:lineRule="auto"/>
              <w:jc w:val="center"/>
              <w:rPr>
                <w:rFonts w:hint="default" w:ascii="Times New Roman" w:hAnsi="Times New Roman" w:eastAsia="宋体" w:cs="Times New Roman"/>
                <w:b/>
                <w:bCs w:val="0"/>
                <w:color w:val="auto"/>
                <w:sz w:val="24"/>
                <w:highlight w:val="none"/>
                <w:lang w:val="en-US" w:eastAsia="zh-CN"/>
              </w:rPr>
            </w:pPr>
          </w:p>
          <w:p w14:paraId="65C4BEC0">
            <w:pPr>
              <w:spacing w:line="360" w:lineRule="auto"/>
              <w:jc w:val="center"/>
              <w:rPr>
                <w:rFonts w:hint="default" w:ascii="Times New Roman" w:hAnsi="Times New Roman" w:eastAsia="宋体" w:cs="Times New Roman"/>
                <w:b/>
                <w:bCs w:val="0"/>
                <w:color w:val="auto"/>
                <w:sz w:val="24"/>
                <w:highlight w:val="none"/>
                <w:lang w:val="en-US" w:eastAsia="zh-CN"/>
              </w:rPr>
            </w:pPr>
          </w:p>
          <w:p w14:paraId="0632A79E">
            <w:pPr>
              <w:spacing w:line="360" w:lineRule="auto"/>
              <w:jc w:val="center"/>
              <w:rPr>
                <w:rFonts w:hint="default" w:ascii="Times New Roman" w:hAnsi="Times New Roman" w:eastAsia="宋体" w:cs="Times New Roman"/>
                <w:b/>
                <w:bCs w:val="0"/>
                <w:color w:val="auto"/>
                <w:sz w:val="24"/>
                <w:highlight w:val="none"/>
                <w:lang w:val="en-US" w:eastAsia="zh-CN"/>
              </w:rPr>
            </w:pPr>
            <w:r>
              <w:rPr>
                <w:rFonts w:hint="default" w:ascii="Times New Roman" w:hAnsi="Times New Roman" w:eastAsia="宋体" w:cs="Times New Roman"/>
                <w:b/>
                <w:bCs w:val="0"/>
                <w:color w:val="auto"/>
                <w:sz w:val="24"/>
                <w:highlight w:val="none"/>
                <w:lang w:val="en-US" w:eastAsia="zh-CN"/>
              </w:rPr>
              <w:t>表4-</w:t>
            </w:r>
            <w:r>
              <w:rPr>
                <w:rFonts w:hint="eastAsia" w:cs="Times New Roman"/>
                <w:b/>
                <w:bCs w:val="0"/>
                <w:color w:val="auto"/>
                <w:sz w:val="24"/>
                <w:highlight w:val="none"/>
                <w:lang w:val="en-US" w:eastAsia="zh-CN"/>
              </w:rPr>
              <w:t>5</w:t>
            </w:r>
            <w:r>
              <w:rPr>
                <w:rFonts w:hint="default" w:ascii="Times New Roman" w:hAnsi="Times New Roman" w:eastAsia="宋体" w:cs="Times New Roman"/>
                <w:b/>
                <w:bCs w:val="0"/>
                <w:color w:val="auto"/>
                <w:sz w:val="24"/>
                <w:highlight w:val="none"/>
                <w:lang w:val="en-US" w:eastAsia="zh-CN"/>
              </w:rPr>
              <w:t>本项目主要恶臭污染物产排情况</w:t>
            </w:r>
          </w:p>
          <w:tbl>
            <w:tblPr>
              <w:tblStyle w:val="10"/>
              <w:tblW w:w="794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23" w:type="dxa"/>
                <w:bottom w:w="0" w:type="dxa"/>
                <w:right w:w="23" w:type="dxa"/>
              </w:tblCellMar>
            </w:tblPr>
            <w:tblGrid>
              <w:gridCol w:w="761"/>
              <w:gridCol w:w="581"/>
              <w:gridCol w:w="639"/>
              <w:gridCol w:w="1035"/>
              <w:gridCol w:w="1007"/>
              <w:gridCol w:w="832"/>
              <w:gridCol w:w="1414"/>
              <w:gridCol w:w="915"/>
              <w:gridCol w:w="762"/>
            </w:tblGrid>
            <w:tr w14:paraId="51689E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3" w:type="dxa"/>
                  <w:bottom w:w="0" w:type="dxa"/>
                  <w:right w:w="23" w:type="dxa"/>
                </w:tblCellMar>
              </w:tblPrEx>
              <w:trPr>
                <w:trHeight w:val="397" w:hRule="atLeast"/>
                <w:jc w:val="center"/>
              </w:trPr>
              <w:tc>
                <w:tcPr>
                  <w:tcW w:w="761" w:type="dxa"/>
                  <w:vMerge w:val="restart"/>
                  <w:tcBorders>
                    <w:tl2br w:val="nil"/>
                    <w:tr2bl w:val="nil"/>
                  </w:tcBorders>
                  <w:shd w:val="clear" w:color="auto" w:fill="auto"/>
                  <w:vAlign w:val="center"/>
                </w:tcPr>
                <w:p w14:paraId="0A8DDD4E">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工序</w:t>
                  </w:r>
                </w:p>
              </w:tc>
              <w:tc>
                <w:tcPr>
                  <w:tcW w:w="581" w:type="dxa"/>
                  <w:vMerge w:val="restart"/>
                  <w:tcBorders>
                    <w:tl2br w:val="nil"/>
                    <w:tr2bl w:val="nil"/>
                  </w:tcBorders>
                  <w:shd w:val="clear" w:color="auto" w:fill="auto"/>
                  <w:vAlign w:val="center"/>
                </w:tcPr>
                <w:p w14:paraId="57DF93C6">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污染源</w:t>
                  </w:r>
                </w:p>
              </w:tc>
              <w:tc>
                <w:tcPr>
                  <w:tcW w:w="639" w:type="dxa"/>
                  <w:vMerge w:val="restart"/>
                  <w:tcBorders>
                    <w:tl2br w:val="nil"/>
                    <w:tr2bl w:val="nil"/>
                  </w:tcBorders>
                  <w:shd w:val="clear" w:color="auto" w:fill="auto"/>
                  <w:vAlign w:val="center"/>
                </w:tcPr>
                <w:p w14:paraId="2BF898A4">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污染物</w:t>
                  </w:r>
                </w:p>
              </w:tc>
              <w:tc>
                <w:tcPr>
                  <w:tcW w:w="1035" w:type="dxa"/>
                  <w:tcBorders>
                    <w:tl2br w:val="nil"/>
                    <w:tr2bl w:val="nil"/>
                  </w:tcBorders>
                  <w:shd w:val="clear" w:color="auto" w:fill="auto"/>
                  <w:vAlign w:val="center"/>
                </w:tcPr>
                <w:p w14:paraId="7A2A7557">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产污系数</w:t>
                  </w:r>
                </w:p>
              </w:tc>
              <w:tc>
                <w:tcPr>
                  <w:tcW w:w="1839" w:type="dxa"/>
                  <w:gridSpan w:val="2"/>
                  <w:tcBorders>
                    <w:tl2br w:val="nil"/>
                    <w:tr2bl w:val="nil"/>
                  </w:tcBorders>
                  <w:shd w:val="clear" w:color="auto" w:fill="auto"/>
                  <w:vAlign w:val="center"/>
                </w:tcPr>
                <w:p w14:paraId="646B0945">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污染物产生</w:t>
                  </w:r>
                </w:p>
              </w:tc>
              <w:tc>
                <w:tcPr>
                  <w:tcW w:w="1414" w:type="dxa"/>
                  <w:vMerge w:val="restart"/>
                  <w:tcBorders>
                    <w:tl2br w:val="nil"/>
                    <w:tr2bl w:val="nil"/>
                  </w:tcBorders>
                  <w:shd w:val="clear" w:color="auto" w:fill="auto"/>
                  <w:vAlign w:val="center"/>
                </w:tcPr>
                <w:p w14:paraId="772A9066">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治理措施</w:t>
                  </w:r>
                </w:p>
              </w:tc>
              <w:tc>
                <w:tcPr>
                  <w:tcW w:w="1677" w:type="dxa"/>
                  <w:gridSpan w:val="2"/>
                  <w:tcBorders>
                    <w:tl2br w:val="nil"/>
                    <w:tr2bl w:val="nil"/>
                  </w:tcBorders>
                  <w:shd w:val="clear" w:color="auto" w:fill="auto"/>
                  <w:vAlign w:val="center"/>
                </w:tcPr>
                <w:p w14:paraId="6563045B">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污染物排放</w:t>
                  </w:r>
                </w:p>
              </w:tc>
            </w:tr>
            <w:tr w14:paraId="2D709D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61" w:type="dxa"/>
                  <w:vMerge w:val="continue"/>
                  <w:tcBorders>
                    <w:tl2br w:val="nil"/>
                    <w:tr2bl w:val="nil"/>
                  </w:tcBorders>
                  <w:shd w:val="clear" w:color="auto" w:fill="auto"/>
                  <w:vAlign w:val="center"/>
                </w:tcPr>
                <w:p w14:paraId="0726B998">
                  <w:pPr>
                    <w:widowControl/>
                    <w:jc w:val="center"/>
                    <w:rPr>
                      <w:rFonts w:hint="default" w:ascii="Times New Roman" w:hAnsi="Times New Roman" w:eastAsia="宋体" w:cs="Times New Roman"/>
                      <w:b/>
                      <w:bCs w:val="0"/>
                      <w:color w:val="auto"/>
                      <w:sz w:val="21"/>
                      <w:szCs w:val="21"/>
                    </w:rPr>
                  </w:pPr>
                </w:p>
              </w:tc>
              <w:tc>
                <w:tcPr>
                  <w:tcW w:w="581" w:type="dxa"/>
                  <w:vMerge w:val="continue"/>
                  <w:tcBorders>
                    <w:tl2br w:val="nil"/>
                    <w:tr2bl w:val="nil"/>
                  </w:tcBorders>
                  <w:shd w:val="clear" w:color="auto" w:fill="auto"/>
                  <w:vAlign w:val="center"/>
                </w:tcPr>
                <w:p w14:paraId="26B7F08C">
                  <w:pPr>
                    <w:widowControl/>
                    <w:jc w:val="center"/>
                    <w:rPr>
                      <w:rFonts w:hint="default" w:ascii="Times New Roman" w:hAnsi="Times New Roman" w:eastAsia="宋体" w:cs="Times New Roman"/>
                      <w:b/>
                      <w:bCs w:val="0"/>
                      <w:color w:val="auto"/>
                      <w:sz w:val="21"/>
                      <w:szCs w:val="21"/>
                    </w:rPr>
                  </w:pPr>
                </w:p>
              </w:tc>
              <w:tc>
                <w:tcPr>
                  <w:tcW w:w="639" w:type="dxa"/>
                  <w:vMerge w:val="continue"/>
                  <w:tcBorders>
                    <w:tl2br w:val="nil"/>
                    <w:tr2bl w:val="nil"/>
                  </w:tcBorders>
                  <w:shd w:val="clear" w:color="auto" w:fill="auto"/>
                  <w:vAlign w:val="center"/>
                </w:tcPr>
                <w:p w14:paraId="6EE82D1C">
                  <w:pPr>
                    <w:widowControl/>
                    <w:jc w:val="center"/>
                    <w:rPr>
                      <w:rFonts w:hint="default" w:ascii="Times New Roman" w:hAnsi="Times New Roman" w:eastAsia="宋体" w:cs="Times New Roman"/>
                      <w:b/>
                      <w:bCs w:val="0"/>
                      <w:color w:val="auto"/>
                      <w:sz w:val="21"/>
                      <w:szCs w:val="21"/>
                    </w:rPr>
                  </w:pPr>
                </w:p>
              </w:tc>
              <w:tc>
                <w:tcPr>
                  <w:tcW w:w="1035" w:type="dxa"/>
                  <w:tcBorders>
                    <w:tl2br w:val="nil"/>
                    <w:tr2bl w:val="nil"/>
                  </w:tcBorders>
                  <w:shd w:val="clear" w:color="auto" w:fill="auto"/>
                  <w:vAlign w:val="center"/>
                </w:tcPr>
                <w:p w14:paraId="3F016C62">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g/g</w:t>
                  </w:r>
                  <w:r>
                    <w:rPr>
                      <w:rFonts w:hint="default" w:ascii="Times New Roman" w:hAnsi="Times New Roman" w:eastAsia="宋体" w:cs="Times New Roman"/>
                      <w:b/>
                      <w:bCs w:val="0"/>
                      <w:color w:val="auto"/>
                      <w:sz w:val="21"/>
                      <w:szCs w:val="21"/>
                      <w:vertAlign w:val="baseline"/>
                      <w:lang w:val="en-US" w:eastAsia="zh-CN"/>
                    </w:rPr>
                    <w:t>BOD</w:t>
                  </w:r>
                  <w:r>
                    <w:rPr>
                      <w:rFonts w:hint="default" w:ascii="Times New Roman" w:hAnsi="Times New Roman" w:eastAsia="宋体" w:cs="Times New Roman"/>
                      <w:b/>
                      <w:bCs w:val="0"/>
                      <w:color w:val="auto"/>
                      <w:sz w:val="21"/>
                      <w:szCs w:val="21"/>
                      <w:vertAlign w:val="subscript"/>
                      <w:lang w:val="en-US" w:eastAsia="zh-CN"/>
                    </w:rPr>
                    <w:t>5</w:t>
                  </w:r>
                </w:p>
              </w:tc>
              <w:tc>
                <w:tcPr>
                  <w:tcW w:w="1007" w:type="dxa"/>
                  <w:tcBorders>
                    <w:tl2br w:val="nil"/>
                    <w:tr2bl w:val="nil"/>
                  </w:tcBorders>
                  <w:shd w:val="clear" w:color="auto" w:fill="auto"/>
                  <w:vAlign w:val="center"/>
                </w:tcPr>
                <w:p w14:paraId="62F682C1">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产生速率</w:t>
                  </w:r>
                  <w:r>
                    <w:rPr>
                      <w:rFonts w:hint="default" w:ascii="Times New Roman" w:hAnsi="Times New Roman" w:eastAsia="宋体" w:cs="Times New Roman"/>
                      <w:b/>
                      <w:bCs w:val="0"/>
                      <w:color w:val="auto"/>
                      <w:sz w:val="21"/>
                      <w:szCs w:val="21"/>
                      <w:lang w:val="en-US" w:eastAsia="zh-CN"/>
                    </w:rPr>
                    <w:br w:type="textWrapping"/>
                  </w:r>
                  <w:r>
                    <w:rPr>
                      <w:rFonts w:hint="default" w:ascii="Times New Roman" w:hAnsi="Times New Roman" w:eastAsia="宋体" w:cs="Times New Roman"/>
                      <w:b/>
                      <w:bCs w:val="0"/>
                      <w:color w:val="auto"/>
                      <w:sz w:val="21"/>
                      <w:szCs w:val="21"/>
                      <w:lang w:val="en-US" w:eastAsia="zh-CN"/>
                    </w:rPr>
                    <w:t>（kg/h）</w:t>
                  </w:r>
                </w:p>
              </w:tc>
              <w:tc>
                <w:tcPr>
                  <w:tcW w:w="832" w:type="dxa"/>
                  <w:tcBorders>
                    <w:tl2br w:val="nil"/>
                    <w:tr2bl w:val="nil"/>
                  </w:tcBorders>
                  <w:shd w:val="clear" w:color="auto" w:fill="auto"/>
                  <w:vAlign w:val="center"/>
                </w:tcPr>
                <w:p w14:paraId="5F6A1ADA">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产生量</w:t>
                  </w:r>
                  <w:r>
                    <w:rPr>
                      <w:rFonts w:hint="default" w:ascii="Times New Roman" w:hAnsi="Times New Roman" w:eastAsia="宋体" w:cs="Times New Roman"/>
                      <w:b/>
                      <w:bCs w:val="0"/>
                      <w:color w:val="auto"/>
                      <w:sz w:val="21"/>
                      <w:szCs w:val="21"/>
                      <w:lang w:val="en-US" w:eastAsia="zh-CN"/>
                    </w:rPr>
                    <w:br w:type="textWrapping"/>
                  </w:r>
                  <w:r>
                    <w:rPr>
                      <w:rFonts w:hint="default" w:ascii="Times New Roman" w:hAnsi="Times New Roman" w:eastAsia="宋体" w:cs="Times New Roman"/>
                      <w:b/>
                      <w:bCs w:val="0"/>
                      <w:color w:val="auto"/>
                      <w:sz w:val="21"/>
                      <w:szCs w:val="21"/>
                      <w:lang w:val="en-US" w:eastAsia="zh-CN"/>
                    </w:rPr>
                    <w:t>（t/a）</w:t>
                  </w:r>
                </w:p>
              </w:tc>
              <w:tc>
                <w:tcPr>
                  <w:tcW w:w="1414" w:type="dxa"/>
                  <w:vMerge w:val="continue"/>
                  <w:tcBorders>
                    <w:tl2br w:val="nil"/>
                    <w:tr2bl w:val="nil"/>
                  </w:tcBorders>
                  <w:shd w:val="clear" w:color="auto" w:fill="auto"/>
                  <w:vAlign w:val="center"/>
                </w:tcPr>
                <w:p w14:paraId="3B9BA5FE">
                  <w:pPr>
                    <w:widowControl/>
                    <w:jc w:val="center"/>
                    <w:rPr>
                      <w:rFonts w:hint="default" w:ascii="Times New Roman" w:hAnsi="Times New Roman" w:eastAsia="宋体" w:cs="Times New Roman"/>
                      <w:b/>
                      <w:bCs w:val="0"/>
                      <w:color w:val="auto"/>
                      <w:sz w:val="21"/>
                      <w:szCs w:val="21"/>
                    </w:rPr>
                  </w:pPr>
                </w:p>
              </w:tc>
              <w:tc>
                <w:tcPr>
                  <w:tcW w:w="915" w:type="dxa"/>
                  <w:tcBorders>
                    <w:tl2br w:val="nil"/>
                    <w:tr2bl w:val="nil"/>
                  </w:tcBorders>
                  <w:shd w:val="clear" w:color="auto" w:fill="auto"/>
                  <w:vAlign w:val="center"/>
                </w:tcPr>
                <w:p w14:paraId="001F6CF2">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排放速率</w:t>
                  </w:r>
                  <w:r>
                    <w:rPr>
                      <w:rFonts w:hint="default" w:ascii="Times New Roman" w:hAnsi="Times New Roman" w:eastAsia="宋体" w:cs="Times New Roman"/>
                      <w:b/>
                      <w:bCs w:val="0"/>
                      <w:color w:val="auto"/>
                      <w:sz w:val="21"/>
                      <w:szCs w:val="21"/>
                      <w:lang w:val="en-US" w:eastAsia="zh-CN"/>
                    </w:rPr>
                    <w:br w:type="textWrapping"/>
                  </w:r>
                  <w:r>
                    <w:rPr>
                      <w:rFonts w:hint="default" w:ascii="Times New Roman" w:hAnsi="Times New Roman" w:eastAsia="宋体" w:cs="Times New Roman"/>
                      <w:b/>
                      <w:bCs w:val="0"/>
                      <w:color w:val="auto"/>
                      <w:sz w:val="21"/>
                      <w:szCs w:val="21"/>
                      <w:lang w:val="en-US" w:eastAsia="zh-CN"/>
                    </w:rPr>
                    <w:t>（kg/h）</w:t>
                  </w:r>
                </w:p>
              </w:tc>
              <w:tc>
                <w:tcPr>
                  <w:tcW w:w="762" w:type="dxa"/>
                  <w:tcBorders>
                    <w:tl2br w:val="nil"/>
                    <w:tr2bl w:val="nil"/>
                  </w:tcBorders>
                  <w:shd w:val="clear" w:color="auto" w:fill="auto"/>
                  <w:vAlign w:val="center"/>
                </w:tcPr>
                <w:p w14:paraId="663DFE06">
                  <w:pPr>
                    <w:widowControl/>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lang w:val="en-US" w:eastAsia="zh-CN"/>
                    </w:rPr>
                    <w:t>排放量</w:t>
                  </w:r>
                  <w:r>
                    <w:rPr>
                      <w:rFonts w:hint="default" w:ascii="Times New Roman" w:hAnsi="Times New Roman" w:eastAsia="宋体" w:cs="Times New Roman"/>
                      <w:b/>
                      <w:bCs w:val="0"/>
                      <w:color w:val="auto"/>
                      <w:sz w:val="21"/>
                      <w:szCs w:val="21"/>
                      <w:lang w:val="en-US" w:eastAsia="zh-CN"/>
                    </w:rPr>
                    <w:br w:type="textWrapping"/>
                  </w:r>
                  <w:r>
                    <w:rPr>
                      <w:rFonts w:hint="default" w:ascii="Times New Roman" w:hAnsi="Times New Roman" w:eastAsia="宋体" w:cs="Times New Roman"/>
                      <w:b/>
                      <w:bCs w:val="0"/>
                      <w:color w:val="auto"/>
                      <w:sz w:val="21"/>
                      <w:szCs w:val="21"/>
                      <w:lang w:val="en-US" w:eastAsia="zh-CN"/>
                    </w:rPr>
                    <w:t>（t/a）</w:t>
                  </w:r>
                </w:p>
              </w:tc>
            </w:tr>
            <w:tr w14:paraId="1085A3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61" w:type="dxa"/>
                  <w:vMerge w:val="restart"/>
                  <w:tcBorders>
                    <w:tl2br w:val="nil"/>
                    <w:tr2bl w:val="nil"/>
                  </w:tcBorders>
                  <w:shd w:val="clear" w:color="auto" w:fill="auto"/>
                  <w:vAlign w:val="center"/>
                </w:tcPr>
                <w:p w14:paraId="75B8DF3C">
                  <w:pPr>
                    <w:widowControl/>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en-US" w:eastAsia="zh-CN"/>
                    </w:rPr>
                    <w:t>污水处理过程</w:t>
                  </w:r>
                </w:p>
              </w:tc>
              <w:tc>
                <w:tcPr>
                  <w:tcW w:w="581" w:type="dxa"/>
                  <w:vMerge w:val="restart"/>
                  <w:tcBorders>
                    <w:tl2br w:val="nil"/>
                    <w:tr2bl w:val="nil"/>
                  </w:tcBorders>
                  <w:shd w:val="clear" w:color="auto" w:fill="auto"/>
                  <w:vAlign w:val="center"/>
                </w:tcPr>
                <w:p w14:paraId="253FA1B6">
                  <w:pPr>
                    <w:widowControl/>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en-US" w:eastAsia="zh-CN"/>
                    </w:rPr>
                    <w:t>无组织</w:t>
                  </w:r>
                </w:p>
              </w:tc>
              <w:tc>
                <w:tcPr>
                  <w:tcW w:w="639" w:type="dxa"/>
                  <w:tcBorders>
                    <w:tl2br w:val="nil"/>
                    <w:tr2bl w:val="nil"/>
                  </w:tcBorders>
                  <w:shd w:val="clear" w:color="auto" w:fill="auto"/>
                  <w:vAlign w:val="center"/>
                </w:tcPr>
                <w:p w14:paraId="36329F83">
                  <w:pPr>
                    <w:widowControl/>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en-US" w:eastAsia="zh-CN"/>
                    </w:rPr>
                    <w:t>N</w:t>
                  </w:r>
                  <w:r>
                    <w:rPr>
                      <w:rFonts w:hint="default" w:ascii="Times New Roman" w:hAnsi="Times New Roman" w:eastAsia="宋体" w:cs="Times New Roman"/>
                      <w:bCs/>
                      <w:color w:val="auto"/>
                      <w:sz w:val="21"/>
                      <w:szCs w:val="21"/>
                      <w:vertAlign w:val="baseline"/>
                      <w:lang w:val="en-US" w:eastAsia="zh-CN"/>
                    </w:rPr>
                    <w:t>H</w:t>
                  </w:r>
                  <w:r>
                    <w:rPr>
                      <w:rFonts w:hint="default" w:ascii="Times New Roman" w:hAnsi="Times New Roman" w:eastAsia="宋体" w:cs="Times New Roman"/>
                      <w:bCs/>
                      <w:color w:val="auto"/>
                      <w:sz w:val="21"/>
                      <w:szCs w:val="21"/>
                      <w:vertAlign w:val="subscript"/>
                      <w:lang w:val="en-US" w:eastAsia="zh-CN"/>
                    </w:rPr>
                    <w:t>3</w:t>
                  </w:r>
                </w:p>
              </w:tc>
              <w:tc>
                <w:tcPr>
                  <w:tcW w:w="1035" w:type="dxa"/>
                  <w:tcBorders>
                    <w:tl2br w:val="nil"/>
                    <w:tr2bl w:val="nil"/>
                  </w:tcBorders>
                  <w:shd w:val="clear" w:color="auto" w:fill="auto"/>
                  <w:noWrap/>
                  <w:vAlign w:val="center"/>
                </w:tcPr>
                <w:p w14:paraId="5E2B0541">
                  <w:pPr>
                    <w:widowControl/>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en-US" w:eastAsia="zh-CN"/>
                    </w:rPr>
                    <w:t>0.0031</w:t>
                  </w:r>
                </w:p>
              </w:tc>
              <w:tc>
                <w:tcPr>
                  <w:tcW w:w="1007" w:type="dxa"/>
                  <w:tcBorders>
                    <w:tl2br w:val="nil"/>
                    <w:tr2bl w:val="nil"/>
                  </w:tcBorders>
                  <w:shd w:val="clear" w:color="auto" w:fill="auto"/>
                  <w:vAlign w:val="center"/>
                </w:tcPr>
                <w:p w14:paraId="1A90BEE3">
                  <w:pPr>
                    <w:widowControl/>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en-US" w:eastAsia="zh-CN"/>
                    </w:rPr>
                    <w:t>0.123</w:t>
                  </w:r>
                </w:p>
              </w:tc>
              <w:tc>
                <w:tcPr>
                  <w:tcW w:w="832" w:type="dxa"/>
                  <w:tcBorders>
                    <w:tl2br w:val="nil"/>
                    <w:tr2bl w:val="nil"/>
                  </w:tcBorders>
                  <w:shd w:val="clear" w:color="auto" w:fill="auto"/>
                  <w:vAlign w:val="center"/>
                </w:tcPr>
                <w:p w14:paraId="094FF21F">
                  <w:pPr>
                    <w:widowControl/>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en-US" w:eastAsia="zh-CN"/>
                    </w:rPr>
                    <w:t>1.075</w:t>
                  </w:r>
                </w:p>
              </w:tc>
              <w:tc>
                <w:tcPr>
                  <w:tcW w:w="1414" w:type="dxa"/>
                  <w:vMerge w:val="restart"/>
                  <w:tcBorders>
                    <w:tl2br w:val="nil"/>
                    <w:tr2bl w:val="nil"/>
                  </w:tcBorders>
                  <w:shd w:val="clear" w:color="auto" w:fill="auto"/>
                  <w:vAlign w:val="center"/>
                </w:tcPr>
                <w:p w14:paraId="0CE0072F">
                  <w:pPr>
                    <w:widowControl/>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en-US" w:eastAsia="zh-CN"/>
                    </w:rPr>
                    <w:t>全封闭厂房+高效除臭微生物全过程除臭，除臭效率90%</w:t>
                  </w:r>
                </w:p>
              </w:tc>
              <w:tc>
                <w:tcPr>
                  <w:tcW w:w="915" w:type="dxa"/>
                  <w:tcBorders>
                    <w:tl2br w:val="nil"/>
                    <w:tr2bl w:val="nil"/>
                  </w:tcBorders>
                  <w:shd w:val="clear" w:color="auto" w:fill="auto"/>
                  <w:vAlign w:val="center"/>
                </w:tcPr>
                <w:p w14:paraId="6ECD9572">
                  <w:pPr>
                    <w:widowControl/>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en-US" w:eastAsia="zh-CN"/>
                    </w:rPr>
                    <w:t>0.0123</w:t>
                  </w:r>
                </w:p>
              </w:tc>
              <w:tc>
                <w:tcPr>
                  <w:tcW w:w="762" w:type="dxa"/>
                  <w:tcBorders>
                    <w:tl2br w:val="nil"/>
                    <w:tr2bl w:val="nil"/>
                  </w:tcBorders>
                  <w:shd w:val="clear" w:color="auto" w:fill="auto"/>
                  <w:vAlign w:val="center"/>
                </w:tcPr>
                <w:p w14:paraId="0B04278D">
                  <w:pPr>
                    <w:widowControl/>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en-US" w:eastAsia="zh-CN"/>
                    </w:rPr>
                    <w:t>0.107</w:t>
                  </w:r>
                </w:p>
              </w:tc>
            </w:tr>
            <w:tr w14:paraId="43D8C0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61" w:type="dxa"/>
                  <w:vMerge w:val="continue"/>
                  <w:tcBorders>
                    <w:tl2br w:val="nil"/>
                    <w:tr2bl w:val="nil"/>
                  </w:tcBorders>
                  <w:shd w:val="clear" w:color="auto" w:fill="auto"/>
                  <w:vAlign w:val="center"/>
                </w:tcPr>
                <w:p w14:paraId="43A561FA">
                  <w:pPr>
                    <w:widowControl/>
                    <w:jc w:val="center"/>
                    <w:rPr>
                      <w:rFonts w:hint="default" w:ascii="Times New Roman" w:hAnsi="Times New Roman" w:eastAsia="宋体" w:cs="Times New Roman"/>
                      <w:bCs/>
                      <w:color w:val="auto"/>
                      <w:sz w:val="21"/>
                      <w:szCs w:val="21"/>
                    </w:rPr>
                  </w:pPr>
                </w:p>
              </w:tc>
              <w:tc>
                <w:tcPr>
                  <w:tcW w:w="581" w:type="dxa"/>
                  <w:vMerge w:val="continue"/>
                  <w:tcBorders>
                    <w:tl2br w:val="nil"/>
                    <w:tr2bl w:val="nil"/>
                  </w:tcBorders>
                  <w:shd w:val="clear" w:color="auto" w:fill="auto"/>
                  <w:vAlign w:val="center"/>
                </w:tcPr>
                <w:p w14:paraId="0C715B25">
                  <w:pPr>
                    <w:widowControl/>
                    <w:jc w:val="center"/>
                    <w:rPr>
                      <w:rFonts w:hint="default" w:ascii="Times New Roman" w:hAnsi="Times New Roman" w:eastAsia="宋体" w:cs="Times New Roman"/>
                      <w:bCs/>
                      <w:color w:val="auto"/>
                      <w:sz w:val="21"/>
                      <w:szCs w:val="21"/>
                    </w:rPr>
                  </w:pPr>
                </w:p>
              </w:tc>
              <w:tc>
                <w:tcPr>
                  <w:tcW w:w="639" w:type="dxa"/>
                  <w:tcBorders>
                    <w:tl2br w:val="nil"/>
                    <w:tr2bl w:val="nil"/>
                  </w:tcBorders>
                  <w:shd w:val="clear" w:color="auto" w:fill="auto"/>
                  <w:vAlign w:val="center"/>
                </w:tcPr>
                <w:p w14:paraId="07511A56">
                  <w:pPr>
                    <w:widowControl/>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vertAlign w:val="baseline"/>
                      <w:lang w:val="en-US" w:eastAsia="zh-CN"/>
                    </w:rPr>
                    <w:t>H</w:t>
                  </w:r>
                  <w:r>
                    <w:rPr>
                      <w:rFonts w:hint="default" w:ascii="Times New Roman" w:hAnsi="Times New Roman" w:eastAsia="宋体" w:cs="Times New Roman"/>
                      <w:bCs/>
                      <w:color w:val="auto"/>
                      <w:sz w:val="21"/>
                      <w:szCs w:val="21"/>
                      <w:vertAlign w:val="subscript"/>
                      <w:lang w:val="en-US" w:eastAsia="zh-CN"/>
                    </w:rPr>
                    <w:t>2</w:t>
                  </w:r>
                  <w:r>
                    <w:rPr>
                      <w:rFonts w:hint="default" w:ascii="Times New Roman" w:hAnsi="Times New Roman" w:eastAsia="宋体" w:cs="Times New Roman"/>
                      <w:bCs/>
                      <w:color w:val="auto"/>
                      <w:sz w:val="21"/>
                      <w:szCs w:val="21"/>
                      <w:lang w:val="en-US" w:eastAsia="zh-CN"/>
                    </w:rPr>
                    <w:t>S</w:t>
                  </w:r>
                </w:p>
              </w:tc>
              <w:tc>
                <w:tcPr>
                  <w:tcW w:w="1035" w:type="dxa"/>
                  <w:tcBorders>
                    <w:tl2br w:val="nil"/>
                    <w:tr2bl w:val="nil"/>
                  </w:tcBorders>
                  <w:shd w:val="clear" w:color="auto" w:fill="auto"/>
                  <w:noWrap/>
                  <w:vAlign w:val="center"/>
                </w:tcPr>
                <w:p w14:paraId="57356851">
                  <w:pPr>
                    <w:widowControl/>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en-US" w:eastAsia="zh-CN"/>
                    </w:rPr>
                    <w:t>0.00012</w:t>
                  </w:r>
                </w:p>
              </w:tc>
              <w:tc>
                <w:tcPr>
                  <w:tcW w:w="1007" w:type="dxa"/>
                  <w:tcBorders>
                    <w:tl2br w:val="nil"/>
                    <w:tr2bl w:val="nil"/>
                  </w:tcBorders>
                  <w:shd w:val="clear" w:color="auto" w:fill="auto"/>
                  <w:vAlign w:val="center"/>
                </w:tcPr>
                <w:p w14:paraId="1CAE8A06">
                  <w:pPr>
                    <w:widowControl/>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en-US" w:eastAsia="zh-CN"/>
                    </w:rPr>
                    <w:t>0.005</w:t>
                  </w:r>
                </w:p>
              </w:tc>
              <w:tc>
                <w:tcPr>
                  <w:tcW w:w="832" w:type="dxa"/>
                  <w:tcBorders>
                    <w:tl2br w:val="nil"/>
                    <w:tr2bl w:val="nil"/>
                  </w:tcBorders>
                  <w:shd w:val="clear" w:color="auto" w:fill="auto"/>
                  <w:vAlign w:val="center"/>
                </w:tcPr>
                <w:p w14:paraId="2FD7E610">
                  <w:pPr>
                    <w:widowControl/>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en-US" w:eastAsia="zh-CN"/>
                    </w:rPr>
                    <w:t>0.042</w:t>
                  </w:r>
                </w:p>
              </w:tc>
              <w:tc>
                <w:tcPr>
                  <w:tcW w:w="1414" w:type="dxa"/>
                  <w:vMerge w:val="continue"/>
                  <w:tcBorders>
                    <w:tl2br w:val="nil"/>
                    <w:tr2bl w:val="nil"/>
                  </w:tcBorders>
                  <w:shd w:val="clear" w:color="auto" w:fill="auto"/>
                  <w:vAlign w:val="center"/>
                </w:tcPr>
                <w:p w14:paraId="1EE6CF6B">
                  <w:pPr>
                    <w:widowControl/>
                    <w:jc w:val="center"/>
                    <w:rPr>
                      <w:rFonts w:hint="default" w:ascii="Times New Roman" w:hAnsi="Times New Roman" w:eastAsia="宋体" w:cs="Times New Roman"/>
                      <w:bCs/>
                      <w:color w:val="auto"/>
                      <w:sz w:val="21"/>
                      <w:szCs w:val="21"/>
                    </w:rPr>
                  </w:pPr>
                </w:p>
              </w:tc>
              <w:tc>
                <w:tcPr>
                  <w:tcW w:w="915" w:type="dxa"/>
                  <w:tcBorders>
                    <w:tl2br w:val="nil"/>
                    <w:tr2bl w:val="nil"/>
                  </w:tcBorders>
                  <w:shd w:val="clear" w:color="auto" w:fill="auto"/>
                  <w:vAlign w:val="center"/>
                </w:tcPr>
                <w:p w14:paraId="382FDF0A">
                  <w:pPr>
                    <w:widowControl/>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en-US" w:eastAsia="zh-CN"/>
                    </w:rPr>
                    <w:t>0.0005</w:t>
                  </w:r>
                </w:p>
              </w:tc>
              <w:tc>
                <w:tcPr>
                  <w:tcW w:w="762" w:type="dxa"/>
                  <w:tcBorders>
                    <w:tl2br w:val="nil"/>
                    <w:tr2bl w:val="nil"/>
                  </w:tcBorders>
                  <w:shd w:val="clear" w:color="auto" w:fill="auto"/>
                  <w:vAlign w:val="center"/>
                </w:tcPr>
                <w:p w14:paraId="63C80D79">
                  <w:pPr>
                    <w:widowControl/>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lang w:val="en-US" w:eastAsia="zh-CN"/>
                    </w:rPr>
                    <w:t>0.004</w:t>
                  </w:r>
                </w:p>
              </w:tc>
            </w:tr>
          </w:tbl>
          <w:p w14:paraId="2FD50699">
            <w:pPr>
              <w:spacing w:line="360" w:lineRule="auto"/>
              <w:rPr>
                <w:rFonts w:hint="default" w:ascii="Times New Roman" w:hAnsi="Times New Roman" w:eastAsia="宋体" w:cs="Times New Roman"/>
                <w:bCs/>
                <w:color w:val="auto"/>
                <w:sz w:val="24"/>
                <w:highlight w:val="none"/>
                <w:lang w:val="en-US" w:eastAsia="zh-CN"/>
              </w:rPr>
            </w:pPr>
          </w:p>
          <w:p w14:paraId="37F02BBA">
            <w:pPr>
              <w:adjustRightInd w:val="0"/>
              <w:snapToGrid w:val="0"/>
              <w:spacing w:line="360" w:lineRule="auto"/>
              <w:ind w:firstLine="482" w:firstLineChars="200"/>
              <w:rPr>
                <w:rFonts w:hint="default" w:ascii="Times New Roman" w:hAnsi="Times New Roman" w:eastAsia="宋体" w:cs="Times New Roman"/>
                <w:b/>
                <w:color w:val="auto"/>
                <w:kern w:val="21"/>
                <w:sz w:val="24"/>
                <w:highlight w:val="none"/>
              </w:rPr>
            </w:pPr>
            <w:r>
              <w:rPr>
                <w:rFonts w:hint="eastAsia" w:cs="Times New Roman"/>
                <w:b/>
                <w:color w:val="auto"/>
                <w:kern w:val="21"/>
                <w:sz w:val="24"/>
                <w:highlight w:val="none"/>
                <w:lang w:val="en-US" w:eastAsia="zh-CN"/>
              </w:rPr>
              <w:t>2</w:t>
            </w:r>
            <w:r>
              <w:rPr>
                <w:rFonts w:hint="default" w:ascii="Times New Roman" w:hAnsi="Times New Roman" w:eastAsia="宋体" w:cs="Times New Roman"/>
                <w:b/>
                <w:color w:val="auto"/>
                <w:kern w:val="21"/>
                <w:sz w:val="24"/>
                <w:highlight w:val="none"/>
              </w:rPr>
              <w:t>.</w:t>
            </w:r>
            <w:r>
              <w:rPr>
                <w:rFonts w:hint="default" w:ascii="Times New Roman" w:hAnsi="Times New Roman" w:eastAsia="宋体" w:cs="Times New Roman"/>
                <w:b/>
                <w:color w:val="auto"/>
                <w:kern w:val="21"/>
                <w:sz w:val="24"/>
                <w:highlight w:val="none"/>
                <w:lang w:val="en-US" w:eastAsia="zh-CN"/>
              </w:rPr>
              <w:t>3</w:t>
            </w:r>
            <w:r>
              <w:rPr>
                <w:rFonts w:hint="default" w:ascii="Times New Roman" w:hAnsi="Times New Roman" w:eastAsia="宋体" w:cs="Times New Roman"/>
                <w:b/>
                <w:color w:val="auto"/>
                <w:kern w:val="21"/>
                <w:sz w:val="24"/>
                <w:highlight w:val="none"/>
              </w:rPr>
              <w:t>废气达标排放分析</w:t>
            </w:r>
          </w:p>
          <w:p w14:paraId="652F36FE">
            <w:pPr>
              <w:pStyle w:val="8"/>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bCs/>
                <w:color w:val="auto"/>
                <w:kern w:val="21"/>
                <w:szCs w:val="24"/>
                <w:highlight w:val="none"/>
                <w:lang w:val="en-US" w:eastAsia="zh-CN"/>
              </w:rPr>
            </w:pPr>
            <w:r>
              <w:rPr>
                <w:rFonts w:hint="default" w:ascii="Times New Roman" w:hAnsi="Times New Roman" w:eastAsia="宋体" w:cs="Times New Roman"/>
                <w:bCs/>
                <w:color w:val="auto"/>
                <w:kern w:val="21"/>
                <w:szCs w:val="24"/>
                <w:highlight w:val="none"/>
              </w:rPr>
              <w:t>根据上述污染源分析，</w:t>
            </w:r>
            <w:r>
              <w:rPr>
                <w:rFonts w:hint="default" w:ascii="Times New Roman" w:hAnsi="Times New Roman" w:eastAsia="宋体" w:cs="Times New Roman"/>
                <w:bCs/>
                <w:color w:val="auto"/>
                <w:kern w:val="21"/>
                <w:szCs w:val="24"/>
                <w:highlight w:val="none"/>
                <w:lang w:val="en-US" w:eastAsia="zh-CN"/>
              </w:rPr>
              <w:t>本项目的大气污染物主要是恶臭气体中的N</w:t>
            </w:r>
            <w:r>
              <w:rPr>
                <w:rFonts w:hint="default" w:ascii="Times New Roman" w:hAnsi="Times New Roman" w:eastAsia="宋体" w:cs="Times New Roman"/>
                <w:bCs/>
                <w:color w:val="auto"/>
                <w:kern w:val="21"/>
                <w:szCs w:val="24"/>
                <w:highlight w:val="none"/>
                <w:vertAlign w:val="baseline"/>
                <w:lang w:val="en-US" w:eastAsia="zh-CN"/>
              </w:rPr>
              <w:t>H</w:t>
            </w:r>
            <w:r>
              <w:rPr>
                <w:rFonts w:hint="default" w:ascii="Times New Roman" w:hAnsi="Times New Roman" w:eastAsia="宋体" w:cs="Times New Roman"/>
                <w:bCs/>
                <w:color w:val="auto"/>
                <w:kern w:val="21"/>
                <w:szCs w:val="24"/>
                <w:highlight w:val="none"/>
                <w:vertAlign w:val="subscript"/>
                <w:lang w:val="en-US" w:eastAsia="zh-CN"/>
              </w:rPr>
              <w:t>3</w:t>
            </w:r>
            <w:r>
              <w:rPr>
                <w:rFonts w:hint="default" w:ascii="Times New Roman" w:hAnsi="Times New Roman" w:eastAsia="宋体" w:cs="Times New Roman"/>
                <w:bCs/>
                <w:color w:val="auto"/>
                <w:kern w:val="21"/>
                <w:szCs w:val="24"/>
                <w:highlight w:val="none"/>
                <w:lang w:val="en-US" w:eastAsia="zh-CN"/>
              </w:rPr>
              <w:t>、</w:t>
            </w:r>
            <w:r>
              <w:rPr>
                <w:rFonts w:hint="default" w:ascii="Times New Roman" w:hAnsi="Times New Roman" w:eastAsia="宋体" w:cs="Times New Roman"/>
                <w:bCs/>
                <w:color w:val="auto"/>
                <w:kern w:val="21"/>
                <w:szCs w:val="24"/>
                <w:highlight w:val="none"/>
                <w:vertAlign w:val="baseline"/>
                <w:lang w:val="en-US" w:eastAsia="zh-CN"/>
              </w:rPr>
              <w:t>H</w:t>
            </w:r>
            <w:r>
              <w:rPr>
                <w:rFonts w:hint="default" w:ascii="Times New Roman" w:hAnsi="Times New Roman" w:eastAsia="宋体" w:cs="Times New Roman"/>
                <w:bCs/>
                <w:color w:val="auto"/>
                <w:kern w:val="21"/>
                <w:szCs w:val="24"/>
                <w:highlight w:val="none"/>
                <w:vertAlign w:val="subscript"/>
                <w:lang w:val="en-US" w:eastAsia="zh-CN"/>
              </w:rPr>
              <w:t>2</w:t>
            </w:r>
            <w:r>
              <w:rPr>
                <w:rFonts w:hint="default" w:ascii="Times New Roman" w:hAnsi="Times New Roman" w:eastAsia="宋体" w:cs="Times New Roman"/>
                <w:bCs/>
                <w:color w:val="auto"/>
                <w:kern w:val="21"/>
                <w:szCs w:val="24"/>
                <w:highlight w:val="none"/>
                <w:lang w:val="en-US" w:eastAsia="zh-CN"/>
              </w:rPr>
              <w:t>S</w:t>
            </w:r>
            <w:r>
              <w:rPr>
                <w:rFonts w:hint="default" w:ascii="Times New Roman" w:hAnsi="Times New Roman" w:eastAsia="宋体" w:cs="Times New Roman"/>
                <w:bCs/>
                <w:color w:val="auto"/>
                <w:kern w:val="21"/>
                <w:szCs w:val="24"/>
                <w:highlight w:val="none"/>
              </w:rPr>
              <w:t>。</w:t>
            </w:r>
            <w:r>
              <w:rPr>
                <w:rFonts w:hint="default" w:ascii="Times New Roman" w:hAnsi="Times New Roman" w:eastAsia="宋体" w:cs="Times New Roman"/>
                <w:bCs/>
                <w:color w:val="auto"/>
                <w:kern w:val="21"/>
                <w:szCs w:val="24"/>
                <w:highlight w:val="none"/>
                <w:lang w:val="en-US" w:eastAsia="zh-CN"/>
              </w:rPr>
              <w:t>落实高效除臭微生物全过程除臭措施后，无组织排放的废气量较小，厂界恶臭污染物N</w:t>
            </w:r>
            <w:r>
              <w:rPr>
                <w:rFonts w:hint="default" w:ascii="Times New Roman" w:hAnsi="Times New Roman" w:eastAsia="宋体" w:cs="Times New Roman"/>
                <w:bCs/>
                <w:color w:val="auto"/>
                <w:kern w:val="21"/>
                <w:szCs w:val="24"/>
                <w:highlight w:val="none"/>
                <w:vertAlign w:val="baseline"/>
                <w:lang w:val="en-US" w:eastAsia="zh-CN"/>
              </w:rPr>
              <w:t>H</w:t>
            </w:r>
            <w:r>
              <w:rPr>
                <w:rFonts w:hint="default" w:ascii="Times New Roman" w:hAnsi="Times New Roman" w:eastAsia="宋体" w:cs="Times New Roman"/>
                <w:bCs/>
                <w:color w:val="auto"/>
                <w:kern w:val="21"/>
                <w:szCs w:val="24"/>
                <w:highlight w:val="none"/>
                <w:vertAlign w:val="subscript"/>
                <w:lang w:val="en-US" w:eastAsia="zh-CN"/>
              </w:rPr>
              <w:t>3</w:t>
            </w:r>
            <w:r>
              <w:rPr>
                <w:rFonts w:hint="default" w:ascii="Times New Roman" w:hAnsi="Times New Roman" w:eastAsia="宋体" w:cs="Times New Roman"/>
                <w:bCs/>
                <w:color w:val="auto"/>
                <w:kern w:val="21"/>
                <w:szCs w:val="24"/>
                <w:highlight w:val="none"/>
                <w:lang w:val="en-US" w:eastAsia="zh-CN"/>
              </w:rPr>
              <w:t>、</w:t>
            </w:r>
            <w:r>
              <w:rPr>
                <w:rFonts w:hint="default" w:ascii="Times New Roman" w:hAnsi="Times New Roman" w:eastAsia="宋体" w:cs="Times New Roman"/>
                <w:bCs/>
                <w:color w:val="auto"/>
                <w:kern w:val="21"/>
                <w:szCs w:val="24"/>
                <w:highlight w:val="none"/>
                <w:vertAlign w:val="baseline"/>
                <w:lang w:val="en-US" w:eastAsia="zh-CN"/>
              </w:rPr>
              <w:t>H</w:t>
            </w:r>
            <w:r>
              <w:rPr>
                <w:rFonts w:hint="default" w:ascii="Times New Roman" w:hAnsi="Times New Roman" w:eastAsia="宋体" w:cs="Times New Roman"/>
                <w:bCs/>
                <w:color w:val="auto"/>
                <w:kern w:val="21"/>
                <w:szCs w:val="24"/>
                <w:highlight w:val="none"/>
                <w:vertAlign w:val="subscript"/>
                <w:lang w:val="en-US" w:eastAsia="zh-CN"/>
              </w:rPr>
              <w:t>2</w:t>
            </w:r>
            <w:r>
              <w:rPr>
                <w:rFonts w:hint="default" w:ascii="Times New Roman" w:hAnsi="Times New Roman" w:eastAsia="宋体" w:cs="Times New Roman"/>
                <w:bCs/>
                <w:color w:val="auto"/>
                <w:kern w:val="21"/>
                <w:szCs w:val="24"/>
                <w:highlight w:val="none"/>
                <w:lang w:val="en-US" w:eastAsia="zh-CN"/>
              </w:rPr>
              <w:t>S浓度均能达到《城镇污水处理厂污染物排放标准》（GB18918-2002）及其修改单表4中二级标准（N</w:t>
            </w:r>
            <w:r>
              <w:rPr>
                <w:rFonts w:hint="default" w:ascii="Times New Roman" w:hAnsi="Times New Roman" w:eastAsia="宋体" w:cs="Times New Roman"/>
                <w:bCs/>
                <w:color w:val="auto"/>
                <w:kern w:val="21"/>
                <w:szCs w:val="24"/>
                <w:highlight w:val="none"/>
                <w:vertAlign w:val="baseline"/>
                <w:lang w:val="en-US" w:eastAsia="zh-CN"/>
              </w:rPr>
              <w:t>H</w:t>
            </w:r>
            <w:r>
              <w:rPr>
                <w:rFonts w:hint="default" w:ascii="Times New Roman" w:hAnsi="Times New Roman" w:eastAsia="宋体" w:cs="Times New Roman"/>
                <w:bCs/>
                <w:color w:val="auto"/>
                <w:kern w:val="21"/>
                <w:szCs w:val="24"/>
                <w:highlight w:val="none"/>
                <w:vertAlign w:val="subscript"/>
                <w:lang w:val="en-US" w:eastAsia="zh-CN"/>
              </w:rPr>
              <w:t>3</w:t>
            </w:r>
            <w:r>
              <w:rPr>
                <w:rFonts w:hint="default" w:ascii="Times New Roman" w:hAnsi="Times New Roman" w:eastAsia="宋体" w:cs="Times New Roman"/>
                <w:bCs/>
                <w:color w:val="auto"/>
                <w:kern w:val="21"/>
                <w:szCs w:val="24"/>
                <w:highlight w:val="none"/>
                <w:lang w:val="en-US" w:eastAsia="zh-CN"/>
              </w:rPr>
              <w:t>：1.5</w:t>
            </w:r>
            <w:r>
              <w:rPr>
                <w:rFonts w:hint="eastAsia" w:ascii="Times New Roman" w:hAnsi="Times New Roman" w:cs="Times New Roman"/>
                <w:bCs/>
                <w:color w:val="auto"/>
                <w:kern w:val="21"/>
                <w:szCs w:val="24"/>
                <w:highlight w:val="none"/>
                <w:lang w:val="en-US" w:eastAsia="zh-CN"/>
              </w:rPr>
              <w:t>m</w:t>
            </w:r>
            <w:r>
              <w:rPr>
                <w:rFonts w:hint="default" w:ascii="Times New Roman" w:hAnsi="Times New Roman" w:eastAsia="宋体" w:cs="Times New Roman"/>
                <w:bCs/>
                <w:color w:val="auto"/>
                <w:kern w:val="21"/>
                <w:szCs w:val="24"/>
                <w:highlight w:val="none"/>
                <w:lang w:val="en-US" w:eastAsia="zh-CN"/>
              </w:rPr>
              <w:t>g/</w:t>
            </w:r>
            <w:r>
              <w:rPr>
                <w:rFonts w:hint="eastAsia" w:ascii="Times New Roman" w:hAnsi="Times New Roman" w:cs="Times New Roman"/>
                <w:bCs/>
                <w:color w:val="auto"/>
                <w:kern w:val="21"/>
                <w:szCs w:val="24"/>
                <w:highlight w:val="none"/>
                <w:vertAlign w:val="baseline"/>
                <w:lang w:val="en-US" w:eastAsia="zh-CN"/>
              </w:rPr>
              <w:t>m</w:t>
            </w:r>
            <w:r>
              <w:rPr>
                <w:rFonts w:hint="eastAsia" w:ascii="Times New Roman" w:hAnsi="Times New Roman" w:cs="Times New Roman"/>
                <w:bCs/>
                <w:color w:val="auto"/>
                <w:kern w:val="21"/>
                <w:szCs w:val="24"/>
                <w:highlight w:val="none"/>
                <w:vertAlign w:val="superscript"/>
                <w:lang w:val="en-US" w:eastAsia="zh-CN"/>
              </w:rPr>
              <w:t>3</w:t>
            </w:r>
            <w:r>
              <w:rPr>
                <w:rFonts w:hint="default" w:ascii="Times New Roman" w:hAnsi="Times New Roman" w:eastAsia="宋体" w:cs="Times New Roman"/>
                <w:bCs/>
                <w:color w:val="auto"/>
                <w:kern w:val="21"/>
                <w:szCs w:val="24"/>
                <w:highlight w:val="none"/>
                <w:lang w:val="en-US" w:eastAsia="zh-CN"/>
              </w:rPr>
              <w:t>，</w:t>
            </w:r>
            <w:r>
              <w:rPr>
                <w:rFonts w:hint="default" w:ascii="Times New Roman" w:hAnsi="Times New Roman" w:eastAsia="宋体" w:cs="Times New Roman"/>
                <w:bCs/>
                <w:color w:val="auto"/>
                <w:kern w:val="21"/>
                <w:szCs w:val="24"/>
                <w:highlight w:val="none"/>
                <w:vertAlign w:val="baseline"/>
                <w:lang w:val="en-US" w:eastAsia="zh-CN"/>
              </w:rPr>
              <w:t>H</w:t>
            </w:r>
            <w:r>
              <w:rPr>
                <w:rFonts w:hint="default" w:ascii="Times New Roman" w:hAnsi="Times New Roman" w:eastAsia="宋体" w:cs="Times New Roman"/>
                <w:bCs/>
                <w:color w:val="auto"/>
                <w:kern w:val="21"/>
                <w:szCs w:val="24"/>
                <w:highlight w:val="none"/>
                <w:vertAlign w:val="subscript"/>
                <w:lang w:val="en-US" w:eastAsia="zh-CN"/>
              </w:rPr>
              <w:t>2</w:t>
            </w:r>
            <w:r>
              <w:rPr>
                <w:rFonts w:hint="default" w:ascii="Times New Roman" w:hAnsi="Times New Roman" w:eastAsia="宋体" w:cs="Times New Roman"/>
                <w:bCs/>
                <w:color w:val="auto"/>
                <w:kern w:val="21"/>
                <w:szCs w:val="24"/>
                <w:highlight w:val="none"/>
                <w:lang w:val="en-US" w:eastAsia="zh-CN"/>
              </w:rPr>
              <w:t>S：0.06</w:t>
            </w:r>
            <w:r>
              <w:rPr>
                <w:rFonts w:hint="eastAsia" w:ascii="Times New Roman" w:hAnsi="Times New Roman" w:cs="Times New Roman"/>
                <w:bCs/>
                <w:color w:val="auto"/>
                <w:kern w:val="21"/>
                <w:szCs w:val="24"/>
                <w:highlight w:val="none"/>
                <w:lang w:val="en-US" w:eastAsia="zh-CN"/>
              </w:rPr>
              <w:t>m</w:t>
            </w:r>
            <w:r>
              <w:rPr>
                <w:rFonts w:hint="default" w:ascii="Times New Roman" w:hAnsi="Times New Roman" w:eastAsia="宋体" w:cs="Times New Roman"/>
                <w:bCs/>
                <w:color w:val="auto"/>
                <w:kern w:val="21"/>
                <w:szCs w:val="24"/>
                <w:highlight w:val="none"/>
                <w:lang w:val="en-US" w:eastAsia="zh-CN"/>
              </w:rPr>
              <w:t>g/</w:t>
            </w:r>
            <w:r>
              <w:rPr>
                <w:rFonts w:hint="eastAsia" w:ascii="Times New Roman" w:hAnsi="Times New Roman" w:cs="Times New Roman"/>
                <w:bCs/>
                <w:color w:val="auto"/>
                <w:kern w:val="21"/>
                <w:szCs w:val="24"/>
                <w:highlight w:val="none"/>
                <w:vertAlign w:val="baseline"/>
                <w:lang w:val="en-US" w:eastAsia="zh-CN"/>
              </w:rPr>
              <w:t>m</w:t>
            </w:r>
            <w:r>
              <w:rPr>
                <w:rFonts w:hint="eastAsia" w:ascii="Times New Roman" w:hAnsi="Times New Roman" w:cs="Times New Roman"/>
                <w:bCs/>
                <w:color w:val="auto"/>
                <w:kern w:val="21"/>
                <w:szCs w:val="24"/>
                <w:highlight w:val="none"/>
                <w:vertAlign w:val="superscript"/>
                <w:lang w:val="en-US" w:eastAsia="zh-CN"/>
              </w:rPr>
              <w:t>3</w:t>
            </w:r>
            <w:r>
              <w:rPr>
                <w:rFonts w:hint="default" w:ascii="Times New Roman" w:hAnsi="Times New Roman" w:eastAsia="宋体" w:cs="Times New Roman"/>
                <w:bCs/>
                <w:color w:val="auto"/>
                <w:kern w:val="21"/>
                <w:szCs w:val="24"/>
                <w:highlight w:val="none"/>
                <w:lang w:val="en-US" w:eastAsia="zh-CN"/>
              </w:rPr>
              <w:t>）。</w:t>
            </w:r>
          </w:p>
          <w:p w14:paraId="0F675764">
            <w:pPr>
              <w:pStyle w:val="8"/>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bCs/>
                <w:color w:val="auto"/>
                <w:kern w:val="21"/>
                <w:szCs w:val="24"/>
                <w:highlight w:val="none"/>
                <w:lang w:val="en-US" w:eastAsia="zh-CN"/>
              </w:rPr>
            </w:pPr>
            <w:r>
              <w:rPr>
                <w:rFonts w:hint="default" w:ascii="Times New Roman" w:hAnsi="Times New Roman" w:eastAsia="宋体" w:cs="Times New Roman"/>
                <w:bCs/>
                <w:color w:val="auto"/>
                <w:kern w:val="21"/>
                <w:szCs w:val="24"/>
                <w:highlight w:val="none"/>
                <w:lang w:val="en-US" w:eastAsia="zh-CN"/>
              </w:rPr>
              <w:t>因此，为了保证本项目在该地区的可持续发展，项目在营运过程中必须加强管理，避免事故发生；在落实本评价提出的各项治污措施，并实现达标排放的前提下，本项目的建设对评价区域及周边的环境敏感点环境空气的影响不明显，对周边大气环境的影响可以接受。</w:t>
            </w:r>
          </w:p>
          <w:p w14:paraId="455F7E0D">
            <w:pPr>
              <w:spacing w:line="360" w:lineRule="auto"/>
              <w:ind w:firstLine="482" w:firstLineChars="200"/>
              <w:rPr>
                <w:rFonts w:hint="default" w:ascii="Times New Roman" w:hAnsi="Times New Roman" w:eastAsia="宋体" w:cs="Times New Roman"/>
                <w:b/>
                <w:bCs/>
                <w:color w:val="auto"/>
                <w:kern w:val="0"/>
                <w:sz w:val="24"/>
                <w:szCs w:val="20"/>
                <w:highlight w:val="none"/>
              </w:rPr>
            </w:pPr>
            <w:r>
              <w:rPr>
                <w:rFonts w:hint="eastAsia" w:cs="Times New Roman"/>
                <w:b/>
                <w:bCs/>
                <w:color w:val="auto"/>
                <w:kern w:val="0"/>
                <w:sz w:val="24"/>
                <w:szCs w:val="20"/>
                <w:highlight w:val="none"/>
                <w:lang w:val="en-US" w:eastAsia="zh-CN"/>
              </w:rPr>
              <w:t>2</w:t>
            </w:r>
            <w:r>
              <w:rPr>
                <w:rFonts w:hint="default" w:ascii="Times New Roman" w:hAnsi="Times New Roman" w:eastAsia="宋体" w:cs="Times New Roman"/>
                <w:b/>
                <w:bCs/>
                <w:color w:val="auto"/>
                <w:kern w:val="0"/>
                <w:sz w:val="24"/>
                <w:szCs w:val="20"/>
                <w:highlight w:val="none"/>
              </w:rPr>
              <w:t>.</w:t>
            </w:r>
            <w:r>
              <w:rPr>
                <w:rFonts w:hint="default" w:ascii="Times New Roman" w:hAnsi="Times New Roman" w:eastAsia="宋体" w:cs="Times New Roman"/>
                <w:b/>
                <w:bCs/>
                <w:color w:val="auto"/>
                <w:kern w:val="0"/>
                <w:sz w:val="24"/>
                <w:szCs w:val="20"/>
                <w:highlight w:val="none"/>
                <w:lang w:val="en-US" w:eastAsia="zh-CN"/>
              </w:rPr>
              <w:t>4</w:t>
            </w:r>
            <w:r>
              <w:rPr>
                <w:rFonts w:hint="default" w:ascii="Times New Roman" w:hAnsi="Times New Roman" w:eastAsia="宋体" w:cs="Times New Roman"/>
                <w:b/>
                <w:bCs/>
                <w:color w:val="auto"/>
                <w:kern w:val="0"/>
                <w:sz w:val="24"/>
                <w:szCs w:val="20"/>
                <w:highlight w:val="none"/>
              </w:rPr>
              <w:t>监测计划</w:t>
            </w:r>
          </w:p>
          <w:p w14:paraId="5C72AC85">
            <w:pPr>
              <w:spacing w:line="360" w:lineRule="auto"/>
              <w:ind w:firstLine="480" w:firstLineChars="200"/>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根据《排污单位自行监测技术指南 总纲》（</w:t>
            </w:r>
            <w:r>
              <w:rPr>
                <w:rFonts w:hint="default" w:ascii="Times New Roman" w:hAnsi="Times New Roman" w:eastAsia="宋体" w:cs="Times New Roman"/>
                <w:color w:val="auto"/>
                <w:kern w:val="0"/>
                <w:sz w:val="24"/>
                <w:szCs w:val="20"/>
                <w:highlight w:val="none"/>
                <w:lang w:eastAsia="zh-CN"/>
              </w:rPr>
              <w:t>H</w:t>
            </w:r>
            <w:r>
              <w:rPr>
                <w:rFonts w:hint="default" w:ascii="Times New Roman" w:hAnsi="Times New Roman" w:eastAsia="宋体" w:cs="Times New Roman"/>
                <w:color w:val="auto"/>
                <w:kern w:val="0"/>
                <w:sz w:val="24"/>
                <w:szCs w:val="20"/>
                <w:highlight w:val="none"/>
              </w:rPr>
              <w:t>J819-2017）</w:t>
            </w:r>
            <w:r>
              <w:rPr>
                <w:rFonts w:hint="default" w:ascii="Times New Roman" w:hAnsi="Times New Roman" w:eastAsia="宋体" w:cs="Times New Roman"/>
                <w:color w:val="auto"/>
                <w:kern w:val="0"/>
                <w:sz w:val="24"/>
                <w:szCs w:val="20"/>
                <w:highlight w:val="none"/>
                <w:lang w:eastAsia="zh-CN"/>
              </w:rPr>
              <w:t>、《</w:t>
            </w:r>
            <w:r>
              <w:rPr>
                <w:rFonts w:hint="default" w:ascii="Times New Roman" w:hAnsi="Times New Roman" w:eastAsia="宋体" w:cs="Times New Roman"/>
                <w:color w:val="auto"/>
                <w:kern w:val="0"/>
                <w:sz w:val="24"/>
                <w:szCs w:val="20"/>
                <w:highlight w:val="none"/>
                <w:lang w:val="en-US" w:eastAsia="zh-CN"/>
              </w:rPr>
              <w:t>排污单位自行监测技术指南 水处理</w:t>
            </w:r>
            <w:r>
              <w:rPr>
                <w:rFonts w:hint="default" w:ascii="Times New Roman" w:hAnsi="Times New Roman" w:eastAsia="宋体" w:cs="Times New Roman"/>
                <w:color w:val="auto"/>
                <w:kern w:val="0"/>
                <w:sz w:val="24"/>
                <w:szCs w:val="20"/>
                <w:highlight w:val="none"/>
                <w:lang w:eastAsia="zh-CN"/>
              </w:rPr>
              <w:t>》（</w:t>
            </w:r>
            <w:r>
              <w:rPr>
                <w:rFonts w:hint="default" w:ascii="Times New Roman" w:hAnsi="Times New Roman" w:eastAsia="宋体" w:cs="Times New Roman"/>
                <w:color w:val="auto"/>
                <w:kern w:val="0"/>
                <w:sz w:val="24"/>
                <w:szCs w:val="20"/>
                <w:highlight w:val="none"/>
                <w:lang w:val="en-US" w:eastAsia="zh-CN"/>
              </w:rPr>
              <w:t>HJ 1083-2020</w:t>
            </w:r>
            <w:r>
              <w:rPr>
                <w:rFonts w:hint="default" w:ascii="Times New Roman" w:hAnsi="Times New Roman" w:eastAsia="宋体" w:cs="Times New Roman"/>
                <w:color w:val="auto"/>
                <w:kern w:val="0"/>
                <w:sz w:val="24"/>
                <w:szCs w:val="20"/>
                <w:highlight w:val="none"/>
                <w:lang w:eastAsia="zh-CN"/>
              </w:rPr>
              <w:t>）</w:t>
            </w:r>
            <w:r>
              <w:rPr>
                <w:rFonts w:hint="default" w:ascii="Times New Roman" w:hAnsi="Times New Roman" w:eastAsia="宋体" w:cs="Times New Roman"/>
                <w:color w:val="auto"/>
                <w:kern w:val="0"/>
                <w:sz w:val="24"/>
                <w:szCs w:val="20"/>
                <w:highlight w:val="none"/>
              </w:rPr>
              <w:t>，本项目大气监测</w:t>
            </w:r>
            <w:r>
              <w:rPr>
                <w:rFonts w:hint="default" w:ascii="Times New Roman" w:hAnsi="Times New Roman" w:eastAsia="宋体" w:cs="Times New Roman"/>
                <w:color w:val="auto"/>
                <w:kern w:val="0"/>
                <w:sz w:val="24"/>
                <w:szCs w:val="20"/>
                <w:highlight w:val="none"/>
                <w:lang w:eastAsia="zh-CN"/>
              </w:rPr>
              <w:t>纳入锡尼镇污水处理厂厂区监测计划并综合考虑，</w:t>
            </w:r>
            <w:r>
              <w:rPr>
                <w:rFonts w:hint="default" w:ascii="Times New Roman" w:hAnsi="Times New Roman" w:eastAsia="宋体" w:cs="Times New Roman"/>
                <w:color w:val="auto"/>
                <w:kern w:val="0"/>
                <w:sz w:val="24"/>
                <w:szCs w:val="20"/>
                <w:highlight w:val="none"/>
              </w:rPr>
              <w:t>监测点位、监测因子和频次见表4-</w:t>
            </w:r>
            <w:r>
              <w:rPr>
                <w:rFonts w:hint="eastAsia" w:cs="Times New Roman"/>
                <w:color w:val="auto"/>
                <w:kern w:val="0"/>
                <w:sz w:val="24"/>
                <w:szCs w:val="20"/>
                <w:highlight w:val="none"/>
                <w:lang w:val="en-US" w:eastAsia="zh-CN"/>
              </w:rPr>
              <w:t>6</w:t>
            </w:r>
            <w:r>
              <w:rPr>
                <w:rFonts w:hint="default" w:ascii="Times New Roman" w:hAnsi="Times New Roman" w:eastAsia="宋体" w:cs="Times New Roman"/>
                <w:color w:val="auto"/>
                <w:kern w:val="0"/>
                <w:sz w:val="24"/>
                <w:szCs w:val="20"/>
                <w:highlight w:val="none"/>
              </w:rPr>
              <w:t>。</w:t>
            </w:r>
          </w:p>
          <w:p w14:paraId="1E7150E1">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表4-</w:t>
            </w:r>
            <w:r>
              <w:rPr>
                <w:rFonts w:hint="eastAsia" w:cs="Times New Roman"/>
                <w:b/>
                <w:bCs/>
                <w:color w:val="auto"/>
                <w:sz w:val="24"/>
                <w:highlight w:val="none"/>
                <w:lang w:val="en-US" w:eastAsia="zh-CN"/>
              </w:rPr>
              <w:t>6</w:t>
            </w:r>
            <w:r>
              <w:rPr>
                <w:rFonts w:hint="default" w:ascii="Times New Roman" w:hAnsi="Times New Roman" w:eastAsia="宋体" w:cs="Times New Roman"/>
                <w:b/>
                <w:bCs/>
                <w:color w:val="auto"/>
                <w:sz w:val="24"/>
                <w:highlight w:val="none"/>
              </w:rPr>
              <w:t xml:space="preserve"> 大气环境监测内容一览表</w:t>
            </w:r>
          </w:p>
          <w:tbl>
            <w:tblPr>
              <w:tblStyle w:val="10"/>
              <w:tblW w:w="4899" w:type="pct"/>
              <w:jc w:val="center"/>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
            <w:tblGrid>
              <w:gridCol w:w="940"/>
              <w:gridCol w:w="1114"/>
              <w:gridCol w:w="1833"/>
              <w:gridCol w:w="1347"/>
              <w:gridCol w:w="2718"/>
            </w:tblGrid>
            <w:tr w14:paraId="05A79D81">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513" w:hRule="atLeast"/>
                <w:jc w:val="center"/>
              </w:trPr>
              <w:tc>
                <w:tcPr>
                  <w:tcW w:w="591" w:type="pct"/>
                  <w:vAlign w:val="center"/>
                </w:tcPr>
                <w:p w14:paraId="21304A9C">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类别</w:t>
                  </w:r>
                </w:p>
              </w:tc>
              <w:tc>
                <w:tcPr>
                  <w:tcW w:w="700" w:type="pct"/>
                  <w:vAlign w:val="center"/>
                </w:tcPr>
                <w:p w14:paraId="3121B70C">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监测项目</w:t>
                  </w:r>
                </w:p>
              </w:tc>
              <w:tc>
                <w:tcPr>
                  <w:tcW w:w="1152" w:type="pct"/>
                  <w:vAlign w:val="center"/>
                </w:tcPr>
                <w:p w14:paraId="3F042096">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监测位置</w:t>
                  </w:r>
                </w:p>
              </w:tc>
              <w:tc>
                <w:tcPr>
                  <w:tcW w:w="846" w:type="pct"/>
                  <w:vAlign w:val="center"/>
                </w:tcPr>
                <w:p w14:paraId="6DA038F7">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监测频次</w:t>
                  </w:r>
                </w:p>
              </w:tc>
              <w:tc>
                <w:tcPr>
                  <w:tcW w:w="1709" w:type="pct"/>
                  <w:vAlign w:val="center"/>
                </w:tcPr>
                <w:p w14:paraId="0F809F4E">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控制指标</w:t>
                  </w:r>
                </w:p>
              </w:tc>
            </w:tr>
            <w:tr w14:paraId="7EDEB072">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591" w:type="pct"/>
                  <w:vMerge w:val="restart"/>
                  <w:vAlign w:val="center"/>
                </w:tcPr>
                <w:p w14:paraId="2E65B97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无组织废气</w:t>
                  </w:r>
                </w:p>
              </w:tc>
              <w:tc>
                <w:tcPr>
                  <w:tcW w:w="700" w:type="pct"/>
                  <w:vAlign w:val="center"/>
                </w:tcPr>
                <w:p w14:paraId="763085ED">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H</w:t>
                  </w:r>
                  <w:r>
                    <w:rPr>
                      <w:rFonts w:hint="default" w:ascii="Times New Roman" w:hAnsi="Times New Roman" w:cs="Times New Roman"/>
                      <w:color w:val="auto"/>
                      <w:sz w:val="21"/>
                      <w:szCs w:val="21"/>
                      <w:vertAlign w:val="subscript"/>
                      <w:lang w:val="en-US" w:eastAsia="zh-CN"/>
                    </w:rPr>
                    <w:t>2</w:t>
                  </w:r>
                  <w:r>
                    <w:rPr>
                      <w:rFonts w:hint="default" w:ascii="Times New Roman" w:hAnsi="Times New Roman" w:cs="Times New Roman"/>
                      <w:color w:val="auto"/>
                      <w:sz w:val="21"/>
                      <w:szCs w:val="21"/>
                      <w:lang w:val="en-US" w:eastAsia="zh-CN"/>
                    </w:rPr>
                    <w:t>S、NH</w:t>
                  </w:r>
                  <w:r>
                    <w:rPr>
                      <w:rFonts w:hint="default" w:ascii="Times New Roman" w:hAnsi="Times New Roman" w:cs="Times New Roman"/>
                      <w:color w:val="auto"/>
                      <w:sz w:val="21"/>
                      <w:szCs w:val="21"/>
                      <w:vertAlign w:val="subscript"/>
                      <w:lang w:val="en-US" w:eastAsia="zh-CN"/>
                    </w:rPr>
                    <w:t>3</w:t>
                  </w:r>
                  <w:r>
                    <w:rPr>
                      <w:rFonts w:hint="default" w:ascii="Times New Roman" w:hAnsi="Times New Roman" w:cs="Times New Roman"/>
                      <w:color w:val="auto"/>
                      <w:sz w:val="21"/>
                      <w:szCs w:val="21"/>
                      <w:lang w:val="en-US" w:eastAsia="zh-CN"/>
                    </w:rPr>
                    <w:t>、臭气浓度</w:t>
                  </w:r>
                </w:p>
              </w:tc>
              <w:tc>
                <w:tcPr>
                  <w:tcW w:w="1152" w:type="pct"/>
                  <w:vAlign w:val="center"/>
                </w:tcPr>
                <w:p w14:paraId="692BD676">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厂</w:t>
                  </w:r>
                  <w:r>
                    <w:rPr>
                      <w:rFonts w:hint="default" w:ascii="Times New Roman" w:hAnsi="Times New Roman" w:cs="Times New Roman"/>
                      <w:color w:val="auto"/>
                      <w:sz w:val="21"/>
                      <w:szCs w:val="21"/>
                    </w:rPr>
                    <w:t>界</w:t>
                  </w:r>
                </w:p>
              </w:tc>
              <w:tc>
                <w:tcPr>
                  <w:tcW w:w="846" w:type="pct"/>
                  <w:vAlign w:val="center"/>
                </w:tcPr>
                <w:p w14:paraId="27EED3A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1次/半年</w:t>
                  </w:r>
                </w:p>
              </w:tc>
              <w:tc>
                <w:tcPr>
                  <w:tcW w:w="1709" w:type="pct"/>
                  <w:vMerge w:val="restart"/>
                  <w:vAlign w:val="center"/>
                </w:tcPr>
                <w:p w14:paraId="351D54A6">
                  <w:pPr>
                    <w:pStyle w:val="15"/>
                    <w:bidi w:val="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《城镇污水处理厂污染物排放标准》（GB18918-2002）及其修改单表4中二级标准</w:t>
                  </w:r>
                </w:p>
              </w:tc>
            </w:tr>
            <w:tr w14:paraId="1990B715">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591" w:type="pct"/>
                  <w:vMerge w:val="continue"/>
                  <w:vAlign w:val="center"/>
                </w:tcPr>
                <w:p w14:paraId="0600F2C6">
                  <w:pPr>
                    <w:pStyle w:val="15"/>
                    <w:bidi w:val="0"/>
                    <w:rPr>
                      <w:rFonts w:hint="default" w:ascii="Times New Roman" w:hAnsi="Times New Roman" w:cs="Times New Roman"/>
                      <w:color w:val="auto"/>
                      <w:sz w:val="21"/>
                      <w:szCs w:val="21"/>
                    </w:rPr>
                  </w:pPr>
                </w:p>
              </w:tc>
              <w:tc>
                <w:tcPr>
                  <w:tcW w:w="700" w:type="pct"/>
                  <w:vAlign w:val="center"/>
                </w:tcPr>
                <w:p w14:paraId="23C3F5A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甲烷</w:t>
                  </w:r>
                </w:p>
              </w:tc>
              <w:tc>
                <w:tcPr>
                  <w:tcW w:w="1152" w:type="pct"/>
                  <w:vAlign w:val="center"/>
                </w:tcPr>
                <w:p w14:paraId="41C5CE61">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厂区甲烷体积浓度最高处</w:t>
                  </w:r>
                </w:p>
              </w:tc>
              <w:tc>
                <w:tcPr>
                  <w:tcW w:w="846" w:type="pct"/>
                  <w:vAlign w:val="center"/>
                </w:tcPr>
                <w:p w14:paraId="73DF6D5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1次/年</w:t>
                  </w:r>
                </w:p>
              </w:tc>
              <w:tc>
                <w:tcPr>
                  <w:tcW w:w="1709" w:type="pct"/>
                  <w:vMerge w:val="continue"/>
                  <w:vAlign w:val="center"/>
                </w:tcPr>
                <w:p w14:paraId="48FD076C">
                  <w:pPr>
                    <w:pStyle w:val="15"/>
                    <w:bidi w:val="0"/>
                    <w:rPr>
                      <w:rFonts w:hint="default" w:ascii="Times New Roman" w:hAnsi="Times New Roman" w:cs="Times New Roman"/>
                      <w:color w:val="auto"/>
                      <w:sz w:val="21"/>
                      <w:szCs w:val="21"/>
                      <w:lang w:eastAsia="zh-CN"/>
                    </w:rPr>
                  </w:pPr>
                </w:p>
              </w:tc>
            </w:tr>
          </w:tbl>
          <w:p w14:paraId="46A6EC91">
            <w:pPr>
              <w:adjustRightInd w:val="0"/>
              <w:snapToGrid w:val="0"/>
              <w:spacing w:line="360" w:lineRule="auto"/>
              <w:ind w:firstLine="482" w:firstLineChars="200"/>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3.噪声</w:t>
            </w:r>
          </w:p>
          <w:p w14:paraId="0CCE497A">
            <w:pPr>
              <w:adjustRightInd w:val="0"/>
              <w:snapToGrid w:val="0"/>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3.1噪声源强及治理措施</w:t>
            </w:r>
          </w:p>
          <w:p w14:paraId="60E575C8">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bCs/>
                <w:color w:val="auto"/>
                <w:sz w:val="24"/>
                <w:highlight w:val="none"/>
              </w:rPr>
              <w:t>项目噪声主要来源于</w:t>
            </w:r>
            <w:r>
              <w:rPr>
                <w:rFonts w:hint="default" w:ascii="Times New Roman" w:hAnsi="Times New Roman" w:eastAsia="宋体" w:cs="Times New Roman"/>
                <w:bCs/>
                <w:color w:val="auto"/>
                <w:sz w:val="24"/>
                <w:highlight w:val="none"/>
                <w:lang w:val="en-US" w:eastAsia="zh-CN"/>
              </w:rPr>
              <w:t>污水处理厂各类风机、水泵等机械设备</w:t>
            </w:r>
            <w:r>
              <w:rPr>
                <w:rFonts w:hint="eastAsia" w:cs="Times New Roman"/>
                <w:bCs/>
                <w:color w:val="auto"/>
                <w:sz w:val="24"/>
                <w:highlight w:val="none"/>
                <w:lang w:val="en-US" w:eastAsia="zh-CN"/>
              </w:rPr>
              <w:t>的</w:t>
            </w:r>
            <w:r>
              <w:rPr>
                <w:rFonts w:hint="default" w:ascii="Times New Roman" w:hAnsi="Times New Roman" w:eastAsia="宋体" w:cs="Times New Roman"/>
                <w:bCs/>
                <w:color w:val="auto"/>
                <w:sz w:val="24"/>
                <w:highlight w:val="none"/>
              </w:rPr>
              <w:t>运转。根据设计，项目各噪声设备采取的降噪措施，对噪声有一定衰减</w:t>
            </w:r>
            <w:r>
              <w:rPr>
                <w:rFonts w:hint="eastAsia" w:cs="Times New Roman"/>
                <w:bCs/>
                <w:color w:val="auto"/>
                <w:sz w:val="24"/>
                <w:highlight w:val="none"/>
                <w:lang w:eastAsia="zh-CN"/>
              </w:rPr>
              <w:t>作用</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详见表4-</w:t>
            </w:r>
            <w:r>
              <w:rPr>
                <w:rFonts w:hint="eastAsia" w:cs="Times New Roman"/>
                <w:bCs/>
                <w:color w:val="auto"/>
                <w:sz w:val="24"/>
                <w:highlight w:val="none"/>
                <w:lang w:val="en-US" w:eastAsia="zh-CN"/>
              </w:rPr>
              <w:t>7</w:t>
            </w:r>
            <w:r>
              <w:rPr>
                <w:rFonts w:hint="default" w:ascii="Times New Roman" w:hAnsi="Times New Roman" w:eastAsia="宋体" w:cs="Times New Roman"/>
                <w:bCs/>
                <w:color w:val="auto"/>
                <w:sz w:val="24"/>
                <w:highlight w:val="none"/>
              </w:rPr>
              <w:t>。</w:t>
            </w:r>
          </w:p>
          <w:p w14:paraId="4FC84F63">
            <w:pPr>
              <w:pStyle w:val="16"/>
              <w:rPr>
                <w:rFonts w:hint="default" w:ascii="Times New Roman" w:hAnsi="Times New Roman" w:eastAsia="宋体" w:cs="Times New Roman"/>
                <w:bCs/>
                <w:color w:val="auto"/>
                <w:szCs w:val="21"/>
                <w:highlight w:val="none"/>
              </w:rPr>
            </w:pPr>
            <w:r>
              <w:rPr>
                <w:rFonts w:hint="default" w:ascii="Times New Roman" w:hAnsi="Times New Roman" w:eastAsia="宋体" w:cs="Times New Roman"/>
                <w:color w:val="auto"/>
                <w:highlight w:val="none"/>
              </w:rPr>
              <w:t>表4-</w:t>
            </w:r>
            <w:r>
              <w:rPr>
                <w:rFonts w:hint="eastAsia" w:cs="Times New Roman"/>
                <w:color w:val="auto"/>
                <w:highlight w:val="none"/>
                <w:lang w:val="en-US" w:eastAsia="zh-CN"/>
              </w:rPr>
              <w:t>7：</w:t>
            </w:r>
            <w:r>
              <w:rPr>
                <w:rFonts w:hint="default" w:ascii="Times New Roman" w:hAnsi="Times New Roman" w:eastAsia="宋体" w:cs="Times New Roman"/>
                <w:color w:val="auto"/>
                <w:highlight w:val="none"/>
              </w:rPr>
              <w:t>各声源设备的</w:t>
            </w:r>
            <w:r>
              <w:rPr>
                <w:rFonts w:hint="default" w:ascii="Times New Roman" w:hAnsi="Times New Roman" w:eastAsia="宋体" w:cs="Times New Roman"/>
                <w:color w:val="auto"/>
                <w:highlight w:val="none"/>
                <w:lang w:val="en-US" w:eastAsia="zh-CN"/>
              </w:rPr>
              <w:t>噪声</w:t>
            </w:r>
            <w:r>
              <w:rPr>
                <w:rFonts w:hint="default" w:ascii="Times New Roman" w:hAnsi="Times New Roman" w:eastAsia="宋体" w:cs="Times New Roman"/>
                <w:color w:val="auto"/>
                <w:highlight w:val="none"/>
              </w:rPr>
              <w:t>源强表</w:t>
            </w:r>
          </w:p>
          <w:tbl>
            <w:tblPr>
              <w:tblStyle w:val="10"/>
              <w:tblW w:w="4995"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45"/>
              <w:gridCol w:w="873"/>
              <w:gridCol w:w="1477"/>
              <w:gridCol w:w="1378"/>
              <w:gridCol w:w="1051"/>
              <w:gridCol w:w="813"/>
              <w:gridCol w:w="1110"/>
              <w:gridCol w:w="860"/>
            </w:tblGrid>
            <w:tr w14:paraId="6B7AC4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noWrap w:val="0"/>
                  <w:vAlign w:val="center"/>
                </w:tcPr>
                <w:p w14:paraId="055EF44B">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538" w:type="pct"/>
                  <w:shd w:val="clear" w:color="auto" w:fill="auto"/>
                  <w:noWrap w:val="0"/>
                  <w:vAlign w:val="center"/>
                </w:tcPr>
                <w:p w14:paraId="5B9D0638">
                  <w:pPr>
                    <w:spacing w:line="240" w:lineRule="auto"/>
                    <w:ind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rPr>
                    <w:t>位置</w:t>
                  </w:r>
                </w:p>
              </w:tc>
              <w:tc>
                <w:tcPr>
                  <w:tcW w:w="911" w:type="pct"/>
                  <w:noWrap w:val="0"/>
                  <w:vAlign w:val="center"/>
                </w:tcPr>
                <w:p w14:paraId="605687AE">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设备名称</w:t>
                  </w:r>
                </w:p>
              </w:tc>
              <w:tc>
                <w:tcPr>
                  <w:tcW w:w="849" w:type="pct"/>
                  <w:noWrap w:val="0"/>
                  <w:vAlign w:val="center"/>
                </w:tcPr>
                <w:p w14:paraId="79C38905">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数量</w:t>
                  </w:r>
                </w:p>
              </w:tc>
              <w:tc>
                <w:tcPr>
                  <w:tcW w:w="648" w:type="pct"/>
                  <w:noWrap w:val="0"/>
                  <w:vAlign w:val="center"/>
                </w:tcPr>
                <w:p w14:paraId="625DD13F">
                  <w:pPr>
                    <w:adjustRightInd w:val="0"/>
                    <w:spacing w:before="80" w:after="80"/>
                    <w:jc w:val="center"/>
                    <w:textAlignment w:val="baseline"/>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声级值</w:t>
                  </w:r>
                </w:p>
                <w:p w14:paraId="21D01793">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highlight w:val="none"/>
                    </w:rPr>
                    <w:t>dB（A）</w:t>
                  </w:r>
                </w:p>
              </w:tc>
              <w:tc>
                <w:tcPr>
                  <w:tcW w:w="501" w:type="pct"/>
                  <w:noWrap w:val="0"/>
                  <w:vAlign w:val="center"/>
                </w:tcPr>
                <w:p w14:paraId="4A20891A">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降噪措施</w:t>
                  </w:r>
                </w:p>
              </w:tc>
              <w:tc>
                <w:tcPr>
                  <w:tcW w:w="684" w:type="pct"/>
                  <w:noWrap w:val="0"/>
                  <w:vAlign w:val="center"/>
                </w:tcPr>
                <w:p w14:paraId="19878E18">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降噪效果</w:t>
                  </w:r>
                  <w:r>
                    <w:rPr>
                      <w:rFonts w:hint="default" w:ascii="Times New Roman" w:hAnsi="Times New Roman" w:eastAsia="宋体" w:cs="Times New Roman"/>
                      <w:b/>
                      <w:bCs/>
                      <w:color w:val="auto"/>
                      <w:sz w:val="21"/>
                      <w:szCs w:val="21"/>
                      <w:lang w:eastAsia="zh-CN"/>
                    </w:rPr>
                    <w:t>dB（A）</w:t>
                  </w:r>
                </w:p>
              </w:tc>
              <w:tc>
                <w:tcPr>
                  <w:tcW w:w="530" w:type="pct"/>
                  <w:noWrap w:val="0"/>
                  <w:vAlign w:val="center"/>
                </w:tcPr>
                <w:p w14:paraId="50B93E0E">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发生持续时间</w:t>
                  </w:r>
                </w:p>
              </w:tc>
            </w:tr>
            <w:tr w14:paraId="5A73BD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shd w:val="clear" w:color="auto" w:fill="auto"/>
                  <w:noWrap w:val="0"/>
                  <w:vAlign w:val="center"/>
                </w:tcPr>
                <w:p w14:paraId="0C474CE8">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w:t>
                  </w:r>
                </w:p>
              </w:tc>
              <w:tc>
                <w:tcPr>
                  <w:tcW w:w="538" w:type="pct"/>
                  <w:vMerge w:val="restart"/>
                  <w:shd w:val="clear" w:color="auto" w:fill="auto"/>
                  <w:noWrap w:val="0"/>
                  <w:vAlign w:val="center"/>
                </w:tcPr>
                <w:p w14:paraId="2FAB9B53">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粗格栅渠内</w:t>
                  </w:r>
                </w:p>
              </w:tc>
              <w:tc>
                <w:tcPr>
                  <w:tcW w:w="911" w:type="pct"/>
                  <w:noWrap w:val="0"/>
                  <w:vAlign w:val="center"/>
                </w:tcPr>
                <w:p w14:paraId="06188F6B">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固液分离机</w:t>
                  </w:r>
                </w:p>
              </w:tc>
              <w:tc>
                <w:tcPr>
                  <w:tcW w:w="849" w:type="pct"/>
                  <w:noWrap w:val="0"/>
                  <w:vAlign w:val="center"/>
                </w:tcPr>
                <w:p w14:paraId="112649E9">
                  <w:pPr>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2</w:t>
                  </w:r>
                </w:p>
              </w:tc>
              <w:tc>
                <w:tcPr>
                  <w:tcW w:w="648" w:type="pct"/>
                  <w:noWrap w:val="0"/>
                  <w:vAlign w:val="center"/>
                </w:tcPr>
                <w:p w14:paraId="44133F4F">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68~72</w:t>
                  </w:r>
                </w:p>
              </w:tc>
              <w:tc>
                <w:tcPr>
                  <w:tcW w:w="501" w:type="pct"/>
                  <w:vMerge w:val="restart"/>
                  <w:noWrap w:val="0"/>
                  <w:vAlign w:val="center"/>
                </w:tcPr>
                <w:p w14:paraId="423EFA2E">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选用低噪声设备、基础减振、厂房隔声</w:t>
                  </w:r>
                  <w:r>
                    <w:rPr>
                      <w:rFonts w:hint="default" w:ascii="Times New Roman" w:hAnsi="Times New Roman" w:eastAsia="宋体" w:cs="Times New Roman"/>
                      <w:color w:val="auto"/>
                      <w:sz w:val="21"/>
                      <w:szCs w:val="21"/>
                    </w:rPr>
                    <w:t>等</w:t>
                  </w:r>
                </w:p>
              </w:tc>
              <w:tc>
                <w:tcPr>
                  <w:tcW w:w="684" w:type="pct"/>
                  <w:noWrap w:val="0"/>
                  <w:vAlign w:val="center"/>
                </w:tcPr>
                <w:p w14:paraId="7458BE89">
                  <w:pPr>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20-25</w:t>
                  </w:r>
                </w:p>
              </w:tc>
              <w:tc>
                <w:tcPr>
                  <w:tcW w:w="530" w:type="pct"/>
                  <w:noWrap w:val="0"/>
                  <w:vAlign w:val="center"/>
                </w:tcPr>
                <w:p w14:paraId="1A29F9A0">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w:t>
                  </w:r>
                </w:p>
              </w:tc>
            </w:tr>
            <w:tr w14:paraId="58DC55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shd w:val="clear" w:color="auto" w:fill="auto"/>
                  <w:noWrap w:val="0"/>
                  <w:vAlign w:val="center"/>
                </w:tcPr>
                <w:p w14:paraId="26235C81">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2</w:t>
                  </w:r>
                </w:p>
              </w:tc>
              <w:tc>
                <w:tcPr>
                  <w:tcW w:w="538" w:type="pct"/>
                  <w:vMerge w:val="continue"/>
                  <w:shd w:val="clear" w:color="auto" w:fill="auto"/>
                  <w:noWrap w:val="0"/>
                  <w:vAlign w:val="center"/>
                </w:tcPr>
                <w:p w14:paraId="65213165">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911" w:type="pct"/>
                  <w:noWrap w:val="0"/>
                  <w:vAlign w:val="center"/>
                </w:tcPr>
                <w:p w14:paraId="64F3E3F4">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潜水泵</w:t>
                  </w:r>
                </w:p>
              </w:tc>
              <w:tc>
                <w:tcPr>
                  <w:tcW w:w="849" w:type="pct"/>
                  <w:noWrap w:val="0"/>
                  <w:vAlign w:val="center"/>
                </w:tcPr>
                <w:p w14:paraId="0B88BC2C">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3（2用1备）</w:t>
                  </w:r>
                </w:p>
              </w:tc>
              <w:tc>
                <w:tcPr>
                  <w:tcW w:w="648" w:type="pct"/>
                  <w:noWrap w:val="0"/>
                  <w:vAlign w:val="center"/>
                </w:tcPr>
                <w:p w14:paraId="742CFFFD">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70~75</w:t>
                  </w:r>
                </w:p>
              </w:tc>
              <w:tc>
                <w:tcPr>
                  <w:tcW w:w="501" w:type="pct"/>
                  <w:vMerge w:val="continue"/>
                  <w:noWrap w:val="0"/>
                  <w:vAlign w:val="center"/>
                </w:tcPr>
                <w:p w14:paraId="0B6B62E4">
                  <w:pPr>
                    <w:spacing w:line="240" w:lineRule="auto"/>
                    <w:ind w:firstLine="0" w:firstLineChars="0"/>
                    <w:jc w:val="center"/>
                    <w:rPr>
                      <w:rFonts w:hint="default" w:ascii="Times New Roman" w:hAnsi="Times New Roman" w:eastAsia="宋体" w:cs="Times New Roman"/>
                      <w:color w:val="auto"/>
                      <w:sz w:val="21"/>
                      <w:szCs w:val="21"/>
                    </w:rPr>
                  </w:pPr>
                </w:p>
              </w:tc>
              <w:tc>
                <w:tcPr>
                  <w:tcW w:w="684" w:type="pct"/>
                  <w:noWrap w:val="0"/>
                  <w:vAlign w:val="center"/>
                </w:tcPr>
                <w:p w14:paraId="7A7271B3">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20-25</w:t>
                  </w:r>
                </w:p>
              </w:tc>
              <w:tc>
                <w:tcPr>
                  <w:tcW w:w="530" w:type="pct"/>
                  <w:noWrap w:val="0"/>
                  <w:vAlign w:val="center"/>
                </w:tcPr>
                <w:p w14:paraId="495B5942">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w:t>
                  </w:r>
                </w:p>
              </w:tc>
            </w:tr>
            <w:tr w14:paraId="569910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shd w:val="clear" w:color="auto" w:fill="auto"/>
                  <w:noWrap w:val="0"/>
                  <w:vAlign w:val="center"/>
                </w:tcPr>
                <w:p w14:paraId="52DB4B38">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3</w:t>
                  </w:r>
                </w:p>
              </w:tc>
              <w:tc>
                <w:tcPr>
                  <w:tcW w:w="538" w:type="pct"/>
                  <w:vMerge w:val="restart"/>
                  <w:shd w:val="clear" w:color="auto" w:fill="auto"/>
                  <w:noWrap w:val="0"/>
                  <w:vAlign w:val="center"/>
                </w:tcPr>
                <w:p w14:paraId="1F692E1F">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细格栅沉砂间</w:t>
                  </w:r>
                </w:p>
              </w:tc>
              <w:tc>
                <w:tcPr>
                  <w:tcW w:w="911" w:type="pct"/>
                  <w:noWrap w:val="0"/>
                  <w:vAlign w:val="center"/>
                </w:tcPr>
                <w:p w14:paraId="4D9032AC">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无轴螺旋输送机</w:t>
                  </w:r>
                </w:p>
              </w:tc>
              <w:tc>
                <w:tcPr>
                  <w:tcW w:w="849" w:type="pct"/>
                  <w:noWrap w:val="0"/>
                  <w:vAlign w:val="center"/>
                </w:tcPr>
                <w:p w14:paraId="77F4D48E">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648" w:type="pct"/>
                  <w:noWrap w:val="0"/>
                  <w:vAlign w:val="center"/>
                </w:tcPr>
                <w:p w14:paraId="48CAC404">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68~72</w:t>
                  </w:r>
                </w:p>
              </w:tc>
              <w:tc>
                <w:tcPr>
                  <w:tcW w:w="501" w:type="pct"/>
                  <w:vMerge w:val="continue"/>
                  <w:noWrap w:val="0"/>
                  <w:vAlign w:val="center"/>
                </w:tcPr>
                <w:p w14:paraId="46F8A2C0">
                  <w:pPr>
                    <w:spacing w:line="240" w:lineRule="auto"/>
                    <w:ind w:firstLine="0" w:firstLineChars="0"/>
                    <w:jc w:val="center"/>
                    <w:rPr>
                      <w:rFonts w:hint="default" w:ascii="Times New Roman" w:hAnsi="Times New Roman" w:eastAsia="宋体" w:cs="Times New Roman"/>
                      <w:color w:val="auto"/>
                      <w:sz w:val="21"/>
                      <w:szCs w:val="21"/>
                    </w:rPr>
                  </w:pPr>
                </w:p>
              </w:tc>
              <w:tc>
                <w:tcPr>
                  <w:tcW w:w="684" w:type="pct"/>
                  <w:noWrap w:val="0"/>
                  <w:vAlign w:val="center"/>
                </w:tcPr>
                <w:p w14:paraId="08D0F654">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20-25</w:t>
                  </w:r>
                </w:p>
              </w:tc>
              <w:tc>
                <w:tcPr>
                  <w:tcW w:w="530" w:type="pct"/>
                  <w:noWrap w:val="0"/>
                  <w:vAlign w:val="center"/>
                </w:tcPr>
                <w:p w14:paraId="08A9651A">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w:t>
                  </w:r>
                </w:p>
              </w:tc>
            </w:tr>
            <w:tr w14:paraId="1BDCBD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shd w:val="clear" w:color="auto" w:fill="auto"/>
                  <w:noWrap w:val="0"/>
                  <w:vAlign w:val="center"/>
                </w:tcPr>
                <w:p w14:paraId="7D6ED021">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4</w:t>
                  </w:r>
                </w:p>
              </w:tc>
              <w:tc>
                <w:tcPr>
                  <w:tcW w:w="538" w:type="pct"/>
                  <w:vMerge w:val="continue"/>
                  <w:shd w:val="clear" w:color="auto" w:fill="auto"/>
                  <w:noWrap w:val="0"/>
                  <w:vAlign w:val="center"/>
                </w:tcPr>
                <w:p w14:paraId="4C7D8DD0">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911" w:type="pct"/>
                  <w:noWrap w:val="0"/>
                  <w:vAlign w:val="center"/>
                </w:tcPr>
                <w:p w14:paraId="588B442D">
                  <w:pPr>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砂泵</w:t>
                  </w:r>
                </w:p>
              </w:tc>
              <w:tc>
                <w:tcPr>
                  <w:tcW w:w="849" w:type="pct"/>
                  <w:noWrap w:val="0"/>
                  <w:vAlign w:val="center"/>
                </w:tcPr>
                <w:p w14:paraId="7829B2C4">
                  <w:pPr>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c>
                <w:tcPr>
                  <w:tcW w:w="648" w:type="pct"/>
                  <w:noWrap w:val="0"/>
                  <w:vAlign w:val="center"/>
                </w:tcPr>
                <w:p w14:paraId="1C7C8230">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70~75</w:t>
                  </w:r>
                </w:p>
              </w:tc>
              <w:tc>
                <w:tcPr>
                  <w:tcW w:w="501" w:type="pct"/>
                  <w:vMerge w:val="continue"/>
                  <w:noWrap w:val="0"/>
                  <w:vAlign w:val="center"/>
                </w:tcPr>
                <w:p w14:paraId="3E8AE18D">
                  <w:pPr>
                    <w:spacing w:line="240" w:lineRule="auto"/>
                    <w:ind w:firstLine="0" w:firstLineChars="0"/>
                    <w:jc w:val="center"/>
                    <w:rPr>
                      <w:rFonts w:hint="default" w:ascii="Times New Roman" w:hAnsi="Times New Roman" w:eastAsia="宋体" w:cs="Times New Roman"/>
                      <w:color w:val="auto"/>
                      <w:sz w:val="21"/>
                      <w:szCs w:val="21"/>
                    </w:rPr>
                  </w:pPr>
                </w:p>
              </w:tc>
              <w:tc>
                <w:tcPr>
                  <w:tcW w:w="684" w:type="pct"/>
                  <w:noWrap w:val="0"/>
                  <w:vAlign w:val="center"/>
                </w:tcPr>
                <w:p w14:paraId="3434DEC3">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20-25</w:t>
                  </w:r>
                </w:p>
              </w:tc>
              <w:tc>
                <w:tcPr>
                  <w:tcW w:w="530" w:type="pct"/>
                  <w:noWrap w:val="0"/>
                  <w:vAlign w:val="center"/>
                </w:tcPr>
                <w:p w14:paraId="4FD7E272">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w:t>
                  </w:r>
                </w:p>
              </w:tc>
            </w:tr>
            <w:tr w14:paraId="79ED0F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shd w:val="clear" w:color="auto" w:fill="auto"/>
                  <w:noWrap w:val="0"/>
                  <w:vAlign w:val="center"/>
                </w:tcPr>
                <w:p w14:paraId="7B3E69E8">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5</w:t>
                  </w:r>
                </w:p>
              </w:tc>
              <w:tc>
                <w:tcPr>
                  <w:tcW w:w="538" w:type="pct"/>
                  <w:vMerge w:val="restart"/>
                  <w:shd w:val="clear" w:color="auto" w:fill="auto"/>
                  <w:noWrap w:val="0"/>
                  <w:vAlign w:val="center"/>
                </w:tcPr>
                <w:p w14:paraId="085AB319">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AAO池</w:t>
                  </w:r>
                </w:p>
              </w:tc>
              <w:tc>
                <w:tcPr>
                  <w:tcW w:w="911" w:type="pct"/>
                  <w:shd w:val="clear" w:color="auto" w:fill="auto"/>
                  <w:noWrap w:val="0"/>
                  <w:vAlign w:val="center"/>
                </w:tcPr>
                <w:p w14:paraId="6DA16110">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潜污泵</w:t>
                  </w:r>
                </w:p>
              </w:tc>
              <w:tc>
                <w:tcPr>
                  <w:tcW w:w="849" w:type="pct"/>
                  <w:shd w:val="clear" w:color="auto" w:fill="auto"/>
                  <w:noWrap w:val="0"/>
                  <w:vAlign w:val="center"/>
                </w:tcPr>
                <w:p w14:paraId="1E790B12">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6（4用2备）</w:t>
                  </w:r>
                </w:p>
              </w:tc>
              <w:tc>
                <w:tcPr>
                  <w:tcW w:w="648" w:type="pct"/>
                  <w:shd w:val="clear" w:color="auto" w:fill="auto"/>
                  <w:noWrap w:val="0"/>
                  <w:vAlign w:val="center"/>
                </w:tcPr>
                <w:p w14:paraId="1F7A7698">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70~75</w:t>
                  </w:r>
                </w:p>
              </w:tc>
              <w:tc>
                <w:tcPr>
                  <w:tcW w:w="501" w:type="pct"/>
                  <w:vMerge w:val="continue"/>
                  <w:shd w:val="clear" w:color="auto" w:fill="auto"/>
                  <w:noWrap w:val="0"/>
                  <w:vAlign w:val="center"/>
                </w:tcPr>
                <w:p w14:paraId="4211CFA6">
                  <w:pPr>
                    <w:spacing w:line="240" w:lineRule="auto"/>
                    <w:ind w:firstLine="0" w:firstLineChars="0"/>
                    <w:jc w:val="center"/>
                    <w:rPr>
                      <w:rFonts w:hint="default" w:ascii="Times New Roman" w:hAnsi="Times New Roman" w:eastAsia="宋体" w:cs="Times New Roman"/>
                      <w:color w:val="auto"/>
                      <w:sz w:val="21"/>
                      <w:szCs w:val="21"/>
                    </w:rPr>
                  </w:pPr>
                </w:p>
              </w:tc>
              <w:tc>
                <w:tcPr>
                  <w:tcW w:w="684" w:type="pct"/>
                  <w:shd w:val="clear" w:color="auto" w:fill="auto"/>
                  <w:noWrap w:val="0"/>
                  <w:vAlign w:val="center"/>
                </w:tcPr>
                <w:p w14:paraId="058A37C2">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20-25</w:t>
                  </w:r>
                </w:p>
              </w:tc>
              <w:tc>
                <w:tcPr>
                  <w:tcW w:w="530" w:type="pct"/>
                  <w:shd w:val="clear" w:color="auto" w:fill="auto"/>
                  <w:noWrap w:val="0"/>
                  <w:vAlign w:val="center"/>
                </w:tcPr>
                <w:p w14:paraId="019D2160">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24h</w:t>
                  </w:r>
                </w:p>
              </w:tc>
            </w:tr>
            <w:tr w14:paraId="3CECFB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shd w:val="clear" w:color="auto" w:fill="auto"/>
                  <w:noWrap w:val="0"/>
                  <w:vAlign w:val="center"/>
                </w:tcPr>
                <w:p w14:paraId="13A9FAB8">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6</w:t>
                  </w:r>
                </w:p>
              </w:tc>
              <w:tc>
                <w:tcPr>
                  <w:tcW w:w="538" w:type="pct"/>
                  <w:vMerge w:val="continue"/>
                  <w:shd w:val="clear" w:color="auto" w:fill="auto"/>
                  <w:noWrap w:val="0"/>
                  <w:vAlign w:val="center"/>
                </w:tcPr>
                <w:p w14:paraId="5BDAFD61">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911" w:type="pct"/>
                  <w:noWrap w:val="0"/>
                  <w:vAlign w:val="center"/>
                </w:tcPr>
                <w:p w14:paraId="7485483C">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混合液回流泵</w:t>
                  </w:r>
                </w:p>
              </w:tc>
              <w:tc>
                <w:tcPr>
                  <w:tcW w:w="849" w:type="pct"/>
                  <w:noWrap w:val="0"/>
                  <w:vAlign w:val="center"/>
                </w:tcPr>
                <w:p w14:paraId="50A0B775">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4</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用</w:t>
                  </w: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备）</w:t>
                  </w:r>
                </w:p>
              </w:tc>
              <w:tc>
                <w:tcPr>
                  <w:tcW w:w="648" w:type="pct"/>
                  <w:noWrap w:val="0"/>
                  <w:vAlign w:val="center"/>
                </w:tcPr>
                <w:p w14:paraId="7239331A">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80~87</w:t>
                  </w:r>
                </w:p>
              </w:tc>
              <w:tc>
                <w:tcPr>
                  <w:tcW w:w="501" w:type="pct"/>
                  <w:vMerge w:val="continue"/>
                  <w:noWrap w:val="0"/>
                  <w:vAlign w:val="center"/>
                </w:tcPr>
                <w:p w14:paraId="6E03C7A3">
                  <w:pPr>
                    <w:spacing w:line="240" w:lineRule="auto"/>
                    <w:ind w:firstLine="0" w:firstLineChars="0"/>
                    <w:jc w:val="center"/>
                    <w:rPr>
                      <w:rFonts w:hint="default" w:ascii="Times New Roman" w:hAnsi="Times New Roman" w:eastAsia="宋体" w:cs="Times New Roman"/>
                      <w:color w:val="auto"/>
                      <w:sz w:val="21"/>
                      <w:szCs w:val="21"/>
                    </w:rPr>
                  </w:pPr>
                </w:p>
              </w:tc>
              <w:tc>
                <w:tcPr>
                  <w:tcW w:w="684" w:type="pct"/>
                  <w:noWrap w:val="0"/>
                  <w:vAlign w:val="center"/>
                </w:tcPr>
                <w:p w14:paraId="2AB4BF78">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20-25</w:t>
                  </w:r>
                </w:p>
              </w:tc>
              <w:tc>
                <w:tcPr>
                  <w:tcW w:w="530" w:type="pct"/>
                  <w:noWrap w:val="0"/>
                  <w:vAlign w:val="center"/>
                </w:tcPr>
                <w:p w14:paraId="631577A6">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w:t>
                  </w:r>
                </w:p>
              </w:tc>
            </w:tr>
            <w:tr w14:paraId="7069EF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shd w:val="clear" w:color="auto" w:fill="auto"/>
                  <w:noWrap w:val="0"/>
                  <w:vAlign w:val="center"/>
                </w:tcPr>
                <w:p w14:paraId="51F4B220">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7</w:t>
                  </w:r>
                </w:p>
              </w:tc>
              <w:tc>
                <w:tcPr>
                  <w:tcW w:w="538" w:type="pct"/>
                  <w:vMerge w:val="continue"/>
                  <w:shd w:val="clear" w:color="auto" w:fill="auto"/>
                  <w:noWrap w:val="0"/>
                  <w:vAlign w:val="center"/>
                </w:tcPr>
                <w:p w14:paraId="7664EF3F">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911" w:type="pct"/>
                  <w:noWrap w:val="0"/>
                  <w:vAlign w:val="center"/>
                </w:tcPr>
                <w:p w14:paraId="1C557323">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潜水搅拌器</w:t>
                  </w:r>
                </w:p>
              </w:tc>
              <w:tc>
                <w:tcPr>
                  <w:tcW w:w="849" w:type="pct"/>
                  <w:noWrap w:val="0"/>
                  <w:vAlign w:val="center"/>
                </w:tcPr>
                <w:p w14:paraId="07910886">
                  <w:pPr>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648" w:type="pct"/>
                  <w:noWrap w:val="0"/>
                  <w:vAlign w:val="center"/>
                </w:tcPr>
                <w:p w14:paraId="29C02575">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65~70</w:t>
                  </w:r>
                </w:p>
              </w:tc>
              <w:tc>
                <w:tcPr>
                  <w:tcW w:w="501" w:type="pct"/>
                  <w:vMerge w:val="continue"/>
                  <w:noWrap w:val="0"/>
                  <w:vAlign w:val="center"/>
                </w:tcPr>
                <w:p w14:paraId="376C20B4">
                  <w:pPr>
                    <w:spacing w:line="240" w:lineRule="auto"/>
                    <w:ind w:firstLine="0" w:firstLineChars="0"/>
                    <w:jc w:val="center"/>
                    <w:rPr>
                      <w:rFonts w:hint="default" w:ascii="Times New Roman" w:hAnsi="Times New Roman" w:eastAsia="宋体" w:cs="Times New Roman"/>
                      <w:color w:val="auto"/>
                      <w:sz w:val="21"/>
                      <w:szCs w:val="21"/>
                    </w:rPr>
                  </w:pPr>
                </w:p>
              </w:tc>
              <w:tc>
                <w:tcPr>
                  <w:tcW w:w="684" w:type="pct"/>
                  <w:noWrap w:val="0"/>
                  <w:vAlign w:val="center"/>
                </w:tcPr>
                <w:p w14:paraId="79093344">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20-25</w:t>
                  </w:r>
                </w:p>
              </w:tc>
              <w:tc>
                <w:tcPr>
                  <w:tcW w:w="530" w:type="pct"/>
                  <w:noWrap w:val="0"/>
                  <w:vAlign w:val="center"/>
                </w:tcPr>
                <w:p w14:paraId="1CD853FA">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w:t>
                  </w:r>
                </w:p>
              </w:tc>
            </w:tr>
            <w:tr w14:paraId="27AE38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shd w:val="clear" w:color="auto" w:fill="auto"/>
                  <w:noWrap w:val="0"/>
                  <w:vAlign w:val="center"/>
                </w:tcPr>
                <w:p w14:paraId="7CE035F6">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8</w:t>
                  </w:r>
                </w:p>
              </w:tc>
              <w:tc>
                <w:tcPr>
                  <w:tcW w:w="538" w:type="pct"/>
                  <w:vMerge w:val="restart"/>
                  <w:shd w:val="clear" w:color="auto" w:fill="auto"/>
                  <w:noWrap w:val="0"/>
                  <w:vAlign w:val="center"/>
                </w:tcPr>
                <w:p w14:paraId="42A7B0DE">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污泥</w:t>
                  </w:r>
                  <w:r>
                    <w:rPr>
                      <w:rFonts w:hint="default" w:ascii="Times New Roman" w:hAnsi="Times New Roman" w:eastAsia="宋体" w:cs="Times New Roman"/>
                      <w:color w:val="auto"/>
                      <w:sz w:val="21"/>
                      <w:szCs w:val="21"/>
                      <w:lang w:val="en-US" w:eastAsia="zh-CN"/>
                    </w:rPr>
                    <w:t>池</w:t>
                  </w:r>
                </w:p>
              </w:tc>
              <w:tc>
                <w:tcPr>
                  <w:tcW w:w="911" w:type="pct"/>
                  <w:noWrap w:val="0"/>
                  <w:vAlign w:val="center"/>
                </w:tcPr>
                <w:p w14:paraId="7973EC7F">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回流污泥泵</w:t>
                  </w:r>
                </w:p>
              </w:tc>
              <w:tc>
                <w:tcPr>
                  <w:tcW w:w="849" w:type="pct"/>
                  <w:noWrap w:val="0"/>
                  <w:vAlign w:val="center"/>
                </w:tcPr>
                <w:p w14:paraId="31FC448F">
                  <w:pPr>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2（1用1备）</w:t>
                  </w:r>
                </w:p>
              </w:tc>
              <w:tc>
                <w:tcPr>
                  <w:tcW w:w="648" w:type="pct"/>
                  <w:noWrap w:val="0"/>
                  <w:vAlign w:val="center"/>
                </w:tcPr>
                <w:p w14:paraId="07127E57">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80~85</w:t>
                  </w:r>
                </w:p>
              </w:tc>
              <w:tc>
                <w:tcPr>
                  <w:tcW w:w="501" w:type="pct"/>
                  <w:vMerge w:val="continue"/>
                  <w:noWrap w:val="0"/>
                  <w:vAlign w:val="center"/>
                </w:tcPr>
                <w:p w14:paraId="0C20F197">
                  <w:pPr>
                    <w:spacing w:line="240" w:lineRule="auto"/>
                    <w:ind w:firstLine="0" w:firstLineChars="0"/>
                    <w:jc w:val="center"/>
                    <w:rPr>
                      <w:rFonts w:hint="default" w:ascii="Times New Roman" w:hAnsi="Times New Roman" w:eastAsia="宋体" w:cs="Times New Roman"/>
                      <w:color w:val="auto"/>
                      <w:sz w:val="21"/>
                      <w:szCs w:val="21"/>
                    </w:rPr>
                  </w:pPr>
                </w:p>
              </w:tc>
              <w:tc>
                <w:tcPr>
                  <w:tcW w:w="684" w:type="pct"/>
                  <w:noWrap w:val="0"/>
                  <w:vAlign w:val="center"/>
                </w:tcPr>
                <w:p w14:paraId="26112479">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20-25</w:t>
                  </w:r>
                </w:p>
              </w:tc>
              <w:tc>
                <w:tcPr>
                  <w:tcW w:w="530" w:type="pct"/>
                  <w:noWrap w:val="0"/>
                  <w:vAlign w:val="center"/>
                </w:tcPr>
                <w:p w14:paraId="40E4D179">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w:t>
                  </w:r>
                </w:p>
              </w:tc>
            </w:tr>
            <w:tr w14:paraId="0C572D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shd w:val="clear" w:color="auto" w:fill="auto"/>
                  <w:noWrap w:val="0"/>
                  <w:vAlign w:val="center"/>
                </w:tcPr>
                <w:p w14:paraId="3B9DFA60">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9</w:t>
                  </w:r>
                </w:p>
              </w:tc>
              <w:tc>
                <w:tcPr>
                  <w:tcW w:w="538" w:type="pct"/>
                  <w:vMerge w:val="continue"/>
                  <w:shd w:val="clear" w:color="auto" w:fill="auto"/>
                  <w:noWrap w:val="0"/>
                  <w:vAlign w:val="center"/>
                </w:tcPr>
                <w:p w14:paraId="255B61B5">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911" w:type="pct"/>
                  <w:noWrap w:val="0"/>
                  <w:vAlign w:val="center"/>
                </w:tcPr>
                <w:p w14:paraId="387EC835">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剩余污泥泵</w:t>
                  </w:r>
                </w:p>
              </w:tc>
              <w:tc>
                <w:tcPr>
                  <w:tcW w:w="849" w:type="pct"/>
                  <w:noWrap w:val="0"/>
                  <w:vAlign w:val="center"/>
                </w:tcPr>
                <w:p w14:paraId="7F680438">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4</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用</w:t>
                  </w: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备）</w:t>
                  </w:r>
                </w:p>
              </w:tc>
              <w:tc>
                <w:tcPr>
                  <w:tcW w:w="648" w:type="pct"/>
                  <w:noWrap w:val="0"/>
                  <w:vAlign w:val="center"/>
                </w:tcPr>
                <w:p w14:paraId="64DBD0D6">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80~85</w:t>
                  </w:r>
                </w:p>
              </w:tc>
              <w:tc>
                <w:tcPr>
                  <w:tcW w:w="501" w:type="pct"/>
                  <w:vMerge w:val="continue"/>
                  <w:noWrap w:val="0"/>
                  <w:vAlign w:val="center"/>
                </w:tcPr>
                <w:p w14:paraId="4DF830E3">
                  <w:pPr>
                    <w:spacing w:line="240" w:lineRule="auto"/>
                    <w:ind w:firstLine="0" w:firstLineChars="0"/>
                    <w:jc w:val="center"/>
                    <w:rPr>
                      <w:rFonts w:hint="default" w:ascii="Times New Roman" w:hAnsi="Times New Roman" w:eastAsia="宋体" w:cs="Times New Roman"/>
                      <w:color w:val="auto"/>
                      <w:sz w:val="21"/>
                      <w:szCs w:val="21"/>
                    </w:rPr>
                  </w:pPr>
                </w:p>
              </w:tc>
              <w:tc>
                <w:tcPr>
                  <w:tcW w:w="684" w:type="pct"/>
                  <w:noWrap w:val="0"/>
                  <w:vAlign w:val="center"/>
                </w:tcPr>
                <w:p w14:paraId="5D9EC354">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20-25</w:t>
                  </w:r>
                </w:p>
              </w:tc>
              <w:tc>
                <w:tcPr>
                  <w:tcW w:w="530" w:type="pct"/>
                  <w:noWrap w:val="0"/>
                  <w:vAlign w:val="center"/>
                </w:tcPr>
                <w:p w14:paraId="1FCEE010">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w:t>
                  </w:r>
                </w:p>
              </w:tc>
            </w:tr>
            <w:tr w14:paraId="503743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shd w:val="clear" w:color="auto" w:fill="auto"/>
                  <w:noWrap w:val="0"/>
                  <w:vAlign w:val="center"/>
                </w:tcPr>
                <w:p w14:paraId="5C2EFAD3">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10</w:t>
                  </w:r>
                </w:p>
              </w:tc>
              <w:tc>
                <w:tcPr>
                  <w:tcW w:w="538" w:type="pct"/>
                  <w:shd w:val="clear" w:color="auto" w:fill="auto"/>
                  <w:noWrap w:val="0"/>
                  <w:vAlign w:val="center"/>
                </w:tcPr>
                <w:p w14:paraId="37DA487B">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鼓风机房</w:t>
                  </w:r>
                </w:p>
              </w:tc>
              <w:tc>
                <w:tcPr>
                  <w:tcW w:w="911" w:type="pct"/>
                  <w:noWrap w:val="0"/>
                  <w:vAlign w:val="center"/>
                </w:tcPr>
                <w:p w14:paraId="49CE311B">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空浮风机</w:t>
                  </w:r>
                </w:p>
              </w:tc>
              <w:tc>
                <w:tcPr>
                  <w:tcW w:w="849" w:type="pct"/>
                  <w:noWrap w:val="0"/>
                  <w:vAlign w:val="center"/>
                </w:tcPr>
                <w:p w14:paraId="7B0A7633">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p>
              </w:tc>
              <w:tc>
                <w:tcPr>
                  <w:tcW w:w="648" w:type="pct"/>
                  <w:noWrap w:val="0"/>
                  <w:vAlign w:val="center"/>
                </w:tcPr>
                <w:p w14:paraId="52988BAB">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80~85</w:t>
                  </w:r>
                </w:p>
              </w:tc>
              <w:tc>
                <w:tcPr>
                  <w:tcW w:w="501" w:type="pct"/>
                  <w:vMerge w:val="continue"/>
                  <w:noWrap w:val="0"/>
                  <w:vAlign w:val="center"/>
                </w:tcPr>
                <w:p w14:paraId="354E6505">
                  <w:pPr>
                    <w:spacing w:line="240" w:lineRule="auto"/>
                    <w:ind w:firstLine="0" w:firstLineChars="0"/>
                    <w:jc w:val="center"/>
                    <w:rPr>
                      <w:rFonts w:hint="default" w:ascii="Times New Roman" w:hAnsi="Times New Roman" w:eastAsia="宋体" w:cs="Times New Roman"/>
                      <w:color w:val="auto"/>
                      <w:sz w:val="21"/>
                      <w:szCs w:val="21"/>
                    </w:rPr>
                  </w:pPr>
                </w:p>
              </w:tc>
              <w:tc>
                <w:tcPr>
                  <w:tcW w:w="684" w:type="pct"/>
                  <w:noWrap w:val="0"/>
                  <w:vAlign w:val="center"/>
                </w:tcPr>
                <w:p w14:paraId="5F3BD487">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20-25</w:t>
                  </w:r>
                </w:p>
              </w:tc>
              <w:tc>
                <w:tcPr>
                  <w:tcW w:w="530" w:type="pct"/>
                  <w:noWrap w:val="0"/>
                  <w:vAlign w:val="center"/>
                </w:tcPr>
                <w:p w14:paraId="54B545A7">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w:t>
                  </w:r>
                </w:p>
              </w:tc>
            </w:tr>
            <w:tr w14:paraId="00C8E1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shd w:val="clear" w:color="auto" w:fill="auto"/>
                  <w:noWrap w:val="0"/>
                  <w:vAlign w:val="center"/>
                </w:tcPr>
                <w:p w14:paraId="113A75E8">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11</w:t>
                  </w:r>
                </w:p>
              </w:tc>
              <w:tc>
                <w:tcPr>
                  <w:tcW w:w="538" w:type="pct"/>
                  <w:shd w:val="clear" w:color="auto" w:fill="auto"/>
                  <w:noWrap w:val="0"/>
                  <w:vAlign w:val="center"/>
                </w:tcPr>
                <w:p w14:paraId="6FCC7E98">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污水提升泵站</w:t>
                  </w:r>
                </w:p>
              </w:tc>
              <w:tc>
                <w:tcPr>
                  <w:tcW w:w="911" w:type="pct"/>
                  <w:noWrap w:val="0"/>
                  <w:vAlign w:val="center"/>
                </w:tcPr>
                <w:p w14:paraId="53161362">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离心泵</w:t>
                  </w:r>
                </w:p>
              </w:tc>
              <w:tc>
                <w:tcPr>
                  <w:tcW w:w="849" w:type="pct"/>
                  <w:noWrap w:val="0"/>
                  <w:vAlign w:val="center"/>
                </w:tcPr>
                <w:p w14:paraId="05C030A9">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3（2用1备）</w:t>
                  </w:r>
                </w:p>
              </w:tc>
              <w:tc>
                <w:tcPr>
                  <w:tcW w:w="648" w:type="pct"/>
                  <w:noWrap w:val="0"/>
                  <w:vAlign w:val="center"/>
                </w:tcPr>
                <w:p w14:paraId="6E59CC3D">
                  <w:pPr>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501" w:type="pct"/>
                  <w:vMerge w:val="continue"/>
                  <w:noWrap w:val="0"/>
                  <w:vAlign w:val="center"/>
                </w:tcPr>
                <w:p w14:paraId="58BC0CB5">
                  <w:pPr>
                    <w:spacing w:line="240" w:lineRule="auto"/>
                    <w:ind w:firstLine="0" w:firstLineChars="0"/>
                    <w:jc w:val="center"/>
                    <w:rPr>
                      <w:rFonts w:hint="default" w:ascii="Times New Roman" w:hAnsi="Times New Roman" w:eastAsia="宋体" w:cs="Times New Roman"/>
                      <w:color w:val="auto"/>
                      <w:sz w:val="21"/>
                      <w:szCs w:val="21"/>
                    </w:rPr>
                  </w:pPr>
                </w:p>
              </w:tc>
              <w:tc>
                <w:tcPr>
                  <w:tcW w:w="684" w:type="pct"/>
                  <w:noWrap w:val="0"/>
                  <w:vAlign w:val="center"/>
                </w:tcPr>
                <w:p w14:paraId="279454CC">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20-25</w:t>
                  </w:r>
                </w:p>
              </w:tc>
              <w:tc>
                <w:tcPr>
                  <w:tcW w:w="530" w:type="pct"/>
                  <w:noWrap w:val="0"/>
                  <w:vAlign w:val="center"/>
                </w:tcPr>
                <w:p w14:paraId="483B71DE">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w:t>
                  </w:r>
                </w:p>
              </w:tc>
            </w:tr>
            <w:tr w14:paraId="249A4A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shd w:val="clear" w:color="auto" w:fill="auto"/>
                  <w:noWrap w:val="0"/>
                  <w:vAlign w:val="center"/>
                </w:tcPr>
                <w:p w14:paraId="46336AF0">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12</w:t>
                  </w:r>
                </w:p>
              </w:tc>
              <w:tc>
                <w:tcPr>
                  <w:tcW w:w="538" w:type="pct"/>
                  <w:vMerge w:val="restart"/>
                  <w:shd w:val="clear" w:color="auto" w:fill="auto"/>
                  <w:noWrap w:val="0"/>
                  <w:vAlign w:val="center"/>
                </w:tcPr>
                <w:p w14:paraId="015748EF">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磁絮凝池</w:t>
                  </w:r>
                </w:p>
              </w:tc>
              <w:tc>
                <w:tcPr>
                  <w:tcW w:w="911" w:type="pct"/>
                  <w:noWrap w:val="0"/>
                  <w:vAlign w:val="center"/>
                </w:tcPr>
                <w:p w14:paraId="4F78833C">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混凝搅拌机</w:t>
                  </w:r>
                </w:p>
              </w:tc>
              <w:tc>
                <w:tcPr>
                  <w:tcW w:w="849" w:type="pct"/>
                  <w:noWrap w:val="0"/>
                  <w:vAlign w:val="center"/>
                </w:tcPr>
                <w:p w14:paraId="370CAC33">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p>
              </w:tc>
              <w:tc>
                <w:tcPr>
                  <w:tcW w:w="648" w:type="pct"/>
                  <w:noWrap w:val="0"/>
                  <w:vAlign w:val="center"/>
                </w:tcPr>
                <w:p w14:paraId="5B96DAAC">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70~75</w:t>
                  </w:r>
                </w:p>
              </w:tc>
              <w:tc>
                <w:tcPr>
                  <w:tcW w:w="501" w:type="pct"/>
                  <w:vMerge w:val="continue"/>
                  <w:noWrap w:val="0"/>
                  <w:vAlign w:val="center"/>
                </w:tcPr>
                <w:p w14:paraId="6FE22FE5">
                  <w:pPr>
                    <w:spacing w:line="240" w:lineRule="auto"/>
                    <w:ind w:firstLine="0" w:firstLineChars="0"/>
                    <w:jc w:val="center"/>
                    <w:rPr>
                      <w:rFonts w:hint="default" w:ascii="Times New Roman" w:hAnsi="Times New Roman" w:eastAsia="宋体" w:cs="Times New Roman"/>
                      <w:color w:val="auto"/>
                      <w:sz w:val="21"/>
                      <w:szCs w:val="21"/>
                    </w:rPr>
                  </w:pPr>
                </w:p>
              </w:tc>
              <w:tc>
                <w:tcPr>
                  <w:tcW w:w="684" w:type="pct"/>
                  <w:noWrap w:val="0"/>
                  <w:vAlign w:val="center"/>
                </w:tcPr>
                <w:p w14:paraId="26576BE9">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20-25</w:t>
                  </w:r>
                </w:p>
              </w:tc>
              <w:tc>
                <w:tcPr>
                  <w:tcW w:w="530" w:type="pct"/>
                  <w:noWrap w:val="0"/>
                  <w:vAlign w:val="center"/>
                </w:tcPr>
                <w:p w14:paraId="57366670">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w:t>
                  </w:r>
                </w:p>
              </w:tc>
            </w:tr>
            <w:tr w14:paraId="656441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shd w:val="clear" w:color="auto" w:fill="auto"/>
                  <w:noWrap w:val="0"/>
                  <w:vAlign w:val="center"/>
                </w:tcPr>
                <w:p w14:paraId="243BC427">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13</w:t>
                  </w:r>
                </w:p>
              </w:tc>
              <w:tc>
                <w:tcPr>
                  <w:tcW w:w="538" w:type="pct"/>
                  <w:vMerge w:val="continue"/>
                  <w:shd w:val="clear" w:color="auto" w:fill="auto"/>
                  <w:noWrap w:val="0"/>
                  <w:vAlign w:val="center"/>
                </w:tcPr>
                <w:p w14:paraId="1F7545CA">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911" w:type="pct"/>
                  <w:noWrap w:val="0"/>
                  <w:vAlign w:val="center"/>
                </w:tcPr>
                <w:p w14:paraId="684EBF4A">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刮泥机</w:t>
                  </w:r>
                </w:p>
              </w:tc>
              <w:tc>
                <w:tcPr>
                  <w:tcW w:w="849" w:type="pct"/>
                  <w:noWrap w:val="0"/>
                  <w:vAlign w:val="center"/>
                </w:tcPr>
                <w:p w14:paraId="7C78E30E">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648" w:type="pct"/>
                  <w:noWrap w:val="0"/>
                  <w:vAlign w:val="center"/>
                </w:tcPr>
                <w:p w14:paraId="712140E3">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63~65</w:t>
                  </w:r>
                </w:p>
              </w:tc>
              <w:tc>
                <w:tcPr>
                  <w:tcW w:w="501" w:type="pct"/>
                  <w:vMerge w:val="continue"/>
                  <w:noWrap w:val="0"/>
                  <w:vAlign w:val="center"/>
                </w:tcPr>
                <w:p w14:paraId="53EA6181">
                  <w:pPr>
                    <w:spacing w:line="240" w:lineRule="auto"/>
                    <w:ind w:firstLine="0" w:firstLineChars="0"/>
                    <w:jc w:val="center"/>
                    <w:rPr>
                      <w:rFonts w:hint="default" w:ascii="Times New Roman" w:hAnsi="Times New Roman" w:eastAsia="宋体" w:cs="Times New Roman"/>
                      <w:color w:val="auto"/>
                      <w:sz w:val="21"/>
                      <w:szCs w:val="21"/>
                    </w:rPr>
                  </w:pPr>
                </w:p>
              </w:tc>
              <w:tc>
                <w:tcPr>
                  <w:tcW w:w="684" w:type="pct"/>
                  <w:noWrap w:val="0"/>
                  <w:vAlign w:val="center"/>
                </w:tcPr>
                <w:p w14:paraId="3E38A267">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20-25</w:t>
                  </w:r>
                </w:p>
              </w:tc>
              <w:tc>
                <w:tcPr>
                  <w:tcW w:w="530" w:type="pct"/>
                  <w:noWrap w:val="0"/>
                  <w:vAlign w:val="center"/>
                </w:tcPr>
                <w:p w14:paraId="355E67EF">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w:t>
                  </w:r>
                </w:p>
              </w:tc>
            </w:tr>
            <w:tr w14:paraId="4D935E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shd w:val="clear" w:color="auto" w:fill="auto"/>
                  <w:noWrap w:val="0"/>
                  <w:vAlign w:val="center"/>
                </w:tcPr>
                <w:p w14:paraId="5D8FCD9C">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14</w:t>
                  </w:r>
                </w:p>
              </w:tc>
              <w:tc>
                <w:tcPr>
                  <w:tcW w:w="538" w:type="pct"/>
                  <w:vMerge w:val="restart"/>
                  <w:shd w:val="clear" w:color="auto" w:fill="auto"/>
                  <w:noWrap w:val="0"/>
                  <w:vAlign w:val="center"/>
                </w:tcPr>
                <w:p w14:paraId="23400C70">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深度脱氮间</w:t>
                  </w:r>
                </w:p>
              </w:tc>
              <w:tc>
                <w:tcPr>
                  <w:tcW w:w="911" w:type="pct"/>
                  <w:shd w:val="clear" w:color="auto" w:fill="auto"/>
                  <w:noWrap w:val="0"/>
                  <w:vAlign w:val="center"/>
                </w:tcPr>
                <w:p w14:paraId="60B8FC3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潜水泵</w:t>
                  </w:r>
                </w:p>
              </w:tc>
              <w:tc>
                <w:tcPr>
                  <w:tcW w:w="849" w:type="pct"/>
                  <w:shd w:val="clear" w:color="auto" w:fill="auto"/>
                  <w:noWrap w:val="0"/>
                  <w:vAlign w:val="center"/>
                </w:tcPr>
                <w:p w14:paraId="0E27865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2（1用1备）</w:t>
                  </w:r>
                </w:p>
              </w:tc>
              <w:tc>
                <w:tcPr>
                  <w:tcW w:w="648" w:type="pct"/>
                  <w:noWrap w:val="0"/>
                  <w:vAlign w:val="center"/>
                </w:tcPr>
                <w:p w14:paraId="67BE8C12">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80~85</w:t>
                  </w:r>
                </w:p>
              </w:tc>
              <w:tc>
                <w:tcPr>
                  <w:tcW w:w="501" w:type="pct"/>
                  <w:vMerge w:val="continue"/>
                  <w:noWrap w:val="0"/>
                  <w:vAlign w:val="center"/>
                </w:tcPr>
                <w:p w14:paraId="025834FA">
                  <w:pPr>
                    <w:spacing w:line="240" w:lineRule="auto"/>
                    <w:ind w:firstLine="0" w:firstLineChars="0"/>
                    <w:jc w:val="center"/>
                    <w:rPr>
                      <w:rFonts w:hint="default" w:ascii="Times New Roman" w:hAnsi="Times New Roman" w:eastAsia="宋体" w:cs="Times New Roman"/>
                      <w:color w:val="auto"/>
                      <w:sz w:val="21"/>
                      <w:szCs w:val="21"/>
                    </w:rPr>
                  </w:pPr>
                </w:p>
              </w:tc>
              <w:tc>
                <w:tcPr>
                  <w:tcW w:w="684" w:type="pct"/>
                  <w:noWrap w:val="0"/>
                  <w:vAlign w:val="center"/>
                </w:tcPr>
                <w:p w14:paraId="3D43B837">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20-25</w:t>
                  </w:r>
                </w:p>
              </w:tc>
              <w:tc>
                <w:tcPr>
                  <w:tcW w:w="530" w:type="pct"/>
                  <w:noWrap w:val="0"/>
                  <w:vAlign w:val="center"/>
                </w:tcPr>
                <w:p w14:paraId="4EE6F941">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w:t>
                  </w:r>
                </w:p>
              </w:tc>
            </w:tr>
            <w:tr w14:paraId="57791D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shd w:val="clear" w:color="auto" w:fill="auto"/>
                  <w:noWrap w:val="0"/>
                  <w:vAlign w:val="center"/>
                </w:tcPr>
                <w:p w14:paraId="615D449E">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15</w:t>
                  </w:r>
                </w:p>
              </w:tc>
              <w:tc>
                <w:tcPr>
                  <w:tcW w:w="538" w:type="pct"/>
                  <w:vMerge w:val="continue"/>
                  <w:shd w:val="clear" w:color="auto" w:fill="auto"/>
                  <w:noWrap w:val="0"/>
                  <w:vAlign w:val="center"/>
                </w:tcPr>
                <w:p w14:paraId="07A37438">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911" w:type="pct"/>
                  <w:shd w:val="clear" w:color="auto" w:fill="auto"/>
                  <w:noWrap w:val="0"/>
                  <w:vAlign w:val="center"/>
                </w:tcPr>
                <w:p w14:paraId="73CD18E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反洗罗茨风机</w:t>
                  </w:r>
                </w:p>
              </w:tc>
              <w:tc>
                <w:tcPr>
                  <w:tcW w:w="849" w:type="pct"/>
                  <w:shd w:val="clear" w:color="auto" w:fill="auto"/>
                  <w:noWrap w:val="0"/>
                  <w:vAlign w:val="center"/>
                </w:tcPr>
                <w:p w14:paraId="60AD2FD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2（1用1备）</w:t>
                  </w:r>
                </w:p>
              </w:tc>
              <w:tc>
                <w:tcPr>
                  <w:tcW w:w="648" w:type="pct"/>
                  <w:noWrap w:val="0"/>
                  <w:vAlign w:val="center"/>
                </w:tcPr>
                <w:p w14:paraId="1A37FD22">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80~85</w:t>
                  </w:r>
                </w:p>
              </w:tc>
              <w:tc>
                <w:tcPr>
                  <w:tcW w:w="501" w:type="pct"/>
                  <w:vMerge w:val="continue"/>
                  <w:noWrap w:val="0"/>
                  <w:vAlign w:val="center"/>
                </w:tcPr>
                <w:p w14:paraId="54C6C431">
                  <w:pPr>
                    <w:spacing w:line="240" w:lineRule="auto"/>
                    <w:ind w:firstLine="0" w:firstLineChars="0"/>
                    <w:jc w:val="center"/>
                    <w:rPr>
                      <w:rFonts w:hint="default" w:ascii="Times New Roman" w:hAnsi="Times New Roman" w:eastAsia="宋体" w:cs="Times New Roman"/>
                      <w:color w:val="auto"/>
                      <w:sz w:val="21"/>
                      <w:szCs w:val="21"/>
                    </w:rPr>
                  </w:pPr>
                </w:p>
              </w:tc>
              <w:tc>
                <w:tcPr>
                  <w:tcW w:w="684" w:type="pct"/>
                  <w:noWrap w:val="0"/>
                  <w:vAlign w:val="center"/>
                </w:tcPr>
                <w:p w14:paraId="3CCFE028">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20-25</w:t>
                  </w:r>
                </w:p>
              </w:tc>
              <w:tc>
                <w:tcPr>
                  <w:tcW w:w="530" w:type="pct"/>
                  <w:noWrap w:val="0"/>
                  <w:vAlign w:val="center"/>
                </w:tcPr>
                <w:p w14:paraId="079FAFDE">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w:t>
                  </w:r>
                </w:p>
              </w:tc>
            </w:tr>
            <w:tr w14:paraId="0907F6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shd w:val="clear" w:color="auto" w:fill="auto"/>
                  <w:noWrap w:val="0"/>
                  <w:vAlign w:val="center"/>
                </w:tcPr>
                <w:p w14:paraId="5A80805A">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16</w:t>
                  </w:r>
                </w:p>
              </w:tc>
              <w:tc>
                <w:tcPr>
                  <w:tcW w:w="538" w:type="pct"/>
                  <w:vMerge w:val="continue"/>
                  <w:shd w:val="clear" w:color="auto" w:fill="auto"/>
                  <w:noWrap w:val="0"/>
                  <w:vAlign w:val="center"/>
                </w:tcPr>
                <w:p w14:paraId="50D47A28">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911" w:type="pct"/>
                  <w:shd w:val="clear" w:color="auto" w:fill="auto"/>
                  <w:noWrap w:val="0"/>
                  <w:vAlign w:val="center"/>
                </w:tcPr>
                <w:p w14:paraId="4CAAC11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空压机</w:t>
                  </w:r>
                </w:p>
              </w:tc>
              <w:tc>
                <w:tcPr>
                  <w:tcW w:w="849" w:type="pct"/>
                  <w:shd w:val="clear" w:color="auto" w:fill="auto"/>
                  <w:noWrap w:val="0"/>
                  <w:vAlign w:val="center"/>
                </w:tcPr>
                <w:p w14:paraId="55A6764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2（1用1备）</w:t>
                  </w:r>
                </w:p>
              </w:tc>
              <w:tc>
                <w:tcPr>
                  <w:tcW w:w="648" w:type="pct"/>
                  <w:noWrap w:val="0"/>
                  <w:vAlign w:val="center"/>
                </w:tcPr>
                <w:p w14:paraId="7F05218B">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80~85</w:t>
                  </w:r>
                </w:p>
              </w:tc>
              <w:tc>
                <w:tcPr>
                  <w:tcW w:w="501" w:type="pct"/>
                  <w:vMerge w:val="continue"/>
                  <w:noWrap w:val="0"/>
                  <w:vAlign w:val="center"/>
                </w:tcPr>
                <w:p w14:paraId="432C1ECC">
                  <w:pPr>
                    <w:spacing w:line="240" w:lineRule="auto"/>
                    <w:ind w:firstLine="0" w:firstLineChars="0"/>
                    <w:jc w:val="center"/>
                    <w:rPr>
                      <w:rFonts w:hint="default" w:ascii="Times New Roman" w:hAnsi="Times New Roman" w:eastAsia="宋体" w:cs="Times New Roman"/>
                      <w:color w:val="auto"/>
                      <w:sz w:val="21"/>
                      <w:szCs w:val="21"/>
                    </w:rPr>
                  </w:pPr>
                </w:p>
              </w:tc>
              <w:tc>
                <w:tcPr>
                  <w:tcW w:w="684" w:type="pct"/>
                  <w:noWrap w:val="0"/>
                  <w:vAlign w:val="center"/>
                </w:tcPr>
                <w:p w14:paraId="02A599DB">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20-25</w:t>
                  </w:r>
                </w:p>
              </w:tc>
              <w:tc>
                <w:tcPr>
                  <w:tcW w:w="530" w:type="pct"/>
                  <w:noWrap w:val="0"/>
                  <w:vAlign w:val="center"/>
                </w:tcPr>
                <w:p w14:paraId="5D811499">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w:t>
                  </w:r>
                </w:p>
              </w:tc>
            </w:tr>
            <w:tr w14:paraId="388B0A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shd w:val="clear" w:color="auto" w:fill="auto"/>
                  <w:noWrap w:val="0"/>
                  <w:vAlign w:val="center"/>
                </w:tcPr>
                <w:p w14:paraId="5CD98F9D">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17</w:t>
                  </w:r>
                </w:p>
              </w:tc>
              <w:tc>
                <w:tcPr>
                  <w:tcW w:w="538" w:type="pct"/>
                  <w:vMerge w:val="continue"/>
                  <w:shd w:val="clear" w:color="auto" w:fill="auto"/>
                  <w:noWrap w:val="0"/>
                  <w:vAlign w:val="center"/>
                </w:tcPr>
                <w:p w14:paraId="0926607E">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911" w:type="pct"/>
                  <w:noWrap w:val="0"/>
                  <w:vAlign w:val="center"/>
                </w:tcPr>
                <w:p w14:paraId="5BDB2D8F">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提升泵</w:t>
                  </w:r>
                </w:p>
              </w:tc>
              <w:tc>
                <w:tcPr>
                  <w:tcW w:w="849" w:type="pct"/>
                  <w:noWrap w:val="0"/>
                  <w:vAlign w:val="center"/>
                </w:tcPr>
                <w:p w14:paraId="3051010E">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2（1用1备）</w:t>
                  </w:r>
                </w:p>
              </w:tc>
              <w:tc>
                <w:tcPr>
                  <w:tcW w:w="648" w:type="pct"/>
                  <w:noWrap w:val="0"/>
                  <w:vAlign w:val="center"/>
                </w:tcPr>
                <w:p w14:paraId="00288411">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80~85</w:t>
                  </w:r>
                </w:p>
              </w:tc>
              <w:tc>
                <w:tcPr>
                  <w:tcW w:w="501" w:type="pct"/>
                  <w:vMerge w:val="continue"/>
                  <w:noWrap w:val="0"/>
                  <w:vAlign w:val="center"/>
                </w:tcPr>
                <w:p w14:paraId="7C1F7EAC">
                  <w:pPr>
                    <w:spacing w:line="240" w:lineRule="auto"/>
                    <w:ind w:firstLine="0" w:firstLineChars="0"/>
                    <w:jc w:val="center"/>
                    <w:rPr>
                      <w:rFonts w:hint="default" w:ascii="Times New Roman" w:hAnsi="Times New Roman" w:eastAsia="宋体" w:cs="Times New Roman"/>
                      <w:color w:val="auto"/>
                      <w:sz w:val="21"/>
                      <w:szCs w:val="21"/>
                    </w:rPr>
                  </w:pPr>
                </w:p>
              </w:tc>
              <w:tc>
                <w:tcPr>
                  <w:tcW w:w="684" w:type="pct"/>
                  <w:noWrap w:val="0"/>
                  <w:vAlign w:val="center"/>
                </w:tcPr>
                <w:p w14:paraId="1746CF10">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20-25</w:t>
                  </w:r>
                </w:p>
              </w:tc>
              <w:tc>
                <w:tcPr>
                  <w:tcW w:w="530" w:type="pct"/>
                  <w:noWrap w:val="0"/>
                  <w:vAlign w:val="center"/>
                </w:tcPr>
                <w:p w14:paraId="66BA69A4">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w:t>
                  </w:r>
                </w:p>
              </w:tc>
            </w:tr>
            <w:tr w14:paraId="4CD5E2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shd w:val="clear" w:color="auto" w:fill="auto"/>
                  <w:noWrap w:val="0"/>
                  <w:vAlign w:val="center"/>
                </w:tcPr>
                <w:p w14:paraId="40C4116D">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18</w:t>
                  </w:r>
                </w:p>
              </w:tc>
              <w:tc>
                <w:tcPr>
                  <w:tcW w:w="538" w:type="pct"/>
                  <w:vMerge w:val="restart"/>
                  <w:shd w:val="clear" w:color="auto" w:fill="auto"/>
                  <w:noWrap w:val="0"/>
                  <w:vAlign w:val="center"/>
                </w:tcPr>
                <w:p w14:paraId="61431D5C">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污泥脱水间</w:t>
                  </w:r>
                </w:p>
              </w:tc>
              <w:tc>
                <w:tcPr>
                  <w:tcW w:w="911" w:type="pct"/>
                  <w:shd w:val="clear" w:color="auto" w:fill="auto"/>
                  <w:noWrap w:val="0"/>
                  <w:vAlign w:val="center"/>
                </w:tcPr>
                <w:p w14:paraId="6D2E4BE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浓缩机进料泵</w:t>
                  </w:r>
                </w:p>
              </w:tc>
              <w:tc>
                <w:tcPr>
                  <w:tcW w:w="849" w:type="pct"/>
                  <w:shd w:val="clear" w:color="auto" w:fill="auto"/>
                  <w:noWrap w:val="0"/>
                  <w:vAlign w:val="center"/>
                </w:tcPr>
                <w:p w14:paraId="02C00BF2">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2（1用1备）</w:t>
                  </w:r>
                </w:p>
              </w:tc>
              <w:tc>
                <w:tcPr>
                  <w:tcW w:w="648" w:type="pct"/>
                  <w:noWrap w:val="0"/>
                  <w:vAlign w:val="center"/>
                </w:tcPr>
                <w:p w14:paraId="0120E2E7">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70~75</w:t>
                  </w:r>
                </w:p>
              </w:tc>
              <w:tc>
                <w:tcPr>
                  <w:tcW w:w="501" w:type="pct"/>
                  <w:vMerge w:val="continue"/>
                  <w:noWrap w:val="0"/>
                  <w:vAlign w:val="center"/>
                </w:tcPr>
                <w:p w14:paraId="43702F76">
                  <w:pPr>
                    <w:spacing w:line="240" w:lineRule="auto"/>
                    <w:ind w:firstLine="0" w:firstLineChars="0"/>
                    <w:jc w:val="center"/>
                    <w:rPr>
                      <w:rFonts w:hint="default" w:ascii="Times New Roman" w:hAnsi="Times New Roman" w:eastAsia="宋体" w:cs="Times New Roman"/>
                      <w:color w:val="auto"/>
                      <w:sz w:val="21"/>
                      <w:szCs w:val="21"/>
                    </w:rPr>
                  </w:pPr>
                </w:p>
              </w:tc>
              <w:tc>
                <w:tcPr>
                  <w:tcW w:w="684" w:type="pct"/>
                  <w:noWrap w:val="0"/>
                  <w:vAlign w:val="center"/>
                </w:tcPr>
                <w:p w14:paraId="0019956D">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20-25</w:t>
                  </w:r>
                </w:p>
              </w:tc>
              <w:tc>
                <w:tcPr>
                  <w:tcW w:w="530" w:type="pct"/>
                  <w:noWrap w:val="0"/>
                  <w:vAlign w:val="center"/>
                </w:tcPr>
                <w:p w14:paraId="08D6F912">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w:t>
                  </w:r>
                </w:p>
              </w:tc>
            </w:tr>
            <w:tr w14:paraId="0DD86B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noWrap w:val="0"/>
                  <w:vAlign w:val="center"/>
                </w:tcPr>
                <w:p w14:paraId="10E7C370">
                  <w:pPr>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1</w:t>
                  </w:r>
                  <w:r>
                    <w:rPr>
                      <w:rFonts w:hint="default" w:ascii="Times New Roman" w:hAnsi="Times New Roman" w:eastAsia="宋体" w:cs="Times New Roman"/>
                      <w:color w:val="auto"/>
                      <w:sz w:val="21"/>
                      <w:szCs w:val="21"/>
                      <w:lang w:val="en-US" w:eastAsia="zh-CN"/>
                    </w:rPr>
                    <w:t>9</w:t>
                  </w:r>
                </w:p>
              </w:tc>
              <w:tc>
                <w:tcPr>
                  <w:tcW w:w="538" w:type="pct"/>
                  <w:vMerge w:val="continue"/>
                  <w:shd w:val="clear" w:color="auto" w:fill="auto"/>
                  <w:noWrap w:val="0"/>
                  <w:vAlign w:val="center"/>
                </w:tcPr>
                <w:p w14:paraId="2B64C146">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911" w:type="pct"/>
                  <w:shd w:val="clear" w:color="auto" w:fill="auto"/>
                  <w:noWrap w:val="0"/>
                  <w:vAlign w:val="center"/>
                </w:tcPr>
                <w:p w14:paraId="672A98D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叠螺式污泥浓缩机</w:t>
                  </w:r>
                </w:p>
              </w:tc>
              <w:tc>
                <w:tcPr>
                  <w:tcW w:w="849" w:type="pct"/>
                  <w:shd w:val="clear" w:color="auto" w:fill="auto"/>
                  <w:noWrap w:val="0"/>
                  <w:vAlign w:val="center"/>
                </w:tcPr>
                <w:p w14:paraId="4976D581">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w:t>
                  </w:r>
                </w:p>
              </w:tc>
              <w:tc>
                <w:tcPr>
                  <w:tcW w:w="648" w:type="pct"/>
                  <w:noWrap w:val="0"/>
                  <w:vAlign w:val="center"/>
                </w:tcPr>
                <w:p w14:paraId="03A341D9">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70~75</w:t>
                  </w:r>
                </w:p>
              </w:tc>
              <w:tc>
                <w:tcPr>
                  <w:tcW w:w="501" w:type="pct"/>
                  <w:vMerge w:val="continue"/>
                  <w:noWrap w:val="0"/>
                  <w:vAlign w:val="center"/>
                </w:tcPr>
                <w:p w14:paraId="3A439185">
                  <w:pPr>
                    <w:spacing w:line="240" w:lineRule="auto"/>
                    <w:ind w:firstLine="0" w:firstLineChars="0"/>
                    <w:jc w:val="center"/>
                    <w:rPr>
                      <w:rFonts w:hint="default" w:ascii="Times New Roman" w:hAnsi="Times New Roman" w:eastAsia="宋体" w:cs="Times New Roman"/>
                      <w:color w:val="auto"/>
                      <w:sz w:val="21"/>
                      <w:szCs w:val="21"/>
                    </w:rPr>
                  </w:pPr>
                </w:p>
              </w:tc>
              <w:tc>
                <w:tcPr>
                  <w:tcW w:w="684" w:type="pct"/>
                  <w:noWrap w:val="0"/>
                  <w:vAlign w:val="center"/>
                </w:tcPr>
                <w:p w14:paraId="1F6DEBF8">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20-25</w:t>
                  </w:r>
                </w:p>
              </w:tc>
              <w:tc>
                <w:tcPr>
                  <w:tcW w:w="530" w:type="pct"/>
                  <w:noWrap w:val="0"/>
                  <w:vAlign w:val="center"/>
                </w:tcPr>
                <w:p w14:paraId="3238FA60">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w:t>
                  </w:r>
                </w:p>
              </w:tc>
            </w:tr>
            <w:tr w14:paraId="254087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noWrap w:val="0"/>
                  <w:vAlign w:val="center"/>
                </w:tcPr>
                <w:p w14:paraId="740D67C5">
                  <w:pPr>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w:t>
                  </w:r>
                </w:p>
              </w:tc>
              <w:tc>
                <w:tcPr>
                  <w:tcW w:w="538" w:type="pct"/>
                  <w:vMerge w:val="continue"/>
                  <w:shd w:val="clear" w:color="auto" w:fill="auto"/>
                  <w:noWrap w:val="0"/>
                  <w:vAlign w:val="center"/>
                </w:tcPr>
                <w:p w14:paraId="4CCA3621">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911" w:type="pct"/>
                  <w:shd w:val="clear" w:color="auto" w:fill="auto"/>
                  <w:noWrap w:val="0"/>
                  <w:vAlign w:val="center"/>
                </w:tcPr>
                <w:p w14:paraId="69C0EF6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超高压压榨机</w:t>
                  </w:r>
                </w:p>
              </w:tc>
              <w:tc>
                <w:tcPr>
                  <w:tcW w:w="849" w:type="pct"/>
                  <w:shd w:val="clear" w:color="auto" w:fill="auto"/>
                  <w:noWrap w:val="0"/>
                  <w:vAlign w:val="center"/>
                </w:tcPr>
                <w:p w14:paraId="6F833A4D">
                  <w:pPr>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648" w:type="pct"/>
                  <w:noWrap w:val="0"/>
                  <w:vAlign w:val="center"/>
                </w:tcPr>
                <w:p w14:paraId="0AAD85D6">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70~75</w:t>
                  </w:r>
                </w:p>
              </w:tc>
              <w:tc>
                <w:tcPr>
                  <w:tcW w:w="501" w:type="pct"/>
                  <w:vMerge w:val="continue"/>
                  <w:noWrap w:val="0"/>
                  <w:vAlign w:val="center"/>
                </w:tcPr>
                <w:p w14:paraId="1478F917">
                  <w:pPr>
                    <w:spacing w:line="240" w:lineRule="auto"/>
                    <w:ind w:firstLine="0" w:firstLineChars="0"/>
                    <w:jc w:val="center"/>
                    <w:rPr>
                      <w:rFonts w:hint="default" w:ascii="Times New Roman" w:hAnsi="Times New Roman" w:eastAsia="宋体" w:cs="Times New Roman"/>
                      <w:color w:val="auto"/>
                      <w:sz w:val="21"/>
                      <w:szCs w:val="21"/>
                    </w:rPr>
                  </w:pPr>
                </w:p>
              </w:tc>
              <w:tc>
                <w:tcPr>
                  <w:tcW w:w="684" w:type="pct"/>
                  <w:noWrap w:val="0"/>
                  <w:vAlign w:val="center"/>
                </w:tcPr>
                <w:p w14:paraId="793B3440">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20-25</w:t>
                  </w:r>
                </w:p>
              </w:tc>
              <w:tc>
                <w:tcPr>
                  <w:tcW w:w="530" w:type="pct"/>
                  <w:noWrap w:val="0"/>
                  <w:vAlign w:val="center"/>
                </w:tcPr>
                <w:p w14:paraId="2E584CDE">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w:t>
                  </w:r>
                </w:p>
              </w:tc>
            </w:tr>
            <w:tr w14:paraId="0023E0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6" w:type="pct"/>
                  <w:noWrap w:val="0"/>
                  <w:vAlign w:val="center"/>
                </w:tcPr>
                <w:p w14:paraId="526269AD">
                  <w:pPr>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w:t>
                  </w:r>
                </w:p>
              </w:tc>
              <w:tc>
                <w:tcPr>
                  <w:tcW w:w="538" w:type="pct"/>
                  <w:vMerge w:val="continue"/>
                  <w:shd w:val="clear" w:color="auto" w:fill="auto"/>
                  <w:noWrap w:val="0"/>
                  <w:vAlign w:val="center"/>
                </w:tcPr>
                <w:p w14:paraId="57216A2C">
                  <w:pPr>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911" w:type="pct"/>
                  <w:shd w:val="clear" w:color="auto" w:fill="auto"/>
                  <w:noWrap w:val="0"/>
                  <w:vAlign w:val="center"/>
                </w:tcPr>
                <w:p w14:paraId="3032F07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空压机</w:t>
                  </w:r>
                </w:p>
              </w:tc>
              <w:tc>
                <w:tcPr>
                  <w:tcW w:w="849" w:type="pct"/>
                  <w:shd w:val="clear" w:color="auto" w:fill="auto"/>
                  <w:noWrap w:val="0"/>
                  <w:vAlign w:val="center"/>
                </w:tcPr>
                <w:p w14:paraId="5E9A17C2">
                  <w:pPr>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648" w:type="pct"/>
                  <w:noWrap w:val="0"/>
                  <w:vAlign w:val="center"/>
                </w:tcPr>
                <w:p w14:paraId="0F4ECC7E">
                  <w:pPr>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70~</w:t>
                  </w:r>
                  <w:r>
                    <w:rPr>
                      <w:rFonts w:hint="default" w:ascii="Times New Roman" w:hAnsi="Times New Roman" w:eastAsia="宋体" w:cs="Times New Roman"/>
                      <w:color w:val="auto"/>
                      <w:sz w:val="21"/>
                      <w:szCs w:val="21"/>
                      <w:lang w:val="en-US" w:eastAsia="zh-CN"/>
                    </w:rPr>
                    <w:t>80</w:t>
                  </w:r>
                </w:p>
              </w:tc>
              <w:tc>
                <w:tcPr>
                  <w:tcW w:w="501" w:type="pct"/>
                  <w:vMerge w:val="continue"/>
                  <w:noWrap w:val="0"/>
                  <w:vAlign w:val="center"/>
                </w:tcPr>
                <w:p w14:paraId="694FCCB4">
                  <w:pPr>
                    <w:spacing w:line="240" w:lineRule="auto"/>
                    <w:ind w:firstLine="0" w:firstLineChars="0"/>
                    <w:jc w:val="center"/>
                    <w:rPr>
                      <w:rFonts w:hint="default" w:ascii="Times New Roman" w:hAnsi="Times New Roman" w:eastAsia="宋体" w:cs="Times New Roman"/>
                      <w:color w:val="auto"/>
                      <w:sz w:val="21"/>
                      <w:szCs w:val="21"/>
                    </w:rPr>
                  </w:pPr>
                </w:p>
              </w:tc>
              <w:tc>
                <w:tcPr>
                  <w:tcW w:w="684" w:type="pct"/>
                  <w:noWrap w:val="0"/>
                  <w:vAlign w:val="center"/>
                </w:tcPr>
                <w:p w14:paraId="6D987798">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20-25</w:t>
                  </w:r>
                </w:p>
              </w:tc>
              <w:tc>
                <w:tcPr>
                  <w:tcW w:w="530" w:type="pct"/>
                  <w:noWrap w:val="0"/>
                  <w:vAlign w:val="center"/>
                </w:tcPr>
                <w:p w14:paraId="2F73719B">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w:t>
                  </w:r>
                </w:p>
              </w:tc>
            </w:tr>
          </w:tbl>
          <w:p w14:paraId="5224F81F">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80" w:firstLineChars="200"/>
              <w:textAlignment w:val="auto"/>
              <w:rPr>
                <w:rFonts w:hint="default" w:ascii="Times New Roman" w:hAnsi="Times New Roman" w:eastAsia="宋体" w:cs="Times New Roman"/>
                <w:snapToGrid w:val="0"/>
                <w:color w:val="auto"/>
                <w:sz w:val="24"/>
                <w:highlight w:val="none"/>
                <w:lang w:eastAsia="zh-CN"/>
              </w:rPr>
            </w:pPr>
            <w:r>
              <w:rPr>
                <w:rFonts w:hint="default" w:ascii="Times New Roman" w:hAnsi="Times New Roman" w:eastAsia="宋体" w:cs="Times New Roman"/>
                <w:snapToGrid w:val="0"/>
                <w:color w:val="auto"/>
                <w:sz w:val="24"/>
                <w:highlight w:val="none"/>
              </w:rPr>
              <w:t>生产设备选型上立足节能、环保，优先选用先进的低噪声设备，根据不同的声源声级及现场使用情况</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对各类噪声设备分别进行基础减振</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高效的维护和管理同时考虑在车间进行合理布置、隔声、减振等防噪降噪措施。具体措施如下</w:t>
            </w:r>
            <w:r>
              <w:rPr>
                <w:rFonts w:hint="default" w:ascii="Times New Roman" w:hAnsi="Times New Roman" w:eastAsia="宋体" w:cs="Times New Roman"/>
                <w:snapToGrid w:val="0"/>
                <w:color w:val="auto"/>
                <w:sz w:val="24"/>
                <w:highlight w:val="none"/>
                <w:lang w:eastAsia="zh-CN"/>
              </w:rPr>
              <w:t>：</w:t>
            </w:r>
          </w:p>
          <w:p w14:paraId="09F62D1C">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lang w:val="en-US" w:eastAsia="zh-CN"/>
              </w:rPr>
              <w:t>1</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从声源上控制</w:t>
            </w:r>
            <w:r>
              <w:rPr>
                <w:rFonts w:hint="eastAsia" w:cs="Times New Roman"/>
                <w:snapToGrid w:val="0"/>
                <w:color w:val="auto"/>
                <w:sz w:val="24"/>
                <w:highlight w:val="none"/>
                <w:lang w:eastAsia="zh-CN"/>
              </w:rPr>
              <w:t>噪声</w:t>
            </w:r>
            <w:r>
              <w:rPr>
                <w:rFonts w:hint="default" w:ascii="Times New Roman" w:hAnsi="Times New Roman" w:eastAsia="宋体" w:cs="Times New Roman"/>
                <w:snapToGrid w:val="0"/>
                <w:color w:val="auto"/>
                <w:sz w:val="24"/>
                <w:highlight w:val="none"/>
              </w:rPr>
              <w:t>，优先选用先进的低噪声设备，尤其是各类水泵</w:t>
            </w:r>
            <w:r>
              <w:rPr>
                <w:rFonts w:hint="eastAsia" w:cs="Times New Roman"/>
                <w:snapToGrid w:val="0"/>
                <w:color w:val="auto"/>
                <w:sz w:val="24"/>
                <w:highlight w:val="none"/>
                <w:lang w:eastAsia="zh-CN"/>
              </w:rPr>
              <w:t>及</w:t>
            </w:r>
            <w:r>
              <w:rPr>
                <w:rFonts w:hint="default" w:ascii="Times New Roman" w:hAnsi="Times New Roman" w:eastAsia="宋体" w:cs="Times New Roman"/>
                <w:snapToGrid w:val="0"/>
                <w:color w:val="auto"/>
                <w:sz w:val="24"/>
                <w:highlight w:val="none"/>
              </w:rPr>
              <w:t>风机等。</w:t>
            </w:r>
          </w:p>
          <w:p w14:paraId="7432EC90">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lang w:val="en-US" w:eastAsia="zh-CN"/>
              </w:rPr>
              <w:t>2</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高噪声设备尽量布置在室内，如污泥脱水机、鼓风机等，增加基础减振设施。</w:t>
            </w:r>
          </w:p>
          <w:p w14:paraId="2D25B70D">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lang w:val="en-US" w:eastAsia="zh-CN"/>
              </w:rPr>
              <w:t>3</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对各类风机的进、出口处安装阻性消声器，并在机组与地基之间安置减震器，风机采用减振基础和柔性接头。</w:t>
            </w:r>
          </w:p>
          <w:p w14:paraId="20543525">
            <w:pPr>
              <w:snapToGrid w:val="0"/>
              <w:spacing w:line="360" w:lineRule="auto"/>
              <w:ind w:firstLine="480" w:firstLineChars="200"/>
              <w:rPr>
                <w:rFonts w:hint="default" w:ascii="Times New Roman" w:hAnsi="Times New Roman" w:eastAsia="宋体" w:cs="Times New Roman"/>
                <w:snapToGrid w:val="0"/>
                <w:color w:val="auto"/>
                <w:sz w:val="24"/>
                <w:highlight w:val="none"/>
                <w:lang w:eastAsia="zh-CN"/>
              </w:rPr>
            </w:pP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lang w:val="en-US" w:eastAsia="zh-CN"/>
              </w:rPr>
              <w:t>4</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污水泵和污泥泵尽量采用潜污泵，在水下基本无噪声，地上泵类尽量布置在室内，同时采用减振基础和柔性接头</w:t>
            </w:r>
            <w:r>
              <w:rPr>
                <w:rFonts w:hint="default" w:ascii="Times New Roman" w:hAnsi="Times New Roman" w:eastAsia="宋体" w:cs="Times New Roman"/>
                <w:snapToGrid w:val="0"/>
                <w:color w:val="auto"/>
                <w:sz w:val="24"/>
                <w:highlight w:val="none"/>
                <w:lang w:eastAsia="zh-CN"/>
              </w:rPr>
              <w:t>。</w:t>
            </w:r>
          </w:p>
          <w:p w14:paraId="4AB15160">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lang w:val="en-US" w:eastAsia="zh-CN"/>
              </w:rPr>
              <w:t>5</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加强对各</w:t>
            </w:r>
            <w:r>
              <w:rPr>
                <w:rFonts w:hint="eastAsia" w:cs="Times New Roman"/>
                <w:snapToGrid w:val="0"/>
                <w:color w:val="auto"/>
                <w:sz w:val="24"/>
                <w:highlight w:val="none"/>
                <w:lang w:eastAsia="zh-CN"/>
              </w:rPr>
              <w:t>类</w:t>
            </w:r>
            <w:r>
              <w:rPr>
                <w:rFonts w:hint="default" w:ascii="Times New Roman" w:hAnsi="Times New Roman" w:eastAsia="宋体" w:cs="Times New Roman"/>
                <w:snapToGrid w:val="0"/>
                <w:color w:val="auto"/>
                <w:sz w:val="24"/>
                <w:highlight w:val="none"/>
              </w:rPr>
              <w:t>噪声设备的保养与检修，确保设备处于良好的运转状态，杜绝因设备不正常运转</w:t>
            </w:r>
            <w:r>
              <w:rPr>
                <w:rFonts w:hint="eastAsia" w:cs="Times New Roman"/>
                <w:snapToGrid w:val="0"/>
                <w:color w:val="auto"/>
                <w:sz w:val="24"/>
                <w:highlight w:val="none"/>
                <w:lang w:eastAsia="zh-CN"/>
              </w:rPr>
              <w:t>而</w:t>
            </w:r>
            <w:r>
              <w:rPr>
                <w:rFonts w:hint="default" w:ascii="Times New Roman" w:hAnsi="Times New Roman" w:eastAsia="宋体" w:cs="Times New Roman"/>
                <w:snapToGrid w:val="0"/>
                <w:color w:val="auto"/>
                <w:sz w:val="24"/>
                <w:highlight w:val="none"/>
              </w:rPr>
              <w:t>产生的高噪声现象。</w:t>
            </w:r>
          </w:p>
          <w:p w14:paraId="055C620C">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lang w:val="en-US" w:eastAsia="zh-CN"/>
              </w:rPr>
              <w:t>6</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通过合理的平面布置，并建设绿化隔离带，以降低噪声并美化环境。</w:t>
            </w:r>
          </w:p>
          <w:p w14:paraId="19C6C394">
            <w:pPr>
              <w:adjustRightInd w:val="0"/>
              <w:snapToGrid w:val="0"/>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3.2噪声预测及达标情况</w:t>
            </w:r>
          </w:p>
          <w:p w14:paraId="2C7AEC2E">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声源在预测位置的声压级计算公式为：</w:t>
            </w:r>
          </w:p>
          <w:p w14:paraId="02C36F3D">
            <w:pPr>
              <w:snapToGrid w:val="0"/>
              <w:spacing w:line="360" w:lineRule="auto"/>
              <w:jc w:val="center"/>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L</w:t>
            </w:r>
            <w:r>
              <w:rPr>
                <w:rFonts w:hint="default" w:ascii="Times New Roman" w:hAnsi="Times New Roman" w:eastAsia="宋体" w:cs="Times New Roman"/>
                <w:snapToGrid w:val="0"/>
                <w:color w:val="auto"/>
                <w:sz w:val="24"/>
                <w:highlight w:val="none"/>
                <w:vertAlign w:val="subscript"/>
              </w:rPr>
              <w:t>p</w:t>
            </w:r>
            <w:r>
              <w:rPr>
                <w:rFonts w:hint="default" w:ascii="Times New Roman" w:hAnsi="Times New Roman" w:eastAsia="宋体" w:cs="Times New Roman"/>
                <w:snapToGrid w:val="0"/>
                <w:color w:val="auto"/>
                <w:sz w:val="24"/>
                <w:highlight w:val="none"/>
              </w:rPr>
              <w:t>（r）=L</w:t>
            </w:r>
            <w:r>
              <w:rPr>
                <w:rFonts w:hint="default" w:ascii="Times New Roman" w:hAnsi="Times New Roman" w:eastAsia="宋体" w:cs="Times New Roman"/>
                <w:snapToGrid w:val="0"/>
                <w:color w:val="auto"/>
                <w:sz w:val="24"/>
                <w:highlight w:val="none"/>
                <w:vertAlign w:val="subscript"/>
              </w:rPr>
              <w:t>w</w:t>
            </w:r>
            <w:r>
              <w:rPr>
                <w:rFonts w:hint="default" w:ascii="Times New Roman" w:hAnsi="Times New Roman" w:eastAsia="宋体" w:cs="Times New Roman"/>
                <w:snapToGrid w:val="0"/>
                <w:color w:val="auto"/>
                <w:sz w:val="24"/>
                <w:highlight w:val="none"/>
              </w:rPr>
              <w:t>+Dc-（A</w:t>
            </w:r>
            <w:r>
              <w:rPr>
                <w:rFonts w:hint="default" w:ascii="Times New Roman" w:hAnsi="Times New Roman" w:eastAsia="宋体" w:cs="Times New Roman"/>
                <w:snapToGrid w:val="0"/>
                <w:color w:val="auto"/>
                <w:sz w:val="24"/>
                <w:highlight w:val="none"/>
                <w:vertAlign w:val="subscript"/>
              </w:rPr>
              <w:t>div</w:t>
            </w:r>
            <w:r>
              <w:rPr>
                <w:rFonts w:hint="default" w:ascii="Times New Roman" w:hAnsi="Times New Roman" w:eastAsia="宋体" w:cs="Times New Roman"/>
                <w:snapToGrid w:val="0"/>
                <w:color w:val="auto"/>
                <w:sz w:val="24"/>
                <w:highlight w:val="none"/>
              </w:rPr>
              <w:t>+A</w:t>
            </w:r>
            <w:r>
              <w:rPr>
                <w:rFonts w:hint="default" w:ascii="Times New Roman" w:hAnsi="Times New Roman" w:eastAsia="宋体" w:cs="Times New Roman"/>
                <w:snapToGrid w:val="0"/>
                <w:color w:val="auto"/>
                <w:sz w:val="24"/>
                <w:highlight w:val="none"/>
                <w:vertAlign w:val="subscript"/>
              </w:rPr>
              <w:t>at</w:t>
            </w:r>
            <w:r>
              <w:rPr>
                <w:rFonts w:hint="eastAsia" w:cs="Times New Roman"/>
                <w:snapToGrid w:val="0"/>
                <w:color w:val="auto"/>
                <w:sz w:val="24"/>
                <w:highlight w:val="none"/>
                <w:vertAlign w:val="baseline"/>
                <w:lang w:eastAsia="zh-CN"/>
              </w:rPr>
              <w:t>m</w:t>
            </w:r>
            <w:r>
              <w:rPr>
                <w:rFonts w:hint="default" w:ascii="Times New Roman" w:hAnsi="Times New Roman" w:eastAsia="宋体" w:cs="Times New Roman"/>
                <w:snapToGrid w:val="0"/>
                <w:color w:val="auto"/>
                <w:sz w:val="24"/>
                <w:highlight w:val="none"/>
              </w:rPr>
              <w:t>+A</w:t>
            </w:r>
            <w:r>
              <w:rPr>
                <w:rFonts w:hint="default" w:ascii="Times New Roman" w:hAnsi="Times New Roman" w:eastAsia="宋体" w:cs="Times New Roman"/>
                <w:snapToGrid w:val="0"/>
                <w:color w:val="auto"/>
                <w:sz w:val="24"/>
                <w:highlight w:val="none"/>
                <w:vertAlign w:val="subscript"/>
              </w:rPr>
              <w:t>gr</w:t>
            </w:r>
            <w:r>
              <w:rPr>
                <w:rFonts w:hint="default" w:ascii="Times New Roman" w:hAnsi="Times New Roman" w:eastAsia="宋体" w:cs="Times New Roman"/>
                <w:snapToGrid w:val="0"/>
                <w:color w:val="auto"/>
                <w:sz w:val="24"/>
                <w:highlight w:val="none"/>
              </w:rPr>
              <w:t>+A</w:t>
            </w:r>
            <w:r>
              <w:rPr>
                <w:rFonts w:hint="default" w:ascii="Times New Roman" w:hAnsi="Times New Roman" w:eastAsia="宋体" w:cs="Times New Roman"/>
                <w:snapToGrid w:val="0"/>
                <w:color w:val="auto"/>
                <w:sz w:val="24"/>
                <w:highlight w:val="none"/>
                <w:vertAlign w:val="subscript"/>
              </w:rPr>
              <w:t>bar</w:t>
            </w:r>
            <w:r>
              <w:rPr>
                <w:rFonts w:hint="default" w:ascii="Times New Roman" w:hAnsi="Times New Roman" w:eastAsia="宋体" w:cs="Times New Roman"/>
                <w:snapToGrid w:val="0"/>
                <w:color w:val="auto"/>
                <w:sz w:val="24"/>
                <w:highlight w:val="none"/>
              </w:rPr>
              <w:t>+A</w:t>
            </w:r>
            <w:r>
              <w:rPr>
                <w:rFonts w:hint="eastAsia" w:cs="Times New Roman"/>
                <w:snapToGrid w:val="0"/>
                <w:color w:val="auto"/>
                <w:sz w:val="24"/>
                <w:highlight w:val="none"/>
                <w:vertAlign w:val="baseline"/>
                <w:lang w:eastAsia="zh-CN"/>
              </w:rPr>
              <w:t>m</w:t>
            </w:r>
            <w:r>
              <w:rPr>
                <w:rFonts w:hint="default" w:ascii="Times New Roman" w:hAnsi="Times New Roman" w:eastAsia="宋体" w:cs="Times New Roman"/>
                <w:snapToGrid w:val="0"/>
                <w:color w:val="auto"/>
                <w:sz w:val="24"/>
                <w:highlight w:val="none"/>
                <w:vertAlign w:val="subscript"/>
              </w:rPr>
              <w:t>isc</w:t>
            </w:r>
            <w:r>
              <w:rPr>
                <w:rFonts w:hint="default" w:ascii="Times New Roman" w:hAnsi="Times New Roman" w:eastAsia="宋体" w:cs="Times New Roman"/>
                <w:snapToGrid w:val="0"/>
                <w:color w:val="auto"/>
                <w:sz w:val="24"/>
                <w:highlight w:val="none"/>
              </w:rPr>
              <w:t>）</w:t>
            </w:r>
          </w:p>
          <w:p w14:paraId="1E8F386D">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式中：L</w:t>
            </w:r>
            <w:r>
              <w:rPr>
                <w:rFonts w:hint="default" w:ascii="Times New Roman" w:hAnsi="Times New Roman" w:eastAsia="宋体" w:cs="Times New Roman"/>
                <w:snapToGrid w:val="0"/>
                <w:color w:val="auto"/>
                <w:sz w:val="24"/>
                <w:highlight w:val="none"/>
                <w:vertAlign w:val="subscript"/>
              </w:rPr>
              <w:t>p</w:t>
            </w:r>
            <w:r>
              <w:rPr>
                <w:rFonts w:hint="default" w:ascii="Times New Roman" w:hAnsi="Times New Roman" w:eastAsia="宋体" w:cs="Times New Roman"/>
                <w:snapToGrid w:val="0"/>
                <w:color w:val="auto"/>
                <w:sz w:val="24"/>
                <w:highlight w:val="none"/>
              </w:rPr>
              <w:t>（r）----预测点处声压级，dB;</w:t>
            </w:r>
          </w:p>
          <w:p w14:paraId="2398BEE4">
            <w:pPr>
              <w:snapToGrid w:val="0"/>
              <w:spacing w:line="360" w:lineRule="auto"/>
              <w:ind w:firstLine="1200" w:firstLineChars="5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Lw----由点声源产生的声功率级（A计权或倍频带），dB；</w:t>
            </w:r>
          </w:p>
          <w:p w14:paraId="5805BCE5">
            <w:pPr>
              <w:snapToGrid w:val="0"/>
              <w:spacing w:line="360" w:lineRule="auto"/>
              <w:ind w:firstLine="1200" w:firstLineChars="5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Dc----指向性校正，它描述点声源的等效连续声压级与产生声功率级Lw的全向点声源在规定方向的声级的偏差程度</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dB；</w:t>
            </w:r>
          </w:p>
          <w:p w14:paraId="78639B2D">
            <w:pPr>
              <w:snapToGrid w:val="0"/>
              <w:spacing w:line="360" w:lineRule="auto"/>
              <w:ind w:firstLine="1200" w:firstLineChars="5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A</w:t>
            </w:r>
            <w:r>
              <w:rPr>
                <w:rFonts w:hint="default" w:ascii="Times New Roman" w:hAnsi="Times New Roman" w:eastAsia="宋体" w:cs="Times New Roman"/>
                <w:snapToGrid w:val="0"/>
                <w:color w:val="auto"/>
                <w:sz w:val="24"/>
                <w:highlight w:val="none"/>
                <w:vertAlign w:val="subscript"/>
              </w:rPr>
              <w:t>div</w:t>
            </w:r>
            <w:r>
              <w:rPr>
                <w:rFonts w:hint="default" w:ascii="Times New Roman" w:hAnsi="Times New Roman" w:eastAsia="宋体" w:cs="Times New Roman"/>
                <w:snapToGrid w:val="0"/>
                <w:color w:val="auto"/>
                <w:sz w:val="24"/>
                <w:highlight w:val="none"/>
              </w:rPr>
              <w:t>----几何发散引起的衰减</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dB；</w:t>
            </w:r>
          </w:p>
          <w:p w14:paraId="23CC504F">
            <w:pPr>
              <w:snapToGrid w:val="0"/>
              <w:spacing w:line="360" w:lineRule="auto"/>
              <w:ind w:firstLine="1200" w:firstLineChars="5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A</w:t>
            </w:r>
            <w:r>
              <w:rPr>
                <w:rFonts w:hint="default" w:ascii="Times New Roman" w:hAnsi="Times New Roman" w:eastAsia="宋体" w:cs="Times New Roman"/>
                <w:snapToGrid w:val="0"/>
                <w:color w:val="auto"/>
                <w:sz w:val="24"/>
                <w:highlight w:val="none"/>
                <w:vertAlign w:val="subscript"/>
              </w:rPr>
              <w:t>at</w:t>
            </w:r>
            <w:r>
              <w:rPr>
                <w:rFonts w:hint="eastAsia" w:cs="Times New Roman"/>
                <w:snapToGrid w:val="0"/>
                <w:color w:val="auto"/>
                <w:sz w:val="24"/>
                <w:highlight w:val="none"/>
                <w:vertAlign w:val="baseline"/>
                <w:lang w:eastAsia="zh-CN"/>
              </w:rPr>
              <w:t>m</w:t>
            </w:r>
            <w:r>
              <w:rPr>
                <w:rFonts w:hint="default" w:ascii="Times New Roman" w:hAnsi="Times New Roman" w:eastAsia="宋体" w:cs="Times New Roman"/>
                <w:b/>
                <w:bCs/>
                <w:snapToGrid w:val="0"/>
                <w:color w:val="auto"/>
                <w:sz w:val="24"/>
                <w:highlight w:val="none"/>
              </w:rPr>
              <w:t>---</w:t>
            </w:r>
            <w:r>
              <w:rPr>
                <w:rFonts w:hint="default" w:ascii="Times New Roman" w:hAnsi="Times New Roman" w:eastAsia="宋体" w:cs="Times New Roman"/>
                <w:snapToGrid w:val="0"/>
                <w:color w:val="auto"/>
                <w:sz w:val="24"/>
                <w:highlight w:val="none"/>
              </w:rPr>
              <w:t>-大气吸收引起的衰减</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dB；</w:t>
            </w:r>
          </w:p>
          <w:p w14:paraId="77BC611E">
            <w:pPr>
              <w:snapToGrid w:val="0"/>
              <w:spacing w:line="360" w:lineRule="auto"/>
              <w:ind w:firstLine="1200" w:firstLineChars="5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A</w:t>
            </w:r>
            <w:r>
              <w:rPr>
                <w:rFonts w:hint="default" w:ascii="Times New Roman" w:hAnsi="Times New Roman" w:eastAsia="宋体" w:cs="Times New Roman"/>
                <w:snapToGrid w:val="0"/>
                <w:color w:val="auto"/>
                <w:sz w:val="24"/>
                <w:highlight w:val="none"/>
                <w:vertAlign w:val="subscript"/>
              </w:rPr>
              <w:t>gr</w:t>
            </w:r>
            <w:r>
              <w:rPr>
                <w:rFonts w:hint="default" w:ascii="Times New Roman" w:hAnsi="Times New Roman" w:eastAsia="宋体" w:cs="Times New Roman"/>
                <w:snapToGrid w:val="0"/>
                <w:color w:val="auto"/>
                <w:sz w:val="24"/>
                <w:highlight w:val="none"/>
              </w:rPr>
              <w:t>-----地面效应引起的衰减</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dB；</w:t>
            </w:r>
          </w:p>
          <w:p w14:paraId="00CD4783">
            <w:pPr>
              <w:snapToGrid w:val="0"/>
              <w:spacing w:line="360" w:lineRule="auto"/>
              <w:ind w:firstLine="1200" w:firstLineChars="5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A</w:t>
            </w:r>
            <w:r>
              <w:rPr>
                <w:rFonts w:hint="default" w:ascii="Times New Roman" w:hAnsi="Times New Roman" w:eastAsia="宋体" w:cs="Times New Roman"/>
                <w:snapToGrid w:val="0"/>
                <w:color w:val="auto"/>
                <w:sz w:val="24"/>
                <w:highlight w:val="none"/>
                <w:vertAlign w:val="subscript"/>
              </w:rPr>
              <w:t>bar</w:t>
            </w:r>
            <w:r>
              <w:rPr>
                <w:rFonts w:hint="default" w:ascii="Times New Roman" w:hAnsi="Times New Roman" w:eastAsia="宋体" w:cs="Times New Roman"/>
                <w:snapToGrid w:val="0"/>
                <w:color w:val="auto"/>
                <w:sz w:val="24"/>
                <w:highlight w:val="none"/>
              </w:rPr>
              <w:t>----障碍物屏蔽引起的衰减</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dB；</w:t>
            </w:r>
          </w:p>
          <w:p w14:paraId="18CA53B0">
            <w:pPr>
              <w:snapToGrid w:val="0"/>
              <w:spacing w:line="360" w:lineRule="auto"/>
              <w:ind w:firstLine="1200" w:firstLineChars="5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A</w:t>
            </w:r>
            <w:r>
              <w:rPr>
                <w:rFonts w:hint="eastAsia" w:cs="Times New Roman"/>
                <w:snapToGrid w:val="0"/>
                <w:color w:val="auto"/>
                <w:sz w:val="24"/>
                <w:highlight w:val="none"/>
                <w:vertAlign w:val="baseline"/>
                <w:lang w:eastAsia="zh-CN"/>
              </w:rPr>
              <w:t>m</w:t>
            </w:r>
            <w:r>
              <w:rPr>
                <w:rFonts w:hint="default" w:ascii="Times New Roman" w:hAnsi="Times New Roman" w:eastAsia="宋体" w:cs="Times New Roman"/>
                <w:snapToGrid w:val="0"/>
                <w:color w:val="auto"/>
                <w:sz w:val="24"/>
                <w:highlight w:val="none"/>
                <w:vertAlign w:val="subscript"/>
              </w:rPr>
              <w:t>isc</w:t>
            </w:r>
            <w:r>
              <w:rPr>
                <w:rFonts w:hint="default" w:ascii="Times New Roman" w:hAnsi="Times New Roman" w:eastAsia="宋体" w:cs="Times New Roman"/>
                <w:snapToGrid w:val="0"/>
                <w:color w:val="auto"/>
                <w:sz w:val="24"/>
                <w:highlight w:val="none"/>
              </w:rPr>
              <w:t>----其他多方面引起的衰减</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dB；</w:t>
            </w:r>
          </w:p>
          <w:p w14:paraId="24F957A3">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本项目</w:t>
            </w:r>
            <w:r>
              <w:rPr>
                <w:rFonts w:hint="default" w:ascii="Times New Roman" w:hAnsi="Times New Roman" w:eastAsia="宋体" w:cs="Times New Roman"/>
                <w:snapToGrid w:val="0"/>
                <w:color w:val="auto"/>
                <w:sz w:val="24"/>
                <w:highlight w:val="none"/>
                <w:lang w:eastAsia="zh-CN"/>
              </w:rPr>
              <w:t>将</w:t>
            </w:r>
            <w:r>
              <w:rPr>
                <w:rFonts w:hint="default" w:ascii="Times New Roman" w:hAnsi="Times New Roman" w:eastAsia="宋体" w:cs="Times New Roman"/>
                <w:snapToGrid w:val="0"/>
                <w:color w:val="auto"/>
                <w:sz w:val="24"/>
                <w:highlight w:val="none"/>
              </w:rPr>
              <w:t>声源概化为点声源进行预测，不考虑指向性校正、大气吸收引起的衰减、地面效应及其他方面引起的衰减，障碍物屏蔽引起的衰减取20dB，几何发散引起的衰减</w:t>
            </w:r>
            <w:r>
              <w:rPr>
                <w:rFonts w:hint="default" w:ascii="Times New Roman" w:hAnsi="Times New Roman" w:eastAsia="宋体" w:cs="Times New Roman"/>
                <w:snapToGrid w:val="0"/>
                <w:color w:val="auto"/>
                <w:sz w:val="24"/>
                <w:highlight w:val="none"/>
                <w:lang w:eastAsia="zh-CN"/>
              </w:rPr>
              <w:t>值</w:t>
            </w:r>
            <w:r>
              <w:rPr>
                <w:rFonts w:hint="default" w:ascii="Times New Roman" w:hAnsi="Times New Roman" w:eastAsia="宋体" w:cs="Times New Roman"/>
                <w:snapToGrid w:val="0"/>
                <w:color w:val="auto"/>
                <w:sz w:val="24"/>
                <w:highlight w:val="none"/>
              </w:rPr>
              <w:t>按照30</w:t>
            </w:r>
            <w:r>
              <w:rPr>
                <w:rFonts w:hint="eastAsia" w:cs="Times New Roman"/>
                <w:snapToGrid w:val="0"/>
                <w:color w:val="auto"/>
                <w:sz w:val="24"/>
                <w:highlight w:val="none"/>
                <w:lang w:eastAsia="zh-CN"/>
              </w:rPr>
              <w:t>m</w:t>
            </w:r>
            <w:r>
              <w:rPr>
                <w:rFonts w:hint="default" w:ascii="Times New Roman" w:hAnsi="Times New Roman" w:eastAsia="宋体" w:cs="Times New Roman"/>
                <w:snapToGrid w:val="0"/>
                <w:color w:val="auto"/>
                <w:sz w:val="24"/>
                <w:highlight w:val="none"/>
              </w:rPr>
              <w:t>计算。</w:t>
            </w:r>
          </w:p>
          <w:p w14:paraId="0CA3D3BF">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噪声贡献值（Leqg）计算公式为：</w:t>
            </w:r>
          </w:p>
          <w:p w14:paraId="03FEFD77">
            <w:pPr>
              <w:snapToGrid w:val="0"/>
              <w:spacing w:line="360" w:lineRule="auto"/>
              <w:jc w:val="center"/>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drawing>
                <wp:inline distT="0" distB="0" distL="0" distR="0">
                  <wp:extent cx="1943100" cy="542925"/>
                  <wp:effectExtent l="0" t="0" r="0" b="9525"/>
                  <wp:docPr id="157702090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020903" name="图片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943100" cy="542925"/>
                          </a:xfrm>
                          <a:prstGeom prst="rect">
                            <a:avLst/>
                          </a:prstGeom>
                          <a:noFill/>
                          <a:ln>
                            <a:noFill/>
                          </a:ln>
                        </pic:spPr>
                      </pic:pic>
                    </a:graphicData>
                  </a:graphic>
                </wp:inline>
              </w:drawing>
            </w:r>
          </w:p>
          <w:p w14:paraId="684E5EBF">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式中：Leqg----噪声贡献值</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dB；</w:t>
            </w:r>
          </w:p>
          <w:p w14:paraId="2195BF26">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 xml:space="preserve">      T----预测计算的时间段</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S；</w:t>
            </w:r>
          </w:p>
          <w:p w14:paraId="08D2CEA7">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 xml:space="preserve">      t</w:t>
            </w:r>
            <w:r>
              <w:rPr>
                <w:rFonts w:hint="default" w:ascii="Times New Roman" w:hAnsi="Times New Roman" w:eastAsia="宋体" w:cs="Times New Roman"/>
                <w:snapToGrid w:val="0"/>
                <w:color w:val="auto"/>
                <w:sz w:val="24"/>
                <w:highlight w:val="none"/>
                <w:vertAlign w:val="subscript"/>
              </w:rPr>
              <w:t>i</w:t>
            </w:r>
            <w:r>
              <w:rPr>
                <w:rFonts w:hint="default" w:ascii="Times New Roman" w:hAnsi="Times New Roman" w:eastAsia="宋体" w:cs="Times New Roman"/>
                <w:snapToGrid w:val="0"/>
                <w:color w:val="auto"/>
                <w:sz w:val="24"/>
                <w:highlight w:val="none"/>
              </w:rPr>
              <w:t>----i声源在T时段内的运行时间</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S；</w:t>
            </w:r>
          </w:p>
          <w:p w14:paraId="1A4E98D7">
            <w:pPr>
              <w:snapToGrid w:val="0"/>
              <w:spacing w:line="360" w:lineRule="auto"/>
              <w:ind w:firstLine="480" w:firstLineChars="200"/>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 xml:space="preserve">      L</w:t>
            </w:r>
            <w:r>
              <w:rPr>
                <w:rFonts w:hint="default" w:ascii="Times New Roman" w:hAnsi="Times New Roman" w:eastAsia="宋体" w:cs="Times New Roman"/>
                <w:snapToGrid w:val="0"/>
                <w:color w:val="auto"/>
                <w:sz w:val="24"/>
                <w:highlight w:val="none"/>
                <w:vertAlign w:val="subscript"/>
              </w:rPr>
              <w:t>Ai</w:t>
            </w:r>
            <w:r>
              <w:rPr>
                <w:rFonts w:hint="default" w:ascii="Times New Roman" w:hAnsi="Times New Roman" w:eastAsia="宋体" w:cs="Times New Roman"/>
                <w:snapToGrid w:val="0"/>
                <w:color w:val="auto"/>
                <w:sz w:val="24"/>
                <w:highlight w:val="none"/>
              </w:rPr>
              <w:t>----i声源在预测点产生的等效连续A声级</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dB。</w:t>
            </w:r>
          </w:p>
          <w:p w14:paraId="6210F8C9">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val="en-US" w:eastAsia="zh-CN"/>
              </w:rPr>
              <w:t>综上</w:t>
            </w:r>
            <w:r>
              <w:rPr>
                <w:rFonts w:hint="default" w:ascii="Times New Roman" w:hAnsi="Times New Roman" w:eastAsia="宋体" w:cs="Times New Roman"/>
                <w:bCs/>
                <w:color w:val="auto"/>
                <w:sz w:val="24"/>
                <w:highlight w:val="none"/>
              </w:rPr>
              <w:t>，新增设备贡献值叠加</w:t>
            </w:r>
            <w:r>
              <w:rPr>
                <w:rFonts w:hint="default" w:ascii="Times New Roman" w:hAnsi="Times New Roman" w:eastAsia="宋体" w:cs="Times New Roman"/>
                <w:bCs/>
                <w:color w:val="auto"/>
                <w:sz w:val="24"/>
                <w:highlight w:val="none"/>
                <w:lang w:val="en-US" w:eastAsia="zh-CN"/>
              </w:rPr>
              <w:t>厂区2025年3月</w:t>
            </w:r>
            <w:r>
              <w:rPr>
                <w:rFonts w:hint="default" w:ascii="Times New Roman" w:hAnsi="Times New Roman" w:eastAsia="宋体" w:cs="Times New Roman"/>
                <w:bCs/>
                <w:color w:val="auto"/>
                <w:sz w:val="24"/>
                <w:highlight w:val="none"/>
                <w:lang w:eastAsia="zh-CN"/>
              </w:rPr>
              <w:t>厂界</w:t>
            </w:r>
            <w:r>
              <w:rPr>
                <w:rFonts w:hint="default" w:ascii="Times New Roman" w:hAnsi="Times New Roman" w:eastAsia="宋体" w:cs="Times New Roman"/>
                <w:bCs/>
                <w:color w:val="auto"/>
                <w:sz w:val="24"/>
                <w:highlight w:val="none"/>
                <w:lang w:val="en-US" w:eastAsia="zh-CN"/>
              </w:rPr>
              <w:t>噪声</w:t>
            </w:r>
            <w:r>
              <w:rPr>
                <w:rFonts w:hint="default" w:ascii="Times New Roman" w:hAnsi="Times New Roman" w:eastAsia="宋体" w:cs="Times New Roman"/>
                <w:bCs/>
                <w:color w:val="auto"/>
                <w:sz w:val="24"/>
                <w:highlight w:val="none"/>
                <w:lang w:eastAsia="zh-CN"/>
              </w:rPr>
              <w:t>监测值</w:t>
            </w:r>
            <w:r>
              <w:rPr>
                <w:rFonts w:hint="default" w:ascii="Times New Roman" w:hAnsi="Times New Roman" w:eastAsia="宋体" w:cs="Times New Roman"/>
                <w:bCs/>
                <w:color w:val="auto"/>
                <w:sz w:val="24"/>
                <w:highlight w:val="none"/>
              </w:rPr>
              <w:t>后的预测结果如下：</w:t>
            </w:r>
          </w:p>
          <w:p w14:paraId="26E21047">
            <w:pPr>
              <w:spacing w:line="360" w:lineRule="auto"/>
              <w:jc w:val="right"/>
              <w:rPr>
                <w:rFonts w:hint="default" w:ascii="Times New Roman" w:hAnsi="Times New Roman" w:eastAsia="宋体" w:cs="Times New Roman"/>
                <w:bCs/>
                <w:color w:val="auto"/>
                <w:sz w:val="24"/>
                <w:highlight w:val="none"/>
              </w:rPr>
            </w:pPr>
            <w:r>
              <w:rPr>
                <w:rFonts w:hint="default" w:ascii="Times New Roman" w:hAnsi="Times New Roman" w:eastAsia="宋体" w:cs="Times New Roman"/>
                <w:b/>
                <w:color w:val="auto"/>
                <w:sz w:val="24"/>
                <w:highlight w:val="none"/>
              </w:rPr>
              <w:t>表4-</w:t>
            </w:r>
            <w:r>
              <w:rPr>
                <w:rFonts w:hint="eastAsia" w:cs="Times New Roman"/>
                <w:b/>
                <w:color w:val="auto"/>
                <w:sz w:val="24"/>
                <w:highlight w:val="none"/>
                <w:lang w:val="en-US" w:eastAsia="zh-CN"/>
              </w:rPr>
              <w:t>8</w:t>
            </w:r>
            <w:r>
              <w:rPr>
                <w:rFonts w:hint="default" w:ascii="Times New Roman" w:hAnsi="Times New Roman" w:eastAsia="宋体" w:cs="Times New Roman"/>
                <w:b/>
                <w:color w:val="auto"/>
                <w:sz w:val="24"/>
                <w:highlight w:val="none"/>
              </w:rPr>
              <w:t xml:space="preserve"> 厂界噪声</w:t>
            </w:r>
            <w:r>
              <w:rPr>
                <w:rFonts w:hint="default" w:ascii="Times New Roman" w:hAnsi="Times New Roman" w:eastAsia="宋体" w:cs="Times New Roman"/>
                <w:b/>
                <w:color w:val="auto"/>
                <w:sz w:val="24"/>
                <w:highlight w:val="none"/>
                <w:lang w:eastAsia="zh-CN"/>
              </w:rPr>
              <w:t>预测</w:t>
            </w:r>
            <w:r>
              <w:rPr>
                <w:rFonts w:hint="default" w:ascii="Times New Roman" w:hAnsi="Times New Roman" w:eastAsia="宋体" w:cs="Times New Roman"/>
                <w:b/>
                <w:color w:val="auto"/>
                <w:sz w:val="24"/>
                <w:highlight w:val="none"/>
              </w:rPr>
              <w:t>结果一览表</w:t>
            </w:r>
            <w:r>
              <w:rPr>
                <w:rFonts w:hint="default" w:ascii="Times New Roman" w:hAnsi="Times New Roman" w:eastAsia="宋体" w:cs="Times New Roman"/>
                <w:b/>
                <w:color w:val="auto"/>
                <w:sz w:val="24"/>
                <w:highlight w:val="none"/>
                <w:lang w:val="en-US" w:eastAsia="zh-CN"/>
              </w:rPr>
              <w:t xml:space="preserve">       </w:t>
            </w:r>
            <w:r>
              <w:rPr>
                <w:rFonts w:hint="default" w:ascii="Times New Roman" w:hAnsi="Times New Roman" w:eastAsia="宋体" w:cs="Times New Roman"/>
                <w:b/>
                <w:color w:val="auto"/>
                <w:sz w:val="24"/>
                <w:highlight w:val="none"/>
              </w:rPr>
              <w:t>单位：dB（A）</w:t>
            </w:r>
          </w:p>
          <w:tbl>
            <w:tblPr>
              <w:tblStyle w:val="10"/>
              <w:tblW w:w="4996"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28" w:type="dxa"/>
                <w:bottom w:w="0" w:type="dxa"/>
                <w:right w:w="28" w:type="dxa"/>
              </w:tblCellMar>
            </w:tblPr>
            <w:tblGrid>
              <w:gridCol w:w="705"/>
              <w:gridCol w:w="1715"/>
              <w:gridCol w:w="831"/>
              <w:gridCol w:w="697"/>
              <w:gridCol w:w="693"/>
              <w:gridCol w:w="757"/>
              <w:gridCol w:w="690"/>
              <w:gridCol w:w="750"/>
              <w:gridCol w:w="577"/>
              <w:gridCol w:w="696"/>
            </w:tblGrid>
            <w:tr w14:paraId="70284AD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434" w:type="pct"/>
                  <w:vMerge w:val="restart"/>
                  <w:tcBorders>
                    <w:tl2br w:val="nil"/>
                    <w:tr2bl w:val="nil"/>
                  </w:tcBorders>
                  <w:noWrap w:val="0"/>
                  <w:tcMar>
                    <w:left w:w="0" w:type="dxa"/>
                    <w:right w:w="0" w:type="dxa"/>
                  </w:tcMar>
                  <w:vAlign w:val="center"/>
                </w:tcPr>
                <w:p w14:paraId="0B8304A8">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序号</w:t>
                  </w:r>
                </w:p>
              </w:tc>
              <w:tc>
                <w:tcPr>
                  <w:tcW w:w="1057" w:type="pct"/>
                  <w:vMerge w:val="restart"/>
                  <w:tcBorders>
                    <w:tl2br w:val="nil"/>
                    <w:tr2bl w:val="nil"/>
                  </w:tcBorders>
                  <w:noWrap w:val="0"/>
                  <w:tcMar>
                    <w:left w:w="0" w:type="dxa"/>
                    <w:right w:w="0" w:type="dxa"/>
                  </w:tcMar>
                  <w:vAlign w:val="center"/>
                </w:tcPr>
                <w:p w14:paraId="3460BE79">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监测点名称</w:t>
                  </w:r>
                </w:p>
              </w:tc>
              <w:tc>
                <w:tcPr>
                  <w:tcW w:w="941" w:type="pct"/>
                  <w:gridSpan w:val="2"/>
                  <w:tcBorders>
                    <w:tl2br w:val="nil"/>
                    <w:tr2bl w:val="nil"/>
                  </w:tcBorders>
                  <w:noWrap w:val="0"/>
                  <w:tcMar>
                    <w:left w:w="0" w:type="dxa"/>
                    <w:right w:w="0" w:type="dxa"/>
                  </w:tcMar>
                  <w:vAlign w:val="center"/>
                </w:tcPr>
                <w:p w14:paraId="7B89FBFD">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现状值</w:t>
                  </w:r>
                </w:p>
              </w:tc>
              <w:tc>
                <w:tcPr>
                  <w:tcW w:w="893" w:type="pct"/>
                  <w:gridSpan w:val="2"/>
                  <w:tcBorders>
                    <w:tl2br w:val="nil"/>
                    <w:tr2bl w:val="nil"/>
                  </w:tcBorders>
                  <w:noWrap w:val="0"/>
                  <w:tcMar>
                    <w:left w:w="0" w:type="dxa"/>
                    <w:right w:w="0" w:type="dxa"/>
                  </w:tcMar>
                  <w:vAlign w:val="center"/>
                </w:tcPr>
                <w:p w14:paraId="3905AF14">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贡献值</w:t>
                  </w:r>
                </w:p>
              </w:tc>
              <w:tc>
                <w:tcPr>
                  <w:tcW w:w="887" w:type="pct"/>
                  <w:gridSpan w:val="2"/>
                  <w:tcBorders>
                    <w:tl2br w:val="nil"/>
                    <w:tr2bl w:val="nil"/>
                  </w:tcBorders>
                  <w:noWrap w:val="0"/>
                  <w:tcMar>
                    <w:left w:w="0" w:type="dxa"/>
                    <w:right w:w="0" w:type="dxa"/>
                  </w:tcMar>
                  <w:vAlign w:val="center"/>
                </w:tcPr>
                <w:p w14:paraId="24252231">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预测值</w:t>
                  </w:r>
                </w:p>
              </w:tc>
              <w:tc>
                <w:tcPr>
                  <w:tcW w:w="784" w:type="pct"/>
                  <w:gridSpan w:val="2"/>
                  <w:tcBorders>
                    <w:tl2br w:val="nil"/>
                    <w:tr2bl w:val="nil"/>
                  </w:tcBorders>
                  <w:noWrap w:val="0"/>
                  <w:vAlign w:val="top"/>
                </w:tcPr>
                <w:p w14:paraId="2EFE8F5E">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标准值</w:t>
                  </w:r>
                </w:p>
              </w:tc>
            </w:tr>
            <w:tr w14:paraId="4A23D40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434" w:type="pct"/>
                  <w:vMerge w:val="continue"/>
                  <w:tcBorders>
                    <w:tl2br w:val="nil"/>
                    <w:tr2bl w:val="nil"/>
                  </w:tcBorders>
                  <w:noWrap w:val="0"/>
                  <w:tcMar>
                    <w:left w:w="0" w:type="dxa"/>
                    <w:right w:w="0" w:type="dxa"/>
                  </w:tcMar>
                  <w:vAlign w:val="center"/>
                </w:tcPr>
                <w:p w14:paraId="66F307B4">
                  <w:pPr>
                    <w:pStyle w:val="15"/>
                    <w:bidi w:val="0"/>
                    <w:rPr>
                      <w:rFonts w:hint="default" w:ascii="Times New Roman" w:hAnsi="Times New Roman" w:cs="Times New Roman"/>
                      <w:b/>
                      <w:bCs/>
                      <w:color w:val="auto"/>
                      <w:sz w:val="21"/>
                      <w:szCs w:val="21"/>
                    </w:rPr>
                  </w:pPr>
                </w:p>
              </w:tc>
              <w:tc>
                <w:tcPr>
                  <w:tcW w:w="1057" w:type="pct"/>
                  <w:vMerge w:val="continue"/>
                  <w:tcBorders>
                    <w:tl2br w:val="nil"/>
                    <w:tr2bl w:val="nil"/>
                  </w:tcBorders>
                  <w:noWrap w:val="0"/>
                  <w:tcMar>
                    <w:left w:w="0" w:type="dxa"/>
                    <w:right w:w="0" w:type="dxa"/>
                  </w:tcMar>
                  <w:vAlign w:val="center"/>
                </w:tcPr>
                <w:p w14:paraId="26B90AF4">
                  <w:pPr>
                    <w:pStyle w:val="15"/>
                    <w:bidi w:val="0"/>
                    <w:rPr>
                      <w:rFonts w:hint="default" w:ascii="Times New Roman" w:hAnsi="Times New Roman" w:cs="Times New Roman"/>
                      <w:b/>
                      <w:bCs/>
                      <w:color w:val="auto"/>
                      <w:sz w:val="21"/>
                      <w:szCs w:val="21"/>
                    </w:rPr>
                  </w:pPr>
                </w:p>
              </w:tc>
              <w:tc>
                <w:tcPr>
                  <w:tcW w:w="512" w:type="pct"/>
                  <w:tcBorders>
                    <w:tl2br w:val="nil"/>
                    <w:tr2bl w:val="nil"/>
                  </w:tcBorders>
                  <w:noWrap w:val="0"/>
                  <w:tcMar>
                    <w:left w:w="0" w:type="dxa"/>
                    <w:right w:w="0" w:type="dxa"/>
                  </w:tcMar>
                  <w:vAlign w:val="center"/>
                </w:tcPr>
                <w:p w14:paraId="3D92DA7C">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昼间</w:t>
                  </w:r>
                </w:p>
              </w:tc>
              <w:tc>
                <w:tcPr>
                  <w:tcW w:w="429" w:type="pct"/>
                  <w:tcBorders>
                    <w:tl2br w:val="nil"/>
                    <w:tr2bl w:val="nil"/>
                  </w:tcBorders>
                  <w:noWrap w:val="0"/>
                  <w:tcMar>
                    <w:left w:w="0" w:type="dxa"/>
                    <w:right w:w="0" w:type="dxa"/>
                  </w:tcMar>
                  <w:vAlign w:val="center"/>
                </w:tcPr>
                <w:p w14:paraId="5A006515">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夜间</w:t>
                  </w:r>
                </w:p>
              </w:tc>
              <w:tc>
                <w:tcPr>
                  <w:tcW w:w="427" w:type="pct"/>
                  <w:tcBorders>
                    <w:tl2br w:val="nil"/>
                    <w:tr2bl w:val="nil"/>
                  </w:tcBorders>
                  <w:noWrap w:val="0"/>
                  <w:tcMar>
                    <w:left w:w="0" w:type="dxa"/>
                    <w:right w:w="0" w:type="dxa"/>
                  </w:tcMar>
                  <w:vAlign w:val="center"/>
                </w:tcPr>
                <w:p w14:paraId="09BD89B5">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昼间</w:t>
                  </w:r>
                </w:p>
              </w:tc>
              <w:tc>
                <w:tcPr>
                  <w:tcW w:w="466" w:type="pct"/>
                  <w:tcBorders>
                    <w:tl2br w:val="nil"/>
                    <w:tr2bl w:val="nil"/>
                  </w:tcBorders>
                  <w:noWrap w:val="0"/>
                  <w:tcMar>
                    <w:left w:w="0" w:type="dxa"/>
                    <w:right w:w="0" w:type="dxa"/>
                  </w:tcMar>
                  <w:vAlign w:val="center"/>
                </w:tcPr>
                <w:p w14:paraId="647C30E1">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夜间</w:t>
                  </w:r>
                </w:p>
              </w:tc>
              <w:tc>
                <w:tcPr>
                  <w:tcW w:w="425" w:type="pct"/>
                  <w:tcBorders>
                    <w:tl2br w:val="nil"/>
                    <w:tr2bl w:val="nil"/>
                  </w:tcBorders>
                  <w:noWrap w:val="0"/>
                  <w:tcMar>
                    <w:left w:w="0" w:type="dxa"/>
                    <w:right w:w="0" w:type="dxa"/>
                  </w:tcMar>
                  <w:vAlign w:val="center"/>
                </w:tcPr>
                <w:p w14:paraId="63F3E6FC">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昼间</w:t>
                  </w:r>
                </w:p>
              </w:tc>
              <w:tc>
                <w:tcPr>
                  <w:tcW w:w="462" w:type="pct"/>
                  <w:tcBorders>
                    <w:tl2br w:val="nil"/>
                    <w:tr2bl w:val="nil"/>
                  </w:tcBorders>
                  <w:noWrap w:val="0"/>
                  <w:tcMar>
                    <w:left w:w="0" w:type="dxa"/>
                    <w:right w:w="0" w:type="dxa"/>
                  </w:tcMar>
                  <w:vAlign w:val="center"/>
                </w:tcPr>
                <w:p w14:paraId="3EB3264C">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夜间</w:t>
                  </w:r>
                </w:p>
              </w:tc>
              <w:tc>
                <w:tcPr>
                  <w:tcW w:w="355" w:type="pct"/>
                  <w:tcBorders>
                    <w:tl2br w:val="nil"/>
                    <w:tr2bl w:val="nil"/>
                  </w:tcBorders>
                  <w:noWrap w:val="0"/>
                  <w:vAlign w:val="center"/>
                </w:tcPr>
                <w:p w14:paraId="566D7ACE">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昼间</w:t>
                  </w:r>
                </w:p>
              </w:tc>
              <w:tc>
                <w:tcPr>
                  <w:tcW w:w="428" w:type="pct"/>
                  <w:tcBorders>
                    <w:tl2br w:val="nil"/>
                    <w:tr2bl w:val="nil"/>
                  </w:tcBorders>
                  <w:noWrap w:val="0"/>
                  <w:vAlign w:val="center"/>
                </w:tcPr>
                <w:p w14:paraId="3944AA48">
                  <w:pPr>
                    <w:pStyle w:val="15"/>
                    <w:bidi w:val="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夜间</w:t>
                  </w:r>
                </w:p>
              </w:tc>
            </w:tr>
            <w:tr w14:paraId="6452199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434" w:type="pct"/>
                  <w:tcBorders>
                    <w:tl2br w:val="nil"/>
                    <w:tr2bl w:val="nil"/>
                  </w:tcBorders>
                  <w:noWrap w:val="0"/>
                  <w:tcMar>
                    <w:left w:w="0" w:type="dxa"/>
                    <w:right w:w="0" w:type="dxa"/>
                  </w:tcMar>
                  <w:vAlign w:val="center"/>
                </w:tcPr>
                <w:p w14:paraId="1241C730">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057" w:type="pct"/>
                  <w:tcBorders>
                    <w:tl2br w:val="nil"/>
                    <w:tr2bl w:val="nil"/>
                  </w:tcBorders>
                  <w:noWrap w:val="0"/>
                  <w:tcMar>
                    <w:left w:w="0" w:type="dxa"/>
                    <w:right w:w="0" w:type="dxa"/>
                  </w:tcMar>
                  <w:vAlign w:val="center"/>
                </w:tcPr>
                <w:p w14:paraId="787F06C9">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东厂界</w:t>
                  </w:r>
                </w:p>
              </w:tc>
              <w:tc>
                <w:tcPr>
                  <w:tcW w:w="512" w:type="pct"/>
                  <w:tcBorders>
                    <w:tl2br w:val="nil"/>
                    <w:tr2bl w:val="nil"/>
                  </w:tcBorders>
                  <w:noWrap w:val="0"/>
                  <w:tcMar>
                    <w:left w:w="0" w:type="dxa"/>
                    <w:right w:w="0" w:type="dxa"/>
                  </w:tcMar>
                  <w:vAlign w:val="center"/>
                </w:tcPr>
                <w:p w14:paraId="6BA7371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54.2</w:t>
                  </w:r>
                </w:p>
              </w:tc>
              <w:tc>
                <w:tcPr>
                  <w:tcW w:w="429" w:type="pct"/>
                  <w:tcBorders>
                    <w:tl2br w:val="nil"/>
                    <w:tr2bl w:val="nil"/>
                  </w:tcBorders>
                  <w:noWrap w:val="0"/>
                  <w:tcMar>
                    <w:left w:w="0" w:type="dxa"/>
                    <w:right w:w="0" w:type="dxa"/>
                  </w:tcMar>
                  <w:vAlign w:val="center"/>
                </w:tcPr>
                <w:p w14:paraId="65055DDF">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43.6</w:t>
                  </w:r>
                </w:p>
              </w:tc>
              <w:tc>
                <w:tcPr>
                  <w:tcW w:w="427" w:type="pct"/>
                  <w:tcBorders>
                    <w:tl2br w:val="nil"/>
                    <w:tr2bl w:val="nil"/>
                  </w:tcBorders>
                  <w:noWrap w:val="0"/>
                  <w:tcMar>
                    <w:left w:w="0" w:type="dxa"/>
                    <w:right w:w="0" w:type="dxa"/>
                  </w:tcMar>
                  <w:vAlign w:val="center"/>
                </w:tcPr>
                <w:p w14:paraId="6F97D478">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36.1</w:t>
                  </w:r>
                </w:p>
              </w:tc>
              <w:tc>
                <w:tcPr>
                  <w:tcW w:w="466" w:type="pct"/>
                  <w:tcBorders>
                    <w:tl2br w:val="nil"/>
                    <w:tr2bl w:val="nil"/>
                  </w:tcBorders>
                  <w:shd w:val="clear" w:color="auto" w:fill="auto"/>
                  <w:noWrap w:val="0"/>
                  <w:tcMar>
                    <w:left w:w="0" w:type="dxa"/>
                    <w:right w:w="0" w:type="dxa"/>
                  </w:tcMar>
                  <w:vAlign w:val="center"/>
                </w:tcPr>
                <w:p w14:paraId="01DFE2DF">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36.1</w:t>
                  </w:r>
                </w:p>
              </w:tc>
              <w:tc>
                <w:tcPr>
                  <w:tcW w:w="425" w:type="pct"/>
                  <w:tcBorders>
                    <w:tl2br w:val="nil"/>
                    <w:tr2bl w:val="nil"/>
                  </w:tcBorders>
                  <w:noWrap w:val="0"/>
                  <w:tcMar>
                    <w:left w:w="0" w:type="dxa"/>
                    <w:right w:w="0" w:type="dxa"/>
                  </w:tcMar>
                  <w:vAlign w:val="center"/>
                </w:tcPr>
                <w:p w14:paraId="6F3C121E">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54.3</w:t>
                  </w:r>
                </w:p>
              </w:tc>
              <w:tc>
                <w:tcPr>
                  <w:tcW w:w="462" w:type="pct"/>
                  <w:tcBorders>
                    <w:tl2br w:val="nil"/>
                    <w:tr2bl w:val="nil"/>
                  </w:tcBorders>
                  <w:noWrap w:val="0"/>
                  <w:tcMar>
                    <w:left w:w="0" w:type="dxa"/>
                    <w:right w:w="0" w:type="dxa"/>
                  </w:tcMar>
                  <w:vAlign w:val="center"/>
                </w:tcPr>
                <w:p w14:paraId="46F73AF4">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44.3</w:t>
                  </w:r>
                </w:p>
              </w:tc>
              <w:tc>
                <w:tcPr>
                  <w:tcW w:w="355" w:type="pct"/>
                  <w:tcBorders>
                    <w:tl2br w:val="nil"/>
                    <w:tr2bl w:val="nil"/>
                  </w:tcBorders>
                  <w:noWrap w:val="0"/>
                  <w:vAlign w:val="center"/>
                </w:tcPr>
                <w:p w14:paraId="0EDCF63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60</w:t>
                  </w:r>
                </w:p>
              </w:tc>
              <w:tc>
                <w:tcPr>
                  <w:tcW w:w="428" w:type="pct"/>
                  <w:tcBorders>
                    <w:tl2br w:val="nil"/>
                    <w:tr2bl w:val="nil"/>
                  </w:tcBorders>
                  <w:noWrap w:val="0"/>
                  <w:vAlign w:val="center"/>
                </w:tcPr>
                <w:p w14:paraId="49D099B2">
                  <w:pPr>
                    <w:pStyle w:val="15"/>
                    <w:bidi w:val="0"/>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5</w:t>
                  </w:r>
                  <w:r>
                    <w:rPr>
                      <w:rFonts w:hint="default" w:ascii="Times New Roman" w:hAnsi="Times New Roman" w:cs="Times New Roman"/>
                      <w:color w:val="auto"/>
                      <w:sz w:val="21"/>
                      <w:szCs w:val="21"/>
                      <w:lang w:val="en-US" w:eastAsia="zh-CN"/>
                    </w:rPr>
                    <w:t>0</w:t>
                  </w:r>
                </w:p>
              </w:tc>
            </w:tr>
            <w:tr w14:paraId="2212016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434" w:type="pct"/>
                  <w:tcBorders>
                    <w:tl2br w:val="nil"/>
                    <w:tr2bl w:val="nil"/>
                  </w:tcBorders>
                  <w:noWrap w:val="0"/>
                  <w:tcMar>
                    <w:left w:w="0" w:type="dxa"/>
                    <w:right w:w="0" w:type="dxa"/>
                  </w:tcMar>
                  <w:vAlign w:val="center"/>
                </w:tcPr>
                <w:p w14:paraId="20C1C0B7">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1057" w:type="pct"/>
                  <w:tcBorders>
                    <w:tl2br w:val="nil"/>
                    <w:tr2bl w:val="nil"/>
                  </w:tcBorders>
                  <w:noWrap w:val="0"/>
                  <w:tcMar>
                    <w:left w:w="0" w:type="dxa"/>
                    <w:right w:w="0" w:type="dxa"/>
                  </w:tcMar>
                  <w:vAlign w:val="center"/>
                </w:tcPr>
                <w:p w14:paraId="3F582935">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南厂界</w:t>
                  </w:r>
                </w:p>
              </w:tc>
              <w:tc>
                <w:tcPr>
                  <w:tcW w:w="512" w:type="pct"/>
                  <w:tcBorders>
                    <w:tl2br w:val="nil"/>
                    <w:tr2bl w:val="nil"/>
                  </w:tcBorders>
                  <w:noWrap w:val="0"/>
                  <w:tcMar>
                    <w:left w:w="0" w:type="dxa"/>
                    <w:right w:w="0" w:type="dxa"/>
                  </w:tcMar>
                  <w:vAlign w:val="center"/>
                </w:tcPr>
                <w:p w14:paraId="73CC4E3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52.7</w:t>
                  </w:r>
                </w:p>
              </w:tc>
              <w:tc>
                <w:tcPr>
                  <w:tcW w:w="429" w:type="pct"/>
                  <w:tcBorders>
                    <w:tl2br w:val="nil"/>
                    <w:tr2bl w:val="nil"/>
                  </w:tcBorders>
                  <w:noWrap w:val="0"/>
                  <w:tcMar>
                    <w:left w:w="0" w:type="dxa"/>
                    <w:right w:w="0" w:type="dxa"/>
                  </w:tcMar>
                  <w:vAlign w:val="center"/>
                </w:tcPr>
                <w:p w14:paraId="1AD5CE6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44.4</w:t>
                  </w:r>
                </w:p>
              </w:tc>
              <w:tc>
                <w:tcPr>
                  <w:tcW w:w="427" w:type="pct"/>
                  <w:tcBorders>
                    <w:tl2br w:val="nil"/>
                    <w:tr2bl w:val="nil"/>
                  </w:tcBorders>
                  <w:noWrap w:val="0"/>
                  <w:tcMar>
                    <w:left w:w="0" w:type="dxa"/>
                    <w:right w:w="0" w:type="dxa"/>
                  </w:tcMar>
                  <w:vAlign w:val="center"/>
                </w:tcPr>
                <w:p w14:paraId="07D59EB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3</w:t>
                  </w:r>
                  <w:r>
                    <w:rPr>
                      <w:rFonts w:hint="default" w:ascii="Times New Roman" w:hAnsi="Times New Roman" w:cs="Times New Roman"/>
                      <w:color w:val="auto"/>
                      <w:sz w:val="21"/>
                      <w:szCs w:val="21"/>
                      <w:lang w:val="en-US" w:eastAsia="zh-CN"/>
                    </w:rPr>
                    <w:t>9.5</w:t>
                  </w:r>
                </w:p>
              </w:tc>
              <w:tc>
                <w:tcPr>
                  <w:tcW w:w="466" w:type="pct"/>
                  <w:tcBorders>
                    <w:tl2br w:val="nil"/>
                    <w:tr2bl w:val="nil"/>
                  </w:tcBorders>
                  <w:shd w:val="clear" w:color="auto" w:fill="auto"/>
                  <w:noWrap w:val="0"/>
                  <w:tcMar>
                    <w:left w:w="0" w:type="dxa"/>
                    <w:right w:w="0" w:type="dxa"/>
                  </w:tcMar>
                  <w:vAlign w:val="center"/>
                </w:tcPr>
                <w:p w14:paraId="07CCAA0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3</w:t>
                  </w:r>
                  <w:r>
                    <w:rPr>
                      <w:rFonts w:hint="default" w:ascii="Times New Roman" w:hAnsi="Times New Roman" w:cs="Times New Roman"/>
                      <w:color w:val="auto"/>
                      <w:sz w:val="21"/>
                      <w:szCs w:val="21"/>
                      <w:lang w:val="en-US" w:eastAsia="zh-CN"/>
                    </w:rPr>
                    <w:t>9.5</w:t>
                  </w:r>
                </w:p>
              </w:tc>
              <w:tc>
                <w:tcPr>
                  <w:tcW w:w="425" w:type="pct"/>
                  <w:tcBorders>
                    <w:tl2br w:val="nil"/>
                    <w:tr2bl w:val="nil"/>
                  </w:tcBorders>
                  <w:noWrap w:val="0"/>
                  <w:tcMar>
                    <w:left w:w="0" w:type="dxa"/>
                    <w:right w:w="0" w:type="dxa"/>
                  </w:tcMar>
                  <w:vAlign w:val="center"/>
                </w:tcPr>
                <w:p w14:paraId="2166956A">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52.9</w:t>
                  </w:r>
                </w:p>
              </w:tc>
              <w:tc>
                <w:tcPr>
                  <w:tcW w:w="462" w:type="pct"/>
                  <w:tcBorders>
                    <w:tl2br w:val="nil"/>
                    <w:tr2bl w:val="nil"/>
                  </w:tcBorders>
                  <w:noWrap w:val="0"/>
                  <w:tcMar>
                    <w:left w:w="0" w:type="dxa"/>
                    <w:right w:w="0" w:type="dxa"/>
                  </w:tcMar>
                  <w:vAlign w:val="center"/>
                </w:tcPr>
                <w:p w14:paraId="343A103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45.6</w:t>
                  </w:r>
                </w:p>
              </w:tc>
              <w:tc>
                <w:tcPr>
                  <w:tcW w:w="355" w:type="pct"/>
                  <w:tcBorders>
                    <w:tl2br w:val="nil"/>
                    <w:tr2bl w:val="nil"/>
                  </w:tcBorders>
                  <w:shd w:val="clear" w:color="auto" w:fill="auto"/>
                  <w:noWrap w:val="0"/>
                  <w:vAlign w:val="center"/>
                </w:tcPr>
                <w:p w14:paraId="79444A46">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60</w:t>
                  </w:r>
                </w:p>
              </w:tc>
              <w:tc>
                <w:tcPr>
                  <w:tcW w:w="428" w:type="pct"/>
                  <w:tcBorders>
                    <w:tl2br w:val="nil"/>
                    <w:tr2bl w:val="nil"/>
                  </w:tcBorders>
                  <w:shd w:val="clear" w:color="auto" w:fill="auto"/>
                  <w:noWrap w:val="0"/>
                  <w:vAlign w:val="center"/>
                </w:tcPr>
                <w:p w14:paraId="79A7B1D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5</w:t>
                  </w:r>
                  <w:r>
                    <w:rPr>
                      <w:rFonts w:hint="default" w:ascii="Times New Roman" w:hAnsi="Times New Roman" w:cs="Times New Roman"/>
                      <w:color w:val="auto"/>
                      <w:sz w:val="21"/>
                      <w:szCs w:val="21"/>
                      <w:lang w:val="en-US" w:eastAsia="zh-CN"/>
                    </w:rPr>
                    <w:t>0</w:t>
                  </w:r>
                </w:p>
              </w:tc>
            </w:tr>
            <w:tr w14:paraId="5AFADC9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434" w:type="pct"/>
                  <w:tcBorders>
                    <w:tl2br w:val="nil"/>
                    <w:tr2bl w:val="nil"/>
                  </w:tcBorders>
                  <w:noWrap w:val="0"/>
                  <w:tcMar>
                    <w:left w:w="0" w:type="dxa"/>
                    <w:right w:w="0" w:type="dxa"/>
                  </w:tcMar>
                  <w:vAlign w:val="center"/>
                </w:tcPr>
                <w:p w14:paraId="42E13CA1">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1057" w:type="pct"/>
                  <w:tcBorders>
                    <w:tl2br w:val="nil"/>
                    <w:tr2bl w:val="nil"/>
                  </w:tcBorders>
                  <w:noWrap w:val="0"/>
                  <w:tcMar>
                    <w:left w:w="0" w:type="dxa"/>
                    <w:right w:w="0" w:type="dxa"/>
                  </w:tcMar>
                  <w:vAlign w:val="center"/>
                </w:tcPr>
                <w:p w14:paraId="2FDB7124">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西厂界</w:t>
                  </w:r>
                </w:p>
              </w:tc>
              <w:tc>
                <w:tcPr>
                  <w:tcW w:w="512" w:type="pct"/>
                  <w:tcBorders>
                    <w:tl2br w:val="nil"/>
                    <w:tr2bl w:val="nil"/>
                  </w:tcBorders>
                  <w:noWrap w:val="0"/>
                  <w:tcMar>
                    <w:left w:w="0" w:type="dxa"/>
                    <w:right w:w="0" w:type="dxa"/>
                  </w:tcMar>
                  <w:vAlign w:val="center"/>
                </w:tcPr>
                <w:p w14:paraId="7C3026AD">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53.4</w:t>
                  </w:r>
                </w:p>
              </w:tc>
              <w:tc>
                <w:tcPr>
                  <w:tcW w:w="429" w:type="pct"/>
                  <w:tcBorders>
                    <w:tl2br w:val="nil"/>
                    <w:tr2bl w:val="nil"/>
                  </w:tcBorders>
                  <w:noWrap w:val="0"/>
                  <w:tcMar>
                    <w:left w:w="0" w:type="dxa"/>
                    <w:right w:w="0" w:type="dxa"/>
                  </w:tcMar>
                  <w:vAlign w:val="center"/>
                </w:tcPr>
                <w:p w14:paraId="78A87B2F">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43.0</w:t>
                  </w:r>
                </w:p>
              </w:tc>
              <w:tc>
                <w:tcPr>
                  <w:tcW w:w="427" w:type="pct"/>
                  <w:tcBorders>
                    <w:tl2br w:val="nil"/>
                    <w:tr2bl w:val="nil"/>
                  </w:tcBorders>
                  <w:noWrap w:val="0"/>
                  <w:tcMar>
                    <w:left w:w="0" w:type="dxa"/>
                    <w:right w:w="0" w:type="dxa"/>
                  </w:tcMar>
                  <w:vAlign w:val="center"/>
                </w:tcPr>
                <w:p w14:paraId="2EE8DAB7">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3</w:t>
                  </w:r>
                  <w:r>
                    <w:rPr>
                      <w:rFonts w:hint="default" w:ascii="Times New Roman" w:hAnsi="Times New Roman" w:cs="Times New Roman"/>
                      <w:color w:val="auto"/>
                      <w:sz w:val="21"/>
                      <w:szCs w:val="21"/>
                      <w:lang w:val="en-US" w:eastAsia="zh-CN"/>
                    </w:rPr>
                    <w:t>3.3</w:t>
                  </w:r>
                </w:p>
              </w:tc>
              <w:tc>
                <w:tcPr>
                  <w:tcW w:w="466" w:type="pct"/>
                  <w:tcBorders>
                    <w:tl2br w:val="nil"/>
                    <w:tr2bl w:val="nil"/>
                  </w:tcBorders>
                  <w:shd w:val="clear" w:color="auto" w:fill="auto"/>
                  <w:noWrap w:val="0"/>
                  <w:tcMar>
                    <w:left w:w="0" w:type="dxa"/>
                    <w:right w:w="0" w:type="dxa"/>
                  </w:tcMar>
                  <w:vAlign w:val="center"/>
                </w:tcPr>
                <w:p w14:paraId="41046EF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3</w:t>
                  </w:r>
                  <w:r>
                    <w:rPr>
                      <w:rFonts w:hint="default" w:ascii="Times New Roman" w:hAnsi="Times New Roman" w:cs="Times New Roman"/>
                      <w:color w:val="auto"/>
                      <w:sz w:val="21"/>
                      <w:szCs w:val="21"/>
                      <w:lang w:val="en-US" w:eastAsia="zh-CN"/>
                    </w:rPr>
                    <w:t>3.3</w:t>
                  </w:r>
                </w:p>
              </w:tc>
              <w:tc>
                <w:tcPr>
                  <w:tcW w:w="425" w:type="pct"/>
                  <w:tcBorders>
                    <w:tl2br w:val="nil"/>
                    <w:tr2bl w:val="nil"/>
                  </w:tcBorders>
                  <w:noWrap w:val="0"/>
                  <w:tcMar>
                    <w:left w:w="0" w:type="dxa"/>
                    <w:right w:w="0" w:type="dxa"/>
                  </w:tcMar>
                  <w:vAlign w:val="center"/>
                </w:tcPr>
                <w:p w14:paraId="2ACE7904">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53.4</w:t>
                  </w:r>
                </w:p>
              </w:tc>
              <w:tc>
                <w:tcPr>
                  <w:tcW w:w="462" w:type="pct"/>
                  <w:tcBorders>
                    <w:tl2br w:val="nil"/>
                    <w:tr2bl w:val="nil"/>
                  </w:tcBorders>
                  <w:noWrap w:val="0"/>
                  <w:tcMar>
                    <w:left w:w="0" w:type="dxa"/>
                    <w:right w:w="0" w:type="dxa"/>
                  </w:tcMar>
                  <w:vAlign w:val="center"/>
                </w:tcPr>
                <w:p w14:paraId="06177272">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43.4</w:t>
                  </w:r>
                </w:p>
              </w:tc>
              <w:tc>
                <w:tcPr>
                  <w:tcW w:w="355" w:type="pct"/>
                  <w:tcBorders>
                    <w:tl2br w:val="nil"/>
                    <w:tr2bl w:val="nil"/>
                  </w:tcBorders>
                  <w:shd w:val="clear" w:color="auto" w:fill="auto"/>
                  <w:noWrap w:val="0"/>
                  <w:vAlign w:val="center"/>
                </w:tcPr>
                <w:p w14:paraId="2B729110">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60</w:t>
                  </w:r>
                </w:p>
              </w:tc>
              <w:tc>
                <w:tcPr>
                  <w:tcW w:w="428" w:type="pct"/>
                  <w:tcBorders>
                    <w:tl2br w:val="nil"/>
                    <w:tr2bl w:val="nil"/>
                  </w:tcBorders>
                  <w:shd w:val="clear" w:color="auto" w:fill="auto"/>
                  <w:noWrap w:val="0"/>
                  <w:vAlign w:val="center"/>
                </w:tcPr>
                <w:p w14:paraId="7BA5606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5</w:t>
                  </w:r>
                  <w:r>
                    <w:rPr>
                      <w:rFonts w:hint="default" w:ascii="Times New Roman" w:hAnsi="Times New Roman" w:cs="Times New Roman"/>
                      <w:color w:val="auto"/>
                      <w:sz w:val="21"/>
                      <w:szCs w:val="21"/>
                      <w:lang w:val="en-US" w:eastAsia="zh-CN"/>
                    </w:rPr>
                    <w:t>0</w:t>
                  </w:r>
                </w:p>
              </w:tc>
            </w:tr>
            <w:tr w14:paraId="62A5C98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434" w:type="pct"/>
                  <w:tcBorders>
                    <w:tl2br w:val="nil"/>
                    <w:tr2bl w:val="nil"/>
                  </w:tcBorders>
                  <w:noWrap w:val="0"/>
                  <w:tcMar>
                    <w:left w:w="0" w:type="dxa"/>
                    <w:right w:w="0" w:type="dxa"/>
                  </w:tcMar>
                  <w:vAlign w:val="center"/>
                </w:tcPr>
                <w:p w14:paraId="6A126C9B">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1057" w:type="pct"/>
                  <w:tcBorders>
                    <w:tl2br w:val="nil"/>
                    <w:tr2bl w:val="nil"/>
                  </w:tcBorders>
                  <w:noWrap w:val="0"/>
                  <w:tcMar>
                    <w:left w:w="0" w:type="dxa"/>
                    <w:right w:w="0" w:type="dxa"/>
                  </w:tcMar>
                  <w:vAlign w:val="center"/>
                </w:tcPr>
                <w:p w14:paraId="3B15FD1F">
                  <w:pPr>
                    <w:pStyle w:val="15"/>
                    <w:bidi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北厂界</w:t>
                  </w:r>
                </w:p>
              </w:tc>
              <w:tc>
                <w:tcPr>
                  <w:tcW w:w="512" w:type="pct"/>
                  <w:tcBorders>
                    <w:tl2br w:val="nil"/>
                    <w:tr2bl w:val="nil"/>
                  </w:tcBorders>
                  <w:noWrap w:val="0"/>
                  <w:tcMar>
                    <w:left w:w="0" w:type="dxa"/>
                    <w:right w:w="0" w:type="dxa"/>
                  </w:tcMar>
                  <w:vAlign w:val="center"/>
                </w:tcPr>
                <w:p w14:paraId="765C77E9">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55.2</w:t>
                  </w:r>
                </w:p>
              </w:tc>
              <w:tc>
                <w:tcPr>
                  <w:tcW w:w="429" w:type="pct"/>
                  <w:tcBorders>
                    <w:tl2br w:val="nil"/>
                    <w:tr2bl w:val="nil"/>
                  </w:tcBorders>
                  <w:noWrap w:val="0"/>
                  <w:tcMar>
                    <w:left w:w="0" w:type="dxa"/>
                    <w:right w:w="0" w:type="dxa"/>
                  </w:tcMar>
                  <w:vAlign w:val="center"/>
                </w:tcPr>
                <w:p w14:paraId="0D7B382B">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43.4</w:t>
                  </w:r>
                </w:p>
              </w:tc>
              <w:tc>
                <w:tcPr>
                  <w:tcW w:w="427" w:type="pct"/>
                  <w:tcBorders>
                    <w:tl2br w:val="nil"/>
                    <w:tr2bl w:val="nil"/>
                  </w:tcBorders>
                  <w:noWrap w:val="0"/>
                  <w:tcMar>
                    <w:left w:w="0" w:type="dxa"/>
                    <w:right w:w="0" w:type="dxa"/>
                  </w:tcMar>
                  <w:vAlign w:val="center"/>
                </w:tcPr>
                <w:p w14:paraId="43ED291F">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3</w:t>
                  </w:r>
                  <w:r>
                    <w:rPr>
                      <w:rFonts w:hint="default" w:ascii="Times New Roman" w:hAnsi="Times New Roman" w:cs="Times New Roman"/>
                      <w:color w:val="auto"/>
                      <w:sz w:val="21"/>
                      <w:szCs w:val="21"/>
                      <w:lang w:val="en-US" w:eastAsia="zh-CN"/>
                    </w:rPr>
                    <w:t>7.1</w:t>
                  </w:r>
                </w:p>
              </w:tc>
              <w:tc>
                <w:tcPr>
                  <w:tcW w:w="466" w:type="pct"/>
                  <w:tcBorders>
                    <w:tl2br w:val="nil"/>
                    <w:tr2bl w:val="nil"/>
                  </w:tcBorders>
                  <w:shd w:val="clear" w:color="auto" w:fill="auto"/>
                  <w:noWrap w:val="0"/>
                  <w:tcMar>
                    <w:left w:w="0" w:type="dxa"/>
                    <w:right w:w="0" w:type="dxa"/>
                  </w:tcMar>
                  <w:vAlign w:val="center"/>
                </w:tcPr>
                <w:p w14:paraId="25C4A96C">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3</w:t>
                  </w:r>
                  <w:r>
                    <w:rPr>
                      <w:rFonts w:hint="default" w:ascii="Times New Roman" w:hAnsi="Times New Roman" w:cs="Times New Roman"/>
                      <w:color w:val="auto"/>
                      <w:sz w:val="21"/>
                      <w:szCs w:val="21"/>
                      <w:lang w:val="en-US" w:eastAsia="zh-CN"/>
                    </w:rPr>
                    <w:t>7.1</w:t>
                  </w:r>
                </w:p>
              </w:tc>
              <w:tc>
                <w:tcPr>
                  <w:tcW w:w="425" w:type="pct"/>
                  <w:tcBorders>
                    <w:tl2br w:val="nil"/>
                    <w:tr2bl w:val="nil"/>
                  </w:tcBorders>
                  <w:noWrap w:val="0"/>
                  <w:tcMar>
                    <w:left w:w="0" w:type="dxa"/>
                    <w:right w:w="0" w:type="dxa"/>
                  </w:tcMar>
                  <w:vAlign w:val="center"/>
                </w:tcPr>
                <w:p w14:paraId="686EF4C5">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55.3</w:t>
                  </w:r>
                </w:p>
              </w:tc>
              <w:tc>
                <w:tcPr>
                  <w:tcW w:w="462" w:type="pct"/>
                  <w:tcBorders>
                    <w:tl2br w:val="nil"/>
                    <w:tr2bl w:val="nil"/>
                  </w:tcBorders>
                  <w:noWrap w:val="0"/>
                  <w:tcMar>
                    <w:left w:w="0" w:type="dxa"/>
                    <w:right w:w="0" w:type="dxa"/>
                  </w:tcMar>
                  <w:vAlign w:val="center"/>
                </w:tcPr>
                <w:p w14:paraId="50027463">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44.3</w:t>
                  </w:r>
                </w:p>
              </w:tc>
              <w:tc>
                <w:tcPr>
                  <w:tcW w:w="355" w:type="pct"/>
                  <w:tcBorders>
                    <w:tl2br w:val="nil"/>
                    <w:tr2bl w:val="nil"/>
                  </w:tcBorders>
                  <w:shd w:val="clear" w:color="auto" w:fill="auto"/>
                  <w:noWrap w:val="0"/>
                  <w:vAlign w:val="center"/>
                </w:tcPr>
                <w:p w14:paraId="74379F9F">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60</w:t>
                  </w:r>
                </w:p>
              </w:tc>
              <w:tc>
                <w:tcPr>
                  <w:tcW w:w="428" w:type="pct"/>
                  <w:tcBorders>
                    <w:tl2br w:val="nil"/>
                    <w:tr2bl w:val="nil"/>
                  </w:tcBorders>
                  <w:shd w:val="clear" w:color="auto" w:fill="auto"/>
                  <w:noWrap w:val="0"/>
                  <w:vAlign w:val="center"/>
                </w:tcPr>
                <w:p w14:paraId="0918F8F4">
                  <w:pPr>
                    <w:pStyle w:val="15"/>
                    <w:bidi w:val="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rPr>
                    <w:t>5</w:t>
                  </w:r>
                  <w:r>
                    <w:rPr>
                      <w:rFonts w:hint="default" w:ascii="Times New Roman" w:hAnsi="Times New Roman" w:cs="Times New Roman"/>
                      <w:color w:val="auto"/>
                      <w:sz w:val="21"/>
                      <w:szCs w:val="21"/>
                      <w:lang w:val="en-US" w:eastAsia="zh-CN"/>
                    </w:rPr>
                    <w:t>0</w:t>
                  </w:r>
                </w:p>
              </w:tc>
            </w:tr>
          </w:tbl>
          <w:p w14:paraId="32BDE42D">
            <w:pPr>
              <w:spacing w:before="240"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由</w:t>
            </w:r>
            <w:r>
              <w:rPr>
                <w:rFonts w:hint="default" w:ascii="Times New Roman" w:hAnsi="Times New Roman" w:eastAsia="宋体" w:cs="Times New Roman"/>
                <w:bCs/>
                <w:color w:val="auto"/>
                <w:sz w:val="24"/>
                <w:highlight w:val="none"/>
                <w:lang w:val="en-US" w:eastAsia="zh-CN"/>
              </w:rPr>
              <w:t>上表</w:t>
            </w:r>
            <w:r>
              <w:rPr>
                <w:rFonts w:hint="default" w:ascii="Times New Roman" w:hAnsi="Times New Roman" w:eastAsia="宋体" w:cs="Times New Roman"/>
                <w:bCs/>
                <w:color w:val="auto"/>
                <w:sz w:val="24"/>
                <w:highlight w:val="none"/>
              </w:rPr>
              <w:t>厂界噪声预测结果可知，厂界昼间</w:t>
            </w:r>
            <w:r>
              <w:rPr>
                <w:rFonts w:hint="default" w:ascii="Times New Roman" w:hAnsi="Times New Roman" w:eastAsia="宋体" w:cs="Times New Roman"/>
                <w:bCs/>
                <w:color w:val="auto"/>
                <w:sz w:val="24"/>
                <w:highlight w:val="none"/>
                <w:lang w:eastAsia="zh-CN"/>
              </w:rPr>
              <w:t>预测</w:t>
            </w:r>
            <w:r>
              <w:rPr>
                <w:rFonts w:hint="default" w:ascii="Times New Roman" w:hAnsi="Times New Roman" w:eastAsia="宋体" w:cs="Times New Roman"/>
                <w:bCs/>
                <w:color w:val="auto"/>
                <w:sz w:val="24"/>
                <w:highlight w:val="none"/>
              </w:rPr>
              <w:t>噪声值在</w:t>
            </w:r>
            <w:r>
              <w:rPr>
                <w:rFonts w:hint="default" w:ascii="Times New Roman" w:hAnsi="Times New Roman" w:eastAsia="宋体" w:cs="Times New Roman"/>
                <w:bCs/>
                <w:color w:val="auto"/>
                <w:sz w:val="24"/>
                <w:highlight w:val="none"/>
                <w:lang w:val="en-US" w:eastAsia="zh-CN"/>
              </w:rPr>
              <w:t>52.9-55.3</w:t>
            </w:r>
            <w:r>
              <w:rPr>
                <w:rFonts w:hint="default" w:ascii="Times New Roman" w:hAnsi="Times New Roman" w:eastAsia="宋体" w:cs="Times New Roman"/>
                <w:bCs/>
                <w:color w:val="auto"/>
                <w:sz w:val="24"/>
                <w:highlight w:val="none"/>
              </w:rPr>
              <w:t>dB</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A</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之间，夜间噪声值在</w:t>
            </w:r>
            <w:r>
              <w:rPr>
                <w:rFonts w:hint="default" w:ascii="Times New Roman" w:hAnsi="Times New Roman" w:eastAsia="宋体" w:cs="Times New Roman"/>
                <w:bCs/>
                <w:color w:val="auto"/>
                <w:sz w:val="24"/>
                <w:highlight w:val="none"/>
                <w:lang w:val="en-US" w:eastAsia="zh-CN"/>
              </w:rPr>
              <w:t>43.4-45.6</w:t>
            </w:r>
            <w:r>
              <w:rPr>
                <w:rFonts w:hint="default" w:ascii="Times New Roman" w:hAnsi="Times New Roman" w:eastAsia="宋体" w:cs="Times New Roman"/>
                <w:bCs/>
                <w:color w:val="auto"/>
                <w:sz w:val="24"/>
                <w:highlight w:val="none"/>
              </w:rPr>
              <w:t>dB</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A</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之间，满足《工业企业厂界环境噪声排放标准》（GB12348-2008）</w:t>
            </w:r>
            <w:r>
              <w:rPr>
                <w:rFonts w:hint="default" w:ascii="Times New Roman" w:hAnsi="Times New Roman" w:eastAsia="宋体" w:cs="Times New Roman"/>
                <w:bCs/>
                <w:color w:val="auto"/>
                <w:sz w:val="24"/>
                <w:highlight w:val="none"/>
                <w:lang w:val="en-US" w:eastAsia="zh-CN"/>
              </w:rPr>
              <w:t>2</w:t>
            </w:r>
            <w:r>
              <w:rPr>
                <w:rFonts w:hint="default" w:ascii="Times New Roman" w:hAnsi="Times New Roman" w:eastAsia="宋体" w:cs="Times New Roman"/>
                <w:bCs/>
                <w:color w:val="auto"/>
                <w:sz w:val="24"/>
                <w:highlight w:val="none"/>
              </w:rPr>
              <w:t>类标准，对环境产生影响较小。</w:t>
            </w:r>
          </w:p>
          <w:p w14:paraId="39E74FB7">
            <w:pPr>
              <w:adjustRightInd w:val="0"/>
              <w:snapToGrid w:val="0"/>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3.3噪声排放环境监测要求</w:t>
            </w:r>
          </w:p>
          <w:p w14:paraId="79E9F040">
            <w:pPr>
              <w:spacing w:line="360" w:lineRule="auto"/>
              <w:ind w:firstLine="480" w:firstLineChars="200"/>
              <w:rPr>
                <w:rFonts w:hint="default" w:ascii="Times New Roman" w:hAnsi="Times New Roman" w:eastAsia="宋体" w:cs="Times New Roman"/>
                <w:color w:val="auto"/>
                <w:sz w:val="24"/>
                <w:highlight w:val="none"/>
                <w:lang w:val="en-US" w:eastAsia="zh-CN" w:bidi="ar"/>
              </w:rPr>
            </w:pPr>
            <w:r>
              <w:rPr>
                <w:rFonts w:hint="default" w:ascii="Times New Roman" w:hAnsi="Times New Roman" w:eastAsia="宋体" w:cs="Times New Roman"/>
                <w:color w:val="auto"/>
                <w:sz w:val="24"/>
                <w:highlight w:val="none"/>
                <w:lang w:val="en-US" w:eastAsia="zh-CN" w:bidi="ar"/>
              </w:rPr>
              <w:t>根据《排污单位自行监测技术指南 总纲》（HJ819-2017），本项目噪声纳入锡尼镇污水处理厂厂区监测计划并综合考虑，监测点位、监测因子和频次</w:t>
            </w:r>
            <w:r>
              <w:rPr>
                <w:rFonts w:hint="eastAsia" w:cs="Times New Roman"/>
                <w:color w:val="auto"/>
                <w:sz w:val="24"/>
                <w:highlight w:val="none"/>
                <w:lang w:val="en-US" w:eastAsia="zh-CN" w:bidi="ar"/>
              </w:rPr>
              <w:t>，</w:t>
            </w:r>
            <w:r>
              <w:rPr>
                <w:rFonts w:hint="default" w:ascii="Times New Roman" w:hAnsi="Times New Roman" w:eastAsia="宋体" w:cs="Times New Roman"/>
                <w:color w:val="auto"/>
                <w:sz w:val="24"/>
                <w:highlight w:val="none"/>
                <w:lang w:val="en-US" w:eastAsia="zh-CN" w:bidi="ar"/>
              </w:rPr>
              <w:t>具体见下表：</w:t>
            </w:r>
          </w:p>
          <w:p w14:paraId="1EB2C01D">
            <w:pPr>
              <w:pStyle w:val="16"/>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表4-</w:t>
            </w:r>
            <w:r>
              <w:rPr>
                <w:rFonts w:hint="eastAsia" w:cs="Times New Roman"/>
                <w:color w:val="auto"/>
                <w:highlight w:val="none"/>
                <w:lang w:val="en-US" w:eastAsia="zh-CN"/>
              </w:rPr>
              <w:t>9</w:t>
            </w:r>
            <w:r>
              <w:rPr>
                <w:rFonts w:hint="default" w:ascii="Times New Roman" w:hAnsi="Times New Roman" w:eastAsia="宋体" w:cs="Times New Roman"/>
                <w:color w:val="auto"/>
                <w:highlight w:val="none"/>
              </w:rPr>
              <w:t xml:space="preserve"> 噪声环境监测计划一览表</w:t>
            </w:r>
          </w:p>
          <w:tbl>
            <w:tblPr>
              <w:tblStyle w:val="10"/>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350"/>
              <w:gridCol w:w="1500"/>
              <w:gridCol w:w="1363"/>
              <w:gridCol w:w="3056"/>
            </w:tblGrid>
            <w:tr w14:paraId="270F76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19" w:type="pct"/>
                  <w:vAlign w:val="center"/>
                </w:tcPr>
                <w:p w14:paraId="4A80CB90">
                  <w:pPr>
                    <w:adjustRightInd w:val="0"/>
                    <w:snapToGrid w:val="0"/>
                    <w:jc w:val="center"/>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类别</w:t>
                  </w:r>
                </w:p>
              </w:tc>
              <w:tc>
                <w:tcPr>
                  <w:tcW w:w="832" w:type="pct"/>
                  <w:vAlign w:val="center"/>
                </w:tcPr>
                <w:p w14:paraId="4A0E218A">
                  <w:pPr>
                    <w:adjustRightInd w:val="0"/>
                    <w:snapToGrid w:val="0"/>
                    <w:jc w:val="center"/>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监测项目</w:t>
                  </w:r>
                </w:p>
              </w:tc>
              <w:tc>
                <w:tcPr>
                  <w:tcW w:w="924" w:type="pct"/>
                  <w:vAlign w:val="center"/>
                </w:tcPr>
                <w:p w14:paraId="1B2976E3">
                  <w:pPr>
                    <w:adjustRightInd w:val="0"/>
                    <w:snapToGrid w:val="0"/>
                    <w:jc w:val="center"/>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监测点位置</w:t>
                  </w:r>
                </w:p>
              </w:tc>
              <w:tc>
                <w:tcPr>
                  <w:tcW w:w="840" w:type="pct"/>
                  <w:vAlign w:val="center"/>
                </w:tcPr>
                <w:p w14:paraId="20C2AE72">
                  <w:pPr>
                    <w:adjustRightInd w:val="0"/>
                    <w:snapToGrid w:val="0"/>
                    <w:jc w:val="center"/>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监测频率</w:t>
                  </w:r>
                </w:p>
              </w:tc>
              <w:tc>
                <w:tcPr>
                  <w:tcW w:w="1883" w:type="pct"/>
                  <w:vAlign w:val="center"/>
                </w:tcPr>
                <w:p w14:paraId="67AB05EE">
                  <w:pPr>
                    <w:adjustRightInd w:val="0"/>
                    <w:snapToGrid w:val="0"/>
                    <w:jc w:val="center"/>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执行标准</w:t>
                  </w:r>
                </w:p>
              </w:tc>
            </w:tr>
            <w:tr w14:paraId="165223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19" w:type="pct"/>
                  <w:vAlign w:val="center"/>
                </w:tcPr>
                <w:p w14:paraId="6F97C91C">
                  <w:pPr>
                    <w:adjustRightInd w:val="0"/>
                    <w:snapToGrid w:val="0"/>
                    <w:jc w:val="center"/>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噪声</w:t>
                  </w:r>
                </w:p>
              </w:tc>
              <w:tc>
                <w:tcPr>
                  <w:tcW w:w="832" w:type="pct"/>
                  <w:vAlign w:val="center"/>
                </w:tcPr>
                <w:p w14:paraId="2D0B3787">
                  <w:pPr>
                    <w:adjustRightInd w:val="0"/>
                    <w:snapToGrid w:val="0"/>
                    <w:jc w:val="center"/>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Leq（A）</w:t>
                  </w:r>
                </w:p>
              </w:tc>
              <w:tc>
                <w:tcPr>
                  <w:tcW w:w="924" w:type="pct"/>
                  <w:vAlign w:val="center"/>
                </w:tcPr>
                <w:p w14:paraId="225DEF5E">
                  <w:pPr>
                    <w:adjustRightInd w:val="0"/>
                    <w:snapToGrid w:val="0"/>
                    <w:jc w:val="center"/>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厂界四周</w:t>
                  </w:r>
                </w:p>
              </w:tc>
              <w:tc>
                <w:tcPr>
                  <w:tcW w:w="840" w:type="pct"/>
                  <w:vAlign w:val="center"/>
                </w:tcPr>
                <w:p w14:paraId="08B49AE8">
                  <w:pPr>
                    <w:adjustRightInd w:val="0"/>
                    <w:snapToGrid w:val="0"/>
                    <w:jc w:val="center"/>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1次/季度</w:t>
                  </w:r>
                </w:p>
              </w:tc>
              <w:tc>
                <w:tcPr>
                  <w:tcW w:w="1883" w:type="pct"/>
                  <w:vAlign w:val="center"/>
                </w:tcPr>
                <w:p w14:paraId="13A75AC6">
                  <w:pPr>
                    <w:adjustRightInd w:val="0"/>
                    <w:snapToGrid w:val="0"/>
                    <w:jc w:val="center"/>
                    <w:rPr>
                      <w:rFonts w:hint="eastAsia" w:ascii="Times New Roman" w:hAnsi="Times New Roman" w:eastAsia="宋体" w:cs="Times New Roman"/>
                      <w:bCs/>
                      <w:color w:val="auto"/>
                      <w:kern w:val="0"/>
                      <w:sz w:val="21"/>
                      <w:szCs w:val="21"/>
                      <w:highlight w:val="none"/>
                      <w:lang w:eastAsia="zh-CN"/>
                    </w:rPr>
                  </w:pPr>
                  <w:r>
                    <w:rPr>
                      <w:rFonts w:hint="default" w:ascii="Times New Roman" w:hAnsi="Times New Roman" w:eastAsia="宋体" w:cs="Times New Roman"/>
                      <w:bCs/>
                      <w:color w:val="auto"/>
                      <w:kern w:val="0"/>
                      <w:sz w:val="21"/>
                      <w:szCs w:val="21"/>
                      <w:highlight w:val="none"/>
                    </w:rPr>
                    <w:t>《工业企业厂界环境噪声排放标准》（GB12348-2008）</w:t>
                  </w:r>
                  <w:r>
                    <w:rPr>
                      <w:rFonts w:hint="default" w:ascii="Times New Roman" w:hAnsi="Times New Roman" w:eastAsia="宋体" w:cs="Times New Roman"/>
                      <w:bCs/>
                      <w:color w:val="auto"/>
                      <w:kern w:val="0"/>
                      <w:sz w:val="21"/>
                      <w:szCs w:val="21"/>
                      <w:highlight w:val="none"/>
                      <w:lang w:val="en-US" w:eastAsia="zh-CN"/>
                    </w:rPr>
                    <w:t>2</w:t>
                  </w:r>
                  <w:r>
                    <w:rPr>
                      <w:rFonts w:hint="default" w:ascii="Times New Roman" w:hAnsi="Times New Roman" w:eastAsia="宋体" w:cs="Times New Roman"/>
                      <w:bCs/>
                      <w:color w:val="auto"/>
                      <w:kern w:val="0"/>
                      <w:sz w:val="21"/>
                      <w:szCs w:val="21"/>
                      <w:highlight w:val="none"/>
                    </w:rPr>
                    <w:t>类标准</w:t>
                  </w:r>
                  <w:r>
                    <w:rPr>
                      <w:rFonts w:hint="eastAsia" w:cs="Times New Roman"/>
                      <w:bCs/>
                      <w:color w:val="auto"/>
                      <w:kern w:val="0"/>
                      <w:sz w:val="21"/>
                      <w:szCs w:val="21"/>
                      <w:highlight w:val="none"/>
                      <w:lang w:eastAsia="zh-CN"/>
                    </w:rPr>
                    <w:t>。</w:t>
                  </w:r>
                </w:p>
              </w:tc>
            </w:tr>
          </w:tbl>
          <w:p w14:paraId="6816160F">
            <w:pPr>
              <w:spacing w:before="240" w:line="360" w:lineRule="auto"/>
              <w:ind w:firstLine="482"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
                <w:color w:val="auto"/>
                <w:kern w:val="0"/>
                <w:sz w:val="24"/>
                <w:highlight w:val="none"/>
              </w:rPr>
              <w:t>4.固体废物</w:t>
            </w:r>
          </w:p>
          <w:p w14:paraId="497CECCE">
            <w:pPr>
              <w:spacing w:line="360" w:lineRule="auto"/>
              <w:ind w:firstLine="480" w:firstLineChars="200"/>
              <w:rPr>
                <w:rFonts w:hint="default" w:ascii="Times New Roman" w:hAnsi="Times New Roman" w:eastAsia="宋体" w:cs="Times New Roman"/>
                <w:color w:val="auto"/>
                <w:sz w:val="24"/>
                <w:highlight w:val="none"/>
                <w:lang w:val="en-US" w:eastAsia="zh-CN" w:bidi="ar"/>
              </w:rPr>
            </w:pPr>
            <w:r>
              <w:rPr>
                <w:rFonts w:hint="default" w:ascii="Times New Roman" w:hAnsi="Times New Roman" w:eastAsia="宋体" w:cs="Times New Roman"/>
                <w:color w:val="auto"/>
                <w:sz w:val="24"/>
                <w:highlight w:val="none"/>
                <w:lang w:val="en-US" w:eastAsia="zh-CN" w:bidi="ar"/>
              </w:rPr>
              <w:t>本项目产生的固体废物主要是城镇污水处理过程产生的格栅渣、污泥。</w:t>
            </w:r>
          </w:p>
          <w:p w14:paraId="0A1A78DA">
            <w:pPr>
              <w:spacing w:line="360" w:lineRule="auto"/>
              <w:ind w:firstLine="480" w:firstLineChars="200"/>
              <w:rPr>
                <w:rFonts w:hint="default" w:ascii="Times New Roman" w:hAnsi="Times New Roman" w:eastAsia="宋体" w:cs="Times New Roman"/>
                <w:color w:val="auto"/>
                <w:sz w:val="24"/>
                <w:highlight w:val="none"/>
                <w:lang w:eastAsia="zh-CN" w:bidi="ar"/>
              </w:rPr>
            </w:pPr>
            <w:r>
              <w:rPr>
                <w:rFonts w:hint="default" w:ascii="Times New Roman" w:hAnsi="Times New Roman" w:eastAsia="宋体" w:cs="Times New Roman"/>
                <w:color w:val="auto"/>
                <w:sz w:val="24"/>
                <w:highlight w:val="none"/>
                <w:lang w:eastAsia="zh-CN" w:bidi="ar"/>
              </w:rPr>
              <w:t>（</w:t>
            </w:r>
            <w:r>
              <w:rPr>
                <w:rFonts w:hint="default" w:ascii="Times New Roman" w:hAnsi="Times New Roman" w:eastAsia="宋体" w:cs="Times New Roman"/>
                <w:color w:val="auto"/>
                <w:sz w:val="24"/>
                <w:highlight w:val="none"/>
                <w:lang w:val="en-US" w:eastAsia="zh-CN" w:bidi="ar"/>
              </w:rPr>
              <w:t>1</w:t>
            </w:r>
            <w:r>
              <w:rPr>
                <w:rFonts w:hint="default" w:ascii="Times New Roman" w:hAnsi="Times New Roman" w:eastAsia="宋体" w:cs="Times New Roman"/>
                <w:color w:val="auto"/>
                <w:sz w:val="24"/>
                <w:highlight w:val="none"/>
                <w:lang w:eastAsia="zh-CN" w:bidi="ar"/>
              </w:rPr>
              <w:t>）栅渣、沉砂</w:t>
            </w:r>
          </w:p>
          <w:p w14:paraId="42D01022">
            <w:pPr>
              <w:spacing w:line="360" w:lineRule="auto"/>
              <w:ind w:firstLine="480" w:firstLineChars="200"/>
              <w:rPr>
                <w:rFonts w:hint="default" w:ascii="Times New Roman" w:hAnsi="Times New Roman" w:eastAsia="宋体" w:cs="Times New Roman"/>
                <w:color w:val="auto"/>
                <w:sz w:val="24"/>
                <w:highlight w:val="none"/>
                <w:lang w:eastAsia="zh-CN" w:bidi="ar"/>
              </w:rPr>
            </w:pPr>
            <w:r>
              <w:rPr>
                <w:rFonts w:hint="default" w:ascii="Times New Roman" w:hAnsi="Times New Roman" w:eastAsia="宋体" w:cs="Times New Roman"/>
                <w:color w:val="auto"/>
                <w:sz w:val="24"/>
                <w:highlight w:val="none"/>
                <w:lang w:eastAsia="zh-CN" w:bidi="ar"/>
              </w:rPr>
              <w:t>栅渣为污水预处理阶段粗、细格栅的拦截物，即通过物理和机械手段，从污水中分离出来的固体废弃物，主要是塑料、木块等漂浮物。类比项目现有污水处理厂，预计栅渣</w:t>
            </w:r>
            <w:r>
              <w:rPr>
                <w:rFonts w:hint="eastAsia" w:cs="Times New Roman"/>
                <w:color w:val="auto"/>
                <w:sz w:val="24"/>
                <w:highlight w:val="none"/>
                <w:lang w:eastAsia="zh-CN" w:bidi="ar"/>
              </w:rPr>
              <w:t>处理量</w:t>
            </w:r>
            <w:r>
              <w:rPr>
                <w:rFonts w:hint="default" w:ascii="Times New Roman" w:hAnsi="Times New Roman" w:eastAsia="宋体" w:cs="Times New Roman"/>
                <w:color w:val="auto"/>
                <w:sz w:val="24"/>
                <w:highlight w:val="none"/>
                <w:lang w:eastAsia="zh-CN" w:bidi="ar"/>
              </w:rPr>
              <w:t>为</w:t>
            </w:r>
            <w:r>
              <w:rPr>
                <w:rFonts w:hint="default" w:ascii="Times New Roman" w:hAnsi="Times New Roman" w:eastAsia="宋体" w:cs="Times New Roman"/>
                <w:color w:val="auto"/>
                <w:sz w:val="24"/>
                <w:highlight w:val="none"/>
                <w:lang w:val="en-US" w:eastAsia="zh-CN" w:bidi="ar"/>
              </w:rPr>
              <w:t>30</w:t>
            </w:r>
            <w:r>
              <w:rPr>
                <w:rFonts w:hint="default" w:ascii="Times New Roman" w:hAnsi="Times New Roman" w:eastAsia="宋体" w:cs="Times New Roman"/>
                <w:color w:val="auto"/>
                <w:sz w:val="24"/>
                <w:highlight w:val="none"/>
                <w:lang w:eastAsia="zh-CN" w:bidi="ar"/>
              </w:rPr>
              <w:t>t/a。</w:t>
            </w:r>
          </w:p>
          <w:p w14:paraId="266538C1">
            <w:pPr>
              <w:spacing w:line="360" w:lineRule="auto"/>
              <w:ind w:firstLine="480" w:firstLineChars="200"/>
              <w:rPr>
                <w:rFonts w:hint="default" w:ascii="Times New Roman" w:hAnsi="Times New Roman" w:eastAsia="宋体" w:cs="Times New Roman"/>
                <w:color w:val="auto"/>
                <w:sz w:val="24"/>
                <w:highlight w:val="none"/>
                <w:lang w:bidi="ar"/>
              </w:rPr>
            </w:pPr>
            <w:r>
              <w:rPr>
                <w:rFonts w:hint="default" w:ascii="Times New Roman" w:hAnsi="Times New Roman" w:eastAsia="宋体" w:cs="Times New Roman"/>
                <w:color w:val="auto"/>
                <w:sz w:val="24"/>
                <w:highlight w:val="none"/>
                <w:lang w:eastAsia="zh-CN" w:bidi="ar"/>
              </w:rPr>
              <w:t>沉砂池沉砂，主要是碎石块、泥沙等细小沉淀物。类比项目现有污水处理厂，沉砂量为</w:t>
            </w:r>
            <w:r>
              <w:rPr>
                <w:rFonts w:hint="default" w:ascii="Times New Roman" w:hAnsi="Times New Roman" w:eastAsia="宋体" w:cs="Times New Roman"/>
                <w:color w:val="auto"/>
                <w:sz w:val="24"/>
                <w:highlight w:val="none"/>
                <w:lang w:val="en-US" w:eastAsia="zh-CN" w:bidi="ar"/>
              </w:rPr>
              <w:t>30</w:t>
            </w:r>
            <w:r>
              <w:rPr>
                <w:rFonts w:hint="default" w:ascii="Times New Roman" w:hAnsi="Times New Roman" w:eastAsia="宋体" w:cs="Times New Roman"/>
                <w:color w:val="auto"/>
                <w:sz w:val="24"/>
                <w:highlight w:val="none"/>
                <w:lang w:eastAsia="zh-CN" w:bidi="ar"/>
              </w:rPr>
              <w:t>t/a，集中收集</w:t>
            </w:r>
            <w:r>
              <w:rPr>
                <w:rFonts w:hint="default" w:ascii="Times New Roman" w:hAnsi="Times New Roman" w:eastAsia="宋体" w:cs="Times New Roman"/>
                <w:color w:val="auto"/>
                <w:sz w:val="24"/>
                <w:highlight w:val="none"/>
                <w:lang w:val="en-US" w:eastAsia="zh-CN" w:bidi="ar"/>
              </w:rPr>
              <w:t>后</w:t>
            </w:r>
            <w:r>
              <w:rPr>
                <w:rFonts w:hint="default" w:ascii="Times New Roman" w:hAnsi="Times New Roman" w:eastAsia="宋体" w:cs="Times New Roman"/>
                <w:color w:val="auto"/>
                <w:sz w:val="24"/>
                <w:highlight w:val="none"/>
                <w:lang w:eastAsia="zh-CN" w:bidi="ar"/>
              </w:rPr>
              <w:t>委托市政环卫部门送锡尼镇垃圾填埋场处理。</w:t>
            </w:r>
          </w:p>
          <w:p w14:paraId="37170B7A">
            <w:pPr>
              <w:spacing w:line="360" w:lineRule="auto"/>
              <w:ind w:firstLine="480" w:firstLineChars="200"/>
              <w:rPr>
                <w:rFonts w:hint="default" w:ascii="Times New Roman" w:hAnsi="Times New Roman" w:eastAsia="宋体" w:cs="Times New Roman"/>
                <w:color w:val="auto"/>
                <w:sz w:val="24"/>
                <w:highlight w:val="none"/>
                <w:lang w:eastAsia="zh-CN" w:bidi="ar"/>
              </w:rPr>
            </w:pPr>
            <w:r>
              <w:rPr>
                <w:rFonts w:hint="default" w:ascii="Times New Roman" w:hAnsi="Times New Roman" w:eastAsia="宋体" w:cs="Times New Roman"/>
                <w:color w:val="auto"/>
                <w:sz w:val="24"/>
                <w:highlight w:val="none"/>
                <w:lang w:eastAsia="zh-CN" w:bidi="ar"/>
              </w:rPr>
              <w:t>（</w:t>
            </w:r>
            <w:r>
              <w:rPr>
                <w:rFonts w:hint="default" w:ascii="Times New Roman" w:hAnsi="Times New Roman" w:eastAsia="宋体" w:cs="Times New Roman"/>
                <w:color w:val="auto"/>
                <w:sz w:val="24"/>
                <w:highlight w:val="none"/>
                <w:lang w:val="en-US" w:eastAsia="zh-CN" w:bidi="ar"/>
              </w:rPr>
              <w:t>2</w:t>
            </w:r>
            <w:r>
              <w:rPr>
                <w:rFonts w:hint="default" w:ascii="Times New Roman" w:hAnsi="Times New Roman" w:eastAsia="宋体" w:cs="Times New Roman"/>
                <w:color w:val="auto"/>
                <w:sz w:val="24"/>
                <w:highlight w:val="none"/>
                <w:lang w:eastAsia="zh-CN" w:bidi="ar"/>
              </w:rPr>
              <w:t>）脱水污泥</w:t>
            </w:r>
          </w:p>
          <w:p w14:paraId="27058BDC">
            <w:pPr>
              <w:spacing w:line="360" w:lineRule="auto"/>
              <w:ind w:firstLine="480" w:firstLineChars="200"/>
              <w:rPr>
                <w:rFonts w:hint="default" w:ascii="Times New Roman" w:hAnsi="Times New Roman" w:eastAsia="宋体" w:cs="Times New Roman"/>
                <w:color w:val="auto"/>
                <w:sz w:val="24"/>
                <w:highlight w:val="none"/>
                <w:lang w:eastAsia="zh-CN" w:bidi="ar"/>
              </w:rPr>
            </w:pPr>
            <w:r>
              <w:rPr>
                <w:rFonts w:hint="default" w:ascii="Times New Roman" w:hAnsi="Times New Roman" w:eastAsia="宋体" w:cs="Times New Roman"/>
                <w:color w:val="auto"/>
                <w:sz w:val="24"/>
                <w:highlight w:val="none"/>
                <w:lang w:eastAsia="zh-CN" w:bidi="ar"/>
              </w:rPr>
              <w:t>本项目运营期产生量最大的固废为生化处理过程产生的剩余污泥，类比项目现有污水处理厂，脱水污泥量为</w:t>
            </w:r>
            <w:r>
              <w:rPr>
                <w:rFonts w:hint="default" w:ascii="Times New Roman" w:hAnsi="Times New Roman" w:eastAsia="宋体" w:cs="Times New Roman"/>
                <w:color w:val="auto"/>
                <w:sz w:val="24"/>
                <w:highlight w:val="none"/>
                <w:lang w:val="en-US" w:eastAsia="zh-CN" w:bidi="ar"/>
              </w:rPr>
              <w:t>1330</w:t>
            </w:r>
            <w:r>
              <w:rPr>
                <w:rFonts w:hint="default" w:ascii="Times New Roman" w:hAnsi="Times New Roman" w:eastAsia="宋体" w:cs="Times New Roman"/>
                <w:color w:val="auto"/>
                <w:sz w:val="24"/>
                <w:highlight w:val="none"/>
                <w:lang w:eastAsia="zh-CN" w:bidi="ar"/>
              </w:rPr>
              <w:t>t/a，集中收集</w:t>
            </w:r>
            <w:r>
              <w:rPr>
                <w:rFonts w:hint="default" w:ascii="Times New Roman" w:hAnsi="Times New Roman" w:eastAsia="宋体" w:cs="Times New Roman"/>
                <w:color w:val="auto"/>
                <w:sz w:val="24"/>
                <w:highlight w:val="none"/>
                <w:lang w:val="en-US" w:eastAsia="zh-CN" w:bidi="ar"/>
              </w:rPr>
              <w:t>后</w:t>
            </w:r>
            <w:r>
              <w:rPr>
                <w:rFonts w:hint="default" w:ascii="Times New Roman" w:hAnsi="Times New Roman" w:eastAsia="宋体" w:cs="Times New Roman"/>
                <w:color w:val="auto"/>
                <w:sz w:val="24"/>
                <w:highlight w:val="none"/>
                <w:lang w:eastAsia="zh-CN" w:bidi="ar"/>
              </w:rPr>
              <w:t>委托市政环卫部门送锡尼镇垃圾填埋场处理。</w:t>
            </w:r>
          </w:p>
          <w:p w14:paraId="325933D6">
            <w:pPr>
              <w:spacing w:line="360" w:lineRule="auto"/>
              <w:ind w:firstLine="480" w:firstLineChars="200"/>
              <w:rPr>
                <w:rFonts w:hint="default" w:ascii="Times New Roman" w:hAnsi="Times New Roman" w:eastAsia="宋体" w:cs="Times New Roman"/>
                <w:color w:val="auto"/>
                <w:sz w:val="24"/>
                <w:highlight w:val="none"/>
                <w:lang w:bidi="ar"/>
              </w:rPr>
            </w:pPr>
            <w:r>
              <w:rPr>
                <w:rFonts w:hint="default" w:ascii="Times New Roman" w:hAnsi="Times New Roman" w:eastAsia="宋体" w:cs="Times New Roman"/>
                <w:color w:val="auto"/>
                <w:sz w:val="24"/>
                <w:highlight w:val="none"/>
              </w:rPr>
              <w:t>固体废物产生量及处置措施见表4-</w:t>
            </w:r>
            <w:r>
              <w:rPr>
                <w:rFonts w:hint="default" w:ascii="Times New Roman" w:hAnsi="Times New Roman" w:eastAsia="宋体" w:cs="Times New Roman"/>
                <w:color w:val="auto"/>
                <w:sz w:val="24"/>
                <w:highlight w:val="none"/>
                <w:lang w:val="en-US" w:eastAsia="zh-CN"/>
              </w:rPr>
              <w:t>1</w:t>
            </w:r>
            <w:r>
              <w:rPr>
                <w:rFonts w:hint="eastAsia" w:cs="Times New Roman"/>
                <w:color w:val="auto"/>
                <w:sz w:val="24"/>
                <w:highlight w:val="none"/>
                <w:lang w:val="en-US" w:eastAsia="zh-CN"/>
              </w:rPr>
              <w:t>0</w:t>
            </w:r>
            <w:r>
              <w:rPr>
                <w:rFonts w:hint="default" w:ascii="Times New Roman" w:hAnsi="Times New Roman" w:eastAsia="宋体" w:cs="Times New Roman"/>
                <w:color w:val="auto"/>
                <w:sz w:val="24"/>
                <w:highlight w:val="none"/>
              </w:rPr>
              <w:t>。</w:t>
            </w:r>
          </w:p>
          <w:p w14:paraId="23267249">
            <w:pPr>
              <w:pStyle w:val="16"/>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highlight w:val="none"/>
              </w:rPr>
              <w:t>表4</w:t>
            </w:r>
            <w:r>
              <w:rPr>
                <w:rFonts w:hint="default" w:ascii="Times New Roman" w:hAnsi="Times New Roman" w:eastAsia="宋体" w:cs="Times New Roman"/>
                <w:color w:val="auto"/>
                <w:highlight w:val="none"/>
                <w:lang w:val="en-US" w:eastAsia="zh-CN"/>
              </w:rPr>
              <w:t>-1</w:t>
            </w:r>
            <w:r>
              <w:rPr>
                <w:rFonts w:hint="eastAsia" w:cs="Times New Roman"/>
                <w:color w:val="auto"/>
                <w:highlight w:val="none"/>
                <w:lang w:val="en-US" w:eastAsia="zh-CN"/>
              </w:rPr>
              <w:t>0</w:t>
            </w:r>
            <w:r>
              <w:rPr>
                <w:rFonts w:hint="default" w:ascii="Times New Roman" w:hAnsi="Times New Roman" w:eastAsia="宋体" w:cs="Times New Roman"/>
                <w:color w:val="auto"/>
                <w:highlight w:val="none"/>
              </w:rPr>
              <w:t xml:space="preserve"> 固体废物产污环节及利用或处置情况一览表</w:t>
            </w:r>
          </w:p>
          <w:tbl>
            <w:tblPr>
              <w:tblStyle w:val="10"/>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838"/>
              <w:gridCol w:w="838"/>
              <w:gridCol w:w="802"/>
              <w:gridCol w:w="913"/>
              <w:gridCol w:w="1186"/>
              <w:gridCol w:w="1428"/>
              <w:gridCol w:w="2109"/>
            </w:tblGrid>
            <w:tr w14:paraId="282B06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59" w:hRule="atLeast"/>
                <w:jc w:val="center"/>
              </w:trPr>
              <w:tc>
                <w:tcPr>
                  <w:tcW w:w="516" w:type="pct"/>
                  <w:tcBorders>
                    <w:tl2br w:val="nil"/>
                    <w:tr2bl w:val="nil"/>
                  </w:tcBorders>
                  <w:vAlign w:val="center"/>
                </w:tcPr>
                <w:p w14:paraId="14FB1052">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产生</w:t>
                  </w:r>
                </w:p>
                <w:p w14:paraId="7EADDD4C">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环节</w:t>
                  </w:r>
                </w:p>
              </w:tc>
              <w:tc>
                <w:tcPr>
                  <w:tcW w:w="516" w:type="pct"/>
                  <w:tcBorders>
                    <w:tl2br w:val="nil"/>
                    <w:tr2bl w:val="nil"/>
                  </w:tcBorders>
                  <w:vAlign w:val="center"/>
                </w:tcPr>
                <w:p w14:paraId="6F0F9FB2">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固废</w:t>
                  </w:r>
                </w:p>
                <w:p w14:paraId="456E6FDE">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名称</w:t>
                  </w:r>
                </w:p>
              </w:tc>
              <w:tc>
                <w:tcPr>
                  <w:tcW w:w="494" w:type="pct"/>
                  <w:tcBorders>
                    <w:tl2br w:val="nil"/>
                    <w:tr2bl w:val="nil"/>
                  </w:tcBorders>
                  <w:vAlign w:val="center"/>
                </w:tcPr>
                <w:p w14:paraId="38C66965">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固废</w:t>
                  </w:r>
                </w:p>
                <w:p w14:paraId="2EC6280D">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属性</w:t>
                  </w:r>
                </w:p>
              </w:tc>
              <w:tc>
                <w:tcPr>
                  <w:tcW w:w="562" w:type="pct"/>
                  <w:tcBorders>
                    <w:tl2br w:val="nil"/>
                    <w:tr2bl w:val="nil"/>
                  </w:tcBorders>
                  <w:vAlign w:val="center"/>
                </w:tcPr>
                <w:p w14:paraId="02FB44D5">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物理</w:t>
                  </w:r>
                </w:p>
                <w:p w14:paraId="7C8C4524">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性状</w:t>
                  </w:r>
                </w:p>
              </w:tc>
              <w:tc>
                <w:tcPr>
                  <w:tcW w:w="731" w:type="pct"/>
                  <w:tcBorders>
                    <w:tl2br w:val="nil"/>
                    <w:tr2bl w:val="nil"/>
                  </w:tcBorders>
                  <w:vAlign w:val="center"/>
                </w:tcPr>
                <w:p w14:paraId="1C0C1512">
                  <w:pPr>
                    <w:adjustRightInd w:val="0"/>
                    <w:snapToGrid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年度产生量（t/a）</w:t>
                  </w:r>
                </w:p>
              </w:tc>
              <w:tc>
                <w:tcPr>
                  <w:tcW w:w="879" w:type="pct"/>
                  <w:tcBorders>
                    <w:tl2br w:val="nil"/>
                    <w:tr2bl w:val="nil"/>
                  </w:tcBorders>
                  <w:vAlign w:val="center"/>
                </w:tcPr>
                <w:p w14:paraId="5761D81F">
                  <w:pPr>
                    <w:adjustRightInd w:val="0"/>
                    <w:snapToGrid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利用方式或去向</w:t>
                  </w:r>
                </w:p>
              </w:tc>
              <w:tc>
                <w:tcPr>
                  <w:tcW w:w="1299" w:type="pct"/>
                  <w:tcBorders>
                    <w:tl2br w:val="nil"/>
                    <w:tr2bl w:val="nil"/>
                  </w:tcBorders>
                  <w:vAlign w:val="center"/>
                </w:tcPr>
                <w:p w14:paraId="2AD0D292">
                  <w:pPr>
                    <w:adjustRightInd w:val="0"/>
                    <w:snapToGrid w:val="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环境管理要求</w:t>
                  </w:r>
                </w:p>
              </w:tc>
            </w:tr>
            <w:tr w14:paraId="098312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53" w:hRule="atLeast"/>
                <w:jc w:val="center"/>
              </w:trPr>
              <w:tc>
                <w:tcPr>
                  <w:tcW w:w="516" w:type="pct"/>
                  <w:tcBorders>
                    <w:tl2br w:val="nil"/>
                    <w:tr2bl w:val="nil"/>
                  </w:tcBorders>
                  <w:vAlign w:val="center"/>
                </w:tcPr>
                <w:p w14:paraId="15921B79">
                  <w:pPr>
                    <w:adjustRightInd w:val="0"/>
                    <w:snapToGrid w:val="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格栅</w:t>
                  </w:r>
                </w:p>
              </w:tc>
              <w:tc>
                <w:tcPr>
                  <w:tcW w:w="516" w:type="pct"/>
                  <w:tcBorders>
                    <w:tl2br w:val="nil"/>
                    <w:tr2bl w:val="nil"/>
                  </w:tcBorders>
                  <w:vAlign w:val="center"/>
                </w:tcPr>
                <w:p w14:paraId="2134B2E5">
                  <w:pPr>
                    <w:adjustRightInd w:val="0"/>
                    <w:snapToGrid w:val="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eastAsia="zh-CN"/>
                    </w:rPr>
                    <w:t>栅渣</w:t>
                  </w:r>
                </w:p>
              </w:tc>
              <w:tc>
                <w:tcPr>
                  <w:tcW w:w="494" w:type="pct"/>
                  <w:vMerge w:val="restart"/>
                  <w:tcBorders>
                    <w:tl2br w:val="nil"/>
                    <w:tr2bl w:val="nil"/>
                  </w:tcBorders>
                  <w:vAlign w:val="center"/>
                </w:tcPr>
                <w:p w14:paraId="7DBFCF08">
                  <w:pPr>
                    <w:adjustRightInd w:val="0"/>
                    <w:snapToGrid w:val="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一般</w:t>
                  </w:r>
                </w:p>
                <w:p w14:paraId="42766FED">
                  <w:pPr>
                    <w:adjustRightInd w:val="0"/>
                    <w:snapToGrid w:val="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工业固体废物</w:t>
                  </w:r>
                </w:p>
              </w:tc>
              <w:tc>
                <w:tcPr>
                  <w:tcW w:w="562" w:type="pct"/>
                  <w:tcBorders>
                    <w:tl2br w:val="nil"/>
                    <w:tr2bl w:val="nil"/>
                  </w:tcBorders>
                  <w:vAlign w:val="center"/>
                </w:tcPr>
                <w:p w14:paraId="54B0A10D">
                  <w:pPr>
                    <w:adjustRightInd w:val="0"/>
                    <w:snapToGrid w:val="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固态</w:t>
                  </w:r>
                </w:p>
              </w:tc>
              <w:tc>
                <w:tcPr>
                  <w:tcW w:w="731" w:type="pct"/>
                  <w:tcBorders>
                    <w:tl2br w:val="nil"/>
                    <w:tr2bl w:val="nil"/>
                  </w:tcBorders>
                  <w:vAlign w:val="center"/>
                </w:tcPr>
                <w:p w14:paraId="6279C54D">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30</w:t>
                  </w:r>
                </w:p>
              </w:tc>
              <w:tc>
                <w:tcPr>
                  <w:tcW w:w="879" w:type="pct"/>
                  <w:vMerge w:val="restart"/>
                  <w:tcBorders>
                    <w:tl2br w:val="nil"/>
                    <w:tr2bl w:val="nil"/>
                  </w:tcBorders>
                  <w:vAlign w:val="center"/>
                </w:tcPr>
                <w:p w14:paraId="45509B07">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送往杭锦旗垃圾填埋场填埋处置</w:t>
                  </w:r>
                </w:p>
              </w:tc>
              <w:tc>
                <w:tcPr>
                  <w:tcW w:w="1299" w:type="pct"/>
                  <w:vMerge w:val="restart"/>
                  <w:tcBorders>
                    <w:tl2br w:val="nil"/>
                    <w:tr2bl w:val="nil"/>
                  </w:tcBorders>
                  <w:vAlign w:val="center"/>
                </w:tcPr>
                <w:p w14:paraId="12134D24">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执行《一般工业固体废物贮存和填埋污染控制标准》</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GB18599-2020</w:t>
                  </w:r>
                  <w:r>
                    <w:rPr>
                      <w:rFonts w:hint="eastAsia" w:cs="Times New Roman"/>
                      <w:color w:val="auto"/>
                      <w:sz w:val="21"/>
                      <w:szCs w:val="21"/>
                      <w:highlight w:val="none"/>
                      <w:lang w:eastAsia="zh-CN"/>
                    </w:rPr>
                    <w:t>）</w:t>
                  </w:r>
                </w:p>
              </w:tc>
            </w:tr>
            <w:tr w14:paraId="20AD76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53" w:hRule="atLeast"/>
                <w:jc w:val="center"/>
              </w:trPr>
              <w:tc>
                <w:tcPr>
                  <w:tcW w:w="516" w:type="pct"/>
                  <w:tcBorders>
                    <w:tl2br w:val="nil"/>
                    <w:tr2bl w:val="nil"/>
                  </w:tcBorders>
                  <w:vAlign w:val="center"/>
                </w:tcPr>
                <w:p w14:paraId="604F93E9">
                  <w:pPr>
                    <w:adjustRightInd w:val="0"/>
                    <w:snapToGrid w:val="0"/>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lang w:val="en-US" w:eastAsia="zh-CN"/>
                    </w:rPr>
                    <w:t>沉砂池</w:t>
                  </w:r>
                </w:p>
              </w:tc>
              <w:tc>
                <w:tcPr>
                  <w:tcW w:w="516" w:type="pct"/>
                  <w:tcBorders>
                    <w:tl2br w:val="nil"/>
                    <w:tr2bl w:val="nil"/>
                  </w:tcBorders>
                  <w:vAlign w:val="center"/>
                </w:tcPr>
                <w:p w14:paraId="74DC2958">
                  <w:pPr>
                    <w:adjustRightInd w:val="0"/>
                    <w:snapToGrid w:val="0"/>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lang w:eastAsia="zh-CN"/>
                    </w:rPr>
                    <w:t>沉砂</w:t>
                  </w:r>
                </w:p>
              </w:tc>
              <w:tc>
                <w:tcPr>
                  <w:tcW w:w="494" w:type="pct"/>
                  <w:vMerge w:val="continue"/>
                  <w:tcBorders>
                    <w:tl2br w:val="nil"/>
                    <w:tr2bl w:val="nil"/>
                  </w:tcBorders>
                  <w:vAlign w:val="center"/>
                </w:tcPr>
                <w:p w14:paraId="53968FCF">
                  <w:pPr>
                    <w:adjustRightInd w:val="0"/>
                    <w:snapToGrid w:val="0"/>
                    <w:jc w:val="center"/>
                    <w:rPr>
                      <w:rFonts w:hint="default" w:ascii="Times New Roman" w:hAnsi="Times New Roman" w:eastAsia="宋体" w:cs="Times New Roman"/>
                      <w:bCs/>
                      <w:color w:val="auto"/>
                      <w:sz w:val="21"/>
                      <w:szCs w:val="21"/>
                      <w:highlight w:val="none"/>
                      <w:lang w:val="en-US" w:eastAsia="zh-CN"/>
                    </w:rPr>
                  </w:pPr>
                </w:p>
              </w:tc>
              <w:tc>
                <w:tcPr>
                  <w:tcW w:w="562" w:type="pct"/>
                  <w:tcBorders>
                    <w:tl2br w:val="nil"/>
                    <w:tr2bl w:val="nil"/>
                  </w:tcBorders>
                  <w:vAlign w:val="center"/>
                </w:tcPr>
                <w:p w14:paraId="4232B444">
                  <w:pPr>
                    <w:adjustRightInd w:val="0"/>
                    <w:snapToGrid w:val="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固态</w:t>
                  </w:r>
                </w:p>
              </w:tc>
              <w:tc>
                <w:tcPr>
                  <w:tcW w:w="731" w:type="pct"/>
                  <w:tcBorders>
                    <w:tl2br w:val="nil"/>
                    <w:tr2bl w:val="nil"/>
                  </w:tcBorders>
                  <w:vAlign w:val="center"/>
                </w:tcPr>
                <w:p w14:paraId="4C598843">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30</w:t>
                  </w:r>
                </w:p>
              </w:tc>
              <w:tc>
                <w:tcPr>
                  <w:tcW w:w="879" w:type="pct"/>
                  <w:vMerge w:val="continue"/>
                  <w:tcBorders>
                    <w:tl2br w:val="nil"/>
                    <w:tr2bl w:val="nil"/>
                  </w:tcBorders>
                  <w:vAlign w:val="center"/>
                </w:tcPr>
                <w:p w14:paraId="33A98D79">
                  <w:pPr>
                    <w:adjustRightInd w:val="0"/>
                    <w:snapToGrid w:val="0"/>
                    <w:jc w:val="center"/>
                    <w:rPr>
                      <w:rFonts w:hint="default" w:ascii="Times New Roman" w:hAnsi="Times New Roman" w:eastAsia="宋体" w:cs="Times New Roman"/>
                      <w:color w:val="auto"/>
                      <w:sz w:val="21"/>
                      <w:szCs w:val="21"/>
                      <w:highlight w:val="none"/>
                      <w:lang w:val="zh-CN"/>
                    </w:rPr>
                  </w:pPr>
                </w:p>
              </w:tc>
              <w:tc>
                <w:tcPr>
                  <w:tcW w:w="1299" w:type="pct"/>
                  <w:vMerge w:val="continue"/>
                  <w:tcBorders>
                    <w:tl2br w:val="nil"/>
                    <w:tr2bl w:val="nil"/>
                  </w:tcBorders>
                  <w:vAlign w:val="center"/>
                </w:tcPr>
                <w:p w14:paraId="6C9D18DF">
                  <w:pPr>
                    <w:adjustRightInd w:val="0"/>
                    <w:snapToGrid w:val="0"/>
                    <w:jc w:val="center"/>
                    <w:rPr>
                      <w:rFonts w:hint="default" w:ascii="Times New Roman" w:hAnsi="Times New Roman" w:eastAsia="宋体" w:cs="Times New Roman"/>
                      <w:color w:val="auto"/>
                      <w:sz w:val="21"/>
                      <w:szCs w:val="21"/>
                      <w:highlight w:val="none"/>
                    </w:rPr>
                  </w:pPr>
                </w:p>
              </w:tc>
            </w:tr>
            <w:tr w14:paraId="290EAC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53" w:hRule="atLeast"/>
                <w:jc w:val="center"/>
              </w:trPr>
              <w:tc>
                <w:tcPr>
                  <w:tcW w:w="516" w:type="pct"/>
                  <w:tcBorders>
                    <w:tl2br w:val="nil"/>
                    <w:tr2bl w:val="nil"/>
                  </w:tcBorders>
                  <w:vAlign w:val="center"/>
                </w:tcPr>
                <w:p w14:paraId="5A08077D">
                  <w:pPr>
                    <w:adjustRightInd w:val="0"/>
                    <w:snapToGrid w:val="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污泥池</w:t>
                  </w:r>
                </w:p>
              </w:tc>
              <w:tc>
                <w:tcPr>
                  <w:tcW w:w="516" w:type="pct"/>
                  <w:tcBorders>
                    <w:tl2br w:val="nil"/>
                    <w:tr2bl w:val="nil"/>
                  </w:tcBorders>
                  <w:vAlign w:val="center"/>
                </w:tcPr>
                <w:p w14:paraId="4B569D9C">
                  <w:pPr>
                    <w:adjustRightInd w:val="0"/>
                    <w:snapToGrid w:val="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污泥</w:t>
                  </w:r>
                </w:p>
              </w:tc>
              <w:tc>
                <w:tcPr>
                  <w:tcW w:w="494" w:type="pct"/>
                  <w:vMerge w:val="continue"/>
                  <w:tcBorders>
                    <w:tl2br w:val="nil"/>
                    <w:tr2bl w:val="nil"/>
                  </w:tcBorders>
                  <w:vAlign w:val="center"/>
                </w:tcPr>
                <w:p w14:paraId="34A500EC">
                  <w:pPr>
                    <w:adjustRightInd w:val="0"/>
                    <w:snapToGrid w:val="0"/>
                    <w:jc w:val="center"/>
                    <w:rPr>
                      <w:rFonts w:hint="default" w:ascii="Times New Roman" w:hAnsi="Times New Roman" w:eastAsia="宋体" w:cs="Times New Roman"/>
                      <w:bCs/>
                      <w:color w:val="auto"/>
                      <w:sz w:val="21"/>
                      <w:szCs w:val="21"/>
                      <w:highlight w:val="none"/>
                    </w:rPr>
                  </w:pPr>
                </w:p>
              </w:tc>
              <w:tc>
                <w:tcPr>
                  <w:tcW w:w="562" w:type="pct"/>
                  <w:tcBorders>
                    <w:tl2br w:val="nil"/>
                    <w:tr2bl w:val="nil"/>
                  </w:tcBorders>
                  <w:vAlign w:val="center"/>
                </w:tcPr>
                <w:p w14:paraId="19CCFFE5">
                  <w:pPr>
                    <w:adjustRightInd w:val="0"/>
                    <w:snapToGrid w:val="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半</w:t>
                  </w:r>
                  <w:r>
                    <w:rPr>
                      <w:rFonts w:hint="default" w:ascii="Times New Roman" w:hAnsi="Times New Roman" w:eastAsia="宋体" w:cs="Times New Roman"/>
                      <w:bCs/>
                      <w:color w:val="auto"/>
                      <w:sz w:val="21"/>
                      <w:szCs w:val="21"/>
                      <w:highlight w:val="none"/>
                    </w:rPr>
                    <w:t>固态</w:t>
                  </w:r>
                </w:p>
              </w:tc>
              <w:tc>
                <w:tcPr>
                  <w:tcW w:w="731" w:type="pct"/>
                  <w:tcBorders>
                    <w:tl2br w:val="nil"/>
                    <w:tr2bl w:val="nil"/>
                  </w:tcBorders>
                  <w:vAlign w:val="center"/>
                </w:tcPr>
                <w:p w14:paraId="16AF6CDC">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1330</w:t>
                  </w:r>
                </w:p>
              </w:tc>
              <w:tc>
                <w:tcPr>
                  <w:tcW w:w="879" w:type="pct"/>
                  <w:vMerge w:val="continue"/>
                  <w:tcBorders>
                    <w:tl2br w:val="nil"/>
                    <w:tr2bl w:val="nil"/>
                  </w:tcBorders>
                  <w:vAlign w:val="center"/>
                </w:tcPr>
                <w:p w14:paraId="223C8F8D">
                  <w:pPr>
                    <w:adjustRightInd w:val="0"/>
                    <w:snapToGrid w:val="0"/>
                    <w:jc w:val="center"/>
                    <w:rPr>
                      <w:rFonts w:hint="default" w:ascii="Times New Roman" w:hAnsi="Times New Roman" w:eastAsia="宋体" w:cs="Times New Roman"/>
                      <w:color w:val="auto"/>
                      <w:sz w:val="21"/>
                      <w:szCs w:val="21"/>
                      <w:highlight w:val="none"/>
                      <w:lang w:val="zh-CN"/>
                    </w:rPr>
                  </w:pPr>
                </w:p>
              </w:tc>
              <w:tc>
                <w:tcPr>
                  <w:tcW w:w="1299" w:type="pct"/>
                  <w:vMerge w:val="continue"/>
                  <w:tcBorders>
                    <w:tl2br w:val="nil"/>
                    <w:tr2bl w:val="nil"/>
                  </w:tcBorders>
                  <w:vAlign w:val="center"/>
                </w:tcPr>
                <w:p w14:paraId="02C0933F">
                  <w:pPr>
                    <w:adjustRightInd w:val="0"/>
                    <w:snapToGrid w:val="0"/>
                    <w:jc w:val="center"/>
                    <w:rPr>
                      <w:rFonts w:hint="default" w:ascii="Times New Roman" w:hAnsi="Times New Roman" w:eastAsia="宋体" w:cs="Times New Roman"/>
                      <w:color w:val="auto"/>
                      <w:sz w:val="21"/>
                      <w:szCs w:val="21"/>
                      <w:highlight w:val="none"/>
                    </w:rPr>
                  </w:pPr>
                </w:p>
              </w:tc>
            </w:tr>
          </w:tbl>
          <w:p w14:paraId="65199D19">
            <w:pPr>
              <w:adjustRightInd w:val="0"/>
              <w:snapToGrid w:val="0"/>
              <w:spacing w:before="240" w:line="360" w:lineRule="auto"/>
              <w:ind w:firstLine="480" w:firstLineChars="200"/>
              <w:jc w:val="left"/>
              <w:rPr>
                <w:rFonts w:hint="default" w:ascii="Times New Roman" w:hAnsi="Times New Roman" w:eastAsia="宋体" w:cs="Times New Roman"/>
                <w:bCs/>
                <w:color w:val="auto"/>
                <w:kern w:val="28"/>
                <w:sz w:val="24"/>
                <w:highlight w:val="none"/>
              </w:rPr>
            </w:pPr>
            <w:r>
              <w:rPr>
                <w:rFonts w:hint="default" w:ascii="Times New Roman" w:hAnsi="Times New Roman" w:eastAsia="宋体" w:cs="Times New Roman"/>
                <w:bCs/>
                <w:color w:val="auto"/>
                <w:kern w:val="28"/>
                <w:sz w:val="24"/>
                <w:highlight w:val="none"/>
              </w:rPr>
              <w:t>采取以上措施后，本项目运营期</w:t>
            </w:r>
            <w:r>
              <w:rPr>
                <w:rFonts w:hint="eastAsia" w:cs="Times New Roman"/>
                <w:bCs/>
                <w:color w:val="auto"/>
                <w:kern w:val="28"/>
                <w:sz w:val="24"/>
                <w:highlight w:val="none"/>
                <w:lang w:eastAsia="zh-CN"/>
              </w:rPr>
              <w:t>间</w:t>
            </w:r>
            <w:r>
              <w:rPr>
                <w:rFonts w:hint="default" w:ascii="Times New Roman" w:hAnsi="Times New Roman" w:eastAsia="宋体" w:cs="Times New Roman"/>
                <w:bCs/>
                <w:color w:val="auto"/>
                <w:kern w:val="28"/>
                <w:sz w:val="24"/>
                <w:highlight w:val="none"/>
                <w:lang w:eastAsia="zh-CN"/>
              </w:rPr>
              <w:t>产生的</w:t>
            </w:r>
            <w:r>
              <w:rPr>
                <w:rFonts w:hint="default" w:ascii="Times New Roman" w:hAnsi="Times New Roman" w:eastAsia="宋体" w:cs="Times New Roman"/>
                <w:bCs/>
                <w:color w:val="auto"/>
                <w:kern w:val="28"/>
                <w:sz w:val="24"/>
                <w:highlight w:val="none"/>
              </w:rPr>
              <w:t>固体废物</w:t>
            </w:r>
            <w:r>
              <w:rPr>
                <w:rFonts w:hint="eastAsia" w:cs="Times New Roman"/>
                <w:bCs/>
                <w:color w:val="auto"/>
                <w:kern w:val="28"/>
                <w:sz w:val="24"/>
                <w:highlight w:val="none"/>
                <w:lang w:eastAsia="zh-CN"/>
              </w:rPr>
              <w:t>将</w:t>
            </w:r>
            <w:r>
              <w:rPr>
                <w:rFonts w:hint="default" w:ascii="Times New Roman" w:hAnsi="Times New Roman" w:eastAsia="宋体" w:cs="Times New Roman"/>
                <w:bCs/>
                <w:color w:val="auto"/>
                <w:kern w:val="28"/>
                <w:sz w:val="24"/>
                <w:highlight w:val="none"/>
              </w:rPr>
              <w:t>得到合理处置。</w:t>
            </w:r>
          </w:p>
          <w:p w14:paraId="22ACADC3">
            <w:pPr>
              <w:adjustRightInd w:val="0"/>
              <w:snapToGrid w:val="0"/>
              <w:spacing w:line="360" w:lineRule="auto"/>
              <w:ind w:firstLine="482" w:firstLineChars="200"/>
              <w:jc w:val="left"/>
              <w:rPr>
                <w:rFonts w:hint="default" w:ascii="Times New Roman" w:hAnsi="Times New Roman" w:eastAsia="宋体" w:cs="Times New Roman"/>
                <w:bCs/>
                <w:color w:val="auto"/>
                <w:kern w:val="28"/>
                <w:sz w:val="24"/>
                <w:highlight w:val="none"/>
              </w:rPr>
            </w:pPr>
            <w:r>
              <w:rPr>
                <w:rFonts w:hint="default" w:ascii="Times New Roman" w:hAnsi="Times New Roman" w:eastAsia="宋体" w:cs="Times New Roman"/>
                <w:b/>
                <w:bCs/>
                <w:color w:val="auto"/>
                <w:sz w:val="24"/>
                <w:highlight w:val="none"/>
              </w:rPr>
              <w:t>5.地下水及土壤环境</w:t>
            </w:r>
          </w:p>
          <w:p w14:paraId="2940DB44">
            <w:pPr>
              <w:adjustRightInd w:val="0"/>
              <w:snapToGrid w:val="0"/>
              <w:spacing w:line="360" w:lineRule="auto"/>
              <w:ind w:firstLine="480" w:firstLineChars="200"/>
              <w:jc w:val="left"/>
              <w:rPr>
                <w:rFonts w:hint="default" w:ascii="Times New Roman" w:hAnsi="Times New Roman" w:eastAsia="宋体" w:cs="Times New Roman"/>
                <w:bCs/>
                <w:color w:val="auto"/>
                <w:kern w:val="28"/>
                <w:sz w:val="24"/>
                <w:highlight w:val="none"/>
              </w:rPr>
            </w:pPr>
            <w:r>
              <w:rPr>
                <w:rFonts w:hint="default" w:ascii="Times New Roman" w:hAnsi="Times New Roman" w:eastAsia="宋体" w:cs="Times New Roman"/>
                <w:bCs/>
                <w:color w:val="auto"/>
                <w:kern w:val="28"/>
                <w:sz w:val="24"/>
                <w:highlight w:val="none"/>
                <w:lang w:val="en-US" w:eastAsia="zh-CN"/>
              </w:rPr>
              <w:t>根据《建设项目环境影响报告表编制技术指南》（污染影响类），本工程不涉及集中式饮用水水源和热水、矿泉水、温泉等特殊地下水资源保护区，</w:t>
            </w:r>
            <w:r>
              <w:rPr>
                <w:rFonts w:hint="eastAsia" w:cs="Times New Roman"/>
                <w:bCs/>
                <w:color w:val="auto"/>
                <w:kern w:val="28"/>
                <w:sz w:val="24"/>
                <w:highlight w:val="none"/>
                <w:lang w:val="en-US" w:eastAsia="zh-CN"/>
              </w:rPr>
              <w:t>无须设置</w:t>
            </w:r>
            <w:r>
              <w:rPr>
                <w:rFonts w:hint="default" w:ascii="Times New Roman" w:hAnsi="Times New Roman" w:eastAsia="宋体" w:cs="Times New Roman"/>
                <w:bCs/>
                <w:color w:val="auto"/>
                <w:kern w:val="28"/>
                <w:sz w:val="24"/>
                <w:highlight w:val="none"/>
                <w:lang w:val="en-US" w:eastAsia="zh-CN"/>
              </w:rPr>
              <w:t xml:space="preserve">地下水、土壤专项评价。 </w:t>
            </w:r>
          </w:p>
          <w:p w14:paraId="334FB1FF">
            <w:pPr>
              <w:adjustRightInd w:val="0"/>
              <w:snapToGrid w:val="0"/>
              <w:spacing w:line="360" w:lineRule="auto"/>
              <w:ind w:firstLine="482" w:firstLineChars="200"/>
              <w:jc w:val="left"/>
              <w:rPr>
                <w:rFonts w:hint="default" w:ascii="Times New Roman" w:hAnsi="Times New Roman" w:eastAsia="宋体" w:cs="Times New Roman"/>
                <w:bCs/>
                <w:color w:val="auto"/>
                <w:kern w:val="28"/>
                <w:sz w:val="24"/>
                <w:highlight w:val="none"/>
              </w:rPr>
            </w:pPr>
            <w:r>
              <w:rPr>
                <w:rFonts w:hint="default" w:ascii="Times New Roman" w:hAnsi="Times New Roman" w:eastAsia="宋体" w:cs="Times New Roman"/>
                <w:b/>
                <w:bCs w:val="0"/>
                <w:color w:val="auto"/>
                <w:kern w:val="28"/>
                <w:sz w:val="24"/>
                <w:highlight w:val="none"/>
                <w:lang w:val="en-US" w:eastAsia="zh-CN"/>
              </w:rPr>
              <w:t>5.1污染源、污染物类型和污染途径</w:t>
            </w:r>
            <w:r>
              <w:rPr>
                <w:rFonts w:hint="default" w:ascii="Times New Roman" w:hAnsi="Times New Roman" w:eastAsia="宋体" w:cs="Times New Roman"/>
                <w:bCs/>
                <w:color w:val="auto"/>
                <w:kern w:val="28"/>
                <w:sz w:val="24"/>
                <w:highlight w:val="none"/>
                <w:lang w:val="en-US" w:eastAsia="zh-CN"/>
              </w:rPr>
              <w:t xml:space="preserve"> </w:t>
            </w:r>
          </w:p>
          <w:p w14:paraId="15DA6F12">
            <w:pPr>
              <w:adjustRightInd w:val="0"/>
              <w:snapToGrid w:val="0"/>
              <w:spacing w:line="360" w:lineRule="auto"/>
              <w:ind w:firstLine="480" w:firstLineChars="200"/>
              <w:jc w:val="left"/>
              <w:rPr>
                <w:rFonts w:hint="default" w:ascii="Times New Roman" w:hAnsi="Times New Roman" w:eastAsia="宋体" w:cs="Times New Roman"/>
                <w:bCs/>
                <w:color w:val="auto"/>
                <w:kern w:val="28"/>
                <w:sz w:val="24"/>
                <w:highlight w:val="none"/>
              </w:rPr>
            </w:pPr>
            <w:r>
              <w:rPr>
                <w:rFonts w:hint="default" w:ascii="Times New Roman" w:hAnsi="Times New Roman" w:eastAsia="宋体" w:cs="Times New Roman"/>
                <w:bCs/>
                <w:color w:val="auto"/>
                <w:kern w:val="28"/>
                <w:sz w:val="24"/>
                <w:highlight w:val="none"/>
                <w:lang w:val="en-US" w:eastAsia="zh-CN"/>
              </w:rPr>
              <w:t>本项目污水处理厂一期改造工程对各构筑物均作</w:t>
            </w:r>
            <w:r>
              <w:rPr>
                <w:rFonts w:hint="eastAsia" w:cs="Times New Roman"/>
                <w:bCs/>
                <w:color w:val="auto"/>
                <w:kern w:val="28"/>
                <w:sz w:val="24"/>
                <w:highlight w:val="none"/>
                <w:lang w:val="en-US" w:eastAsia="zh-CN"/>
              </w:rPr>
              <w:t>了</w:t>
            </w:r>
            <w:r>
              <w:rPr>
                <w:rFonts w:hint="default" w:ascii="Times New Roman" w:hAnsi="Times New Roman" w:eastAsia="宋体" w:cs="Times New Roman"/>
                <w:bCs/>
                <w:color w:val="auto"/>
                <w:kern w:val="28"/>
                <w:sz w:val="24"/>
                <w:highlight w:val="none"/>
                <w:lang w:val="en-US" w:eastAsia="zh-CN"/>
              </w:rPr>
              <w:t>硬底化处理。厂内埋地管道均根据国家规定的防腐工程设计</w:t>
            </w:r>
            <w:r>
              <w:rPr>
                <w:rFonts w:hint="eastAsia" w:cs="Times New Roman"/>
                <w:bCs/>
                <w:color w:val="auto"/>
                <w:kern w:val="28"/>
                <w:sz w:val="24"/>
                <w:highlight w:val="none"/>
                <w:lang w:val="en-US" w:eastAsia="zh-CN"/>
              </w:rPr>
              <w:t>规范</w:t>
            </w:r>
            <w:r>
              <w:rPr>
                <w:rFonts w:hint="default" w:ascii="Times New Roman" w:hAnsi="Times New Roman" w:eastAsia="宋体" w:cs="Times New Roman"/>
                <w:bCs/>
                <w:color w:val="auto"/>
                <w:kern w:val="28"/>
                <w:sz w:val="24"/>
                <w:highlight w:val="none"/>
                <w:lang w:val="en-US" w:eastAsia="zh-CN"/>
              </w:rPr>
              <w:t>进行了必要的外壁防腐和内壁防腐措施。</w:t>
            </w:r>
            <w:r>
              <w:rPr>
                <w:rFonts w:hint="eastAsia" w:cs="Times New Roman"/>
                <w:bCs/>
                <w:color w:val="auto"/>
                <w:kern w:val="28"/>
                <w:sz w:val="24"/>
                <w:highlight w:val="none"/>
                <w:lang w:val="en-US" w:eastAsia="zh-CN"/>
              </w:rPr>
              <w:t>在</w:t>
            </w:r>
            <w:r>
              <w:rPr>
                <w:rFonts w:hint="default" w:ascii="Times New Roman" w:hAnsi="Times New Roman" w:eastAsia="宋体" w:cs="Times New Roman"/>
                <w:bCs/>
                <w:color w:val="auto"/>
                <w:kern w:val="28"/>
                <w:sz w:val="24"/>
                <w:highlight w:val="none"/>
                <w:lang w:val="en-US" w:eastAsia="zh-CN"/>
              </w:rPr>
              <w:t>正常情况下，项目产生的污染物不会入渗</w:t>
            </w:r>
            <w:r>
              <w:rPr>
                <w:rFonts w:hint="eastAsia" w:cs="Times New Roman"/>
                <w:bCs/>
                <w:color w:val="auto"/>
                <w:kern w:val="28"/>
                <w:sz w:val="24"/>
                <w:highlight w:val="none"/>
                <w:lang w:val="en-US" w:eastAsia="zh-CN"/>
              </w:rPr>
              <w:t>到</w:t>
            </w:r>
            <w:r>
              <w:rPr>
                <w:rFonts w:hint="default" w:ascii="Times New Roman" w:hAnsi="Times New Roman" w:eastAsia="宋体" w:cs="Times New Roman"/>
                <w:bCs/>
                <w:color w:val="auto"/>
                <w:kern w:val="28"/>
                <w:sz w:val="24"/>
                <w:highlight w:val="none"/>
                <w:lang w:val="en-US" w:eastAsia="zh-CN"/>
              </w:rPr>
              <w:t>土壤</w:t>
            </w:r>
            <w:r>
              <w:rPr>
                <w:rFonts w:hint="eastAsia" w:cs="Times New Roman"/>
                <w:bCs/>
                <w:color w:val="auto"/>
                <w:kern w:val="28"/>
                <w:sz w:val="24"/>
                <w:highlight w:val="none"/>
                <w:lang w:val="en-US" w:eastAsia="zh-CN"/>
              </w:rPr>
              <w:t>和</w:t>
            </w:r>
            <w:r>
              <w:rPr>
                <w:rFonts w:hint="default" w:ascii="Times New Roman" w:hAnsi="Times New Roman" w:eastAsia="宋体" w:cs="Times New Roman"/>
                <w:bCs/>
                <w:color w:val="auto"/>
                <w:kern w:val="28"/>
                <w:sz w:val="24"/>
                <w:highlight w:val="none"/>
                <w:lang w:val="en-US" w:eastAsia="zh-CN"/>
              </w:rPr>
              <w:t>地表水环境</w:t>
            </w:r>
            <w:r>
              <w:rPr>
                <w:rFonts w:hint="eastAsia" w:cs="Times New Roman"/>
                <w:bCs/>
                <w:color w:val="auto"/>
                <w:kern w:val="28"/>
                <w:sz w:val="24"/>
                <w:highlight w:val="none"/>
                <w:lang w:val="en-US" w:eastAsia="zh-CN"/>
              </w:rPr>
              <w:t>中</w:t>
            </w:r>
            <w:r>
              <w:rPr>
                <w:rFonts w:hint="default" w:ascii="Times New Roman" w:hAnsi="Times New Roman" w:eastAsia="宋体" w:cs="Times New Roman"/>
                <w:bCs/>
                <w:color w:val="auto"/>
                <w:kern w:val="28"/>
                <w:sz w:val="24"/>
                <w:highlight w:val="none"/>
                <w:lang w:val="en-US" w:eastAsia="zh-CN"/>
              </w:rPr>
              <w:t>，</w:t>
            </w:r>
            <w:r>
              <w:rPr>
                <w:rFonts w:hint="eastAsia" w:cs="Times New Roman"/>
                <w:bCs/>
                <w:color w:val="auto"/>
                <w:kern w:val="28"/>
                <w:sz w:val="24"/>
                <w:highlight w:val="none"/>
                <w:lang w:val="en-US" w:eastAsia="zh-CN"/>
              </w:rPr>
              <w:t>也不会通过其他途径对</w:t>
            </w:r>
            <w:r>
              <w:rPr>
                <w:rFonts w:hint="default" w:ascii="Times New Roman" w:hAnsi="Times New Roman" w:eastAsia="宋体" w:cs="Times New Roman"/>
                <w:bCs/>
                <w:color w:val="auto"/>
                <w:kern w:val="28"/>
                <w:sz w:val="24"/>
                <w:highlight w:val="none"/>
                <w:lang w:val="en-US" w:eastAsia="zh-CN"/>
              </w:rPr>
              <w:t>土壤、地下水环境</w:t>
            </w:r>
            <w:r>
              <w:rPr>
                <w:rFonts w:hint="eastAsia" w:cs="Times New Roman"/>
                <w:bCs/>
                <w:color w:val="auto"/>
                <w:kern w:val="28"/>
                <w:sz w:val="24"/>
                <w:highlight w:val="none"/>
                <w:lang w:val="en-US" w:eastAsia="zh-CN"/>
              </w:rPr>
              <w:t>产生影响</w:t>
            </w:r>
            <w:r>
              <w:rPr>
                <w:rFonts w:hint="default" w:ascii="Times New Roman" w:hAnsi="Times New Roman" w:eastAsia="宋体" w:cs="Times New Roman"/>
                <w:bCs/>
                <w:color w:val="auto"/>
                <w:kern w:val="28"/>
                <w:sz w:val="24"/>
                <w:highlight w:val="none"/>
                <w:lang w:val="en-US" w:eastAsia="zh-CN"/>
              </w:rPr>
              <w:t xml:space="preserve">。 </w:t>
            </w:r>
          </w:p>
          <w:p w14:paraId="2CBCF66D">
            <w:pPr>
              <w:adjustRightInd w:val="0"/>
              <w:snapToGrid w:val="0"/>
              <w:spacing w:line="360" w:lineRule="auto"/>
              <w:ind w:firstLine="482" w:firstLineChars="200"/>
              <w:jc w:val="left"/>
              <w:rPr>
                <w:rFonts w:hint="default" w:ascii="Times New Roman" w:hAnsi="Times New Roman" w:eastAsia="宋体" w:cs="Times New Roman"/>
                <w:b/>
                <w:bCs w:val="0"/>
                <w:color w:val="auto"/>
                <w:kern w:val="28"/>
                <w:sz w:val="24"/>
                <w:highlight w:val="none"/>
              </w:rPr>
            </w:pPr>
            <w:r>
              <w:rPr>
                <w:rFonts w:hint="default" w:ascii="Times New Roman" w:hAnsi="Times New Roman" w:eastAsia="宋体" w:cs="Times New Roman"/>
                <w:b/>
                <w:bCs w:val="0"/>
                <w:color w:val="auto"/>
                <w:kern w:val="28"/>
                <w:sz w:val="24"/>
                <w:highlight w:val="none"/>
                <w:lang w:val="en-US" w:eastAsia="zh-CN"/>
              </w:rPr>
              <w:t xml:space="preserve">5.2防控措施 </w:t>
            </w:r>
          </w:p>
          <w:p w14:paraId="2A86918B">
            <w:pPr>
              <w:adjustRightInd w:val="0"/>
              <w:snapToGrid w:val="0"/>
              <w:spacing w:line="360" w:lineRule="auto"/>
              <w:ind w:firstLine="480" w:firstLineChars="200"/>
              <w:jc w:val="left"/>
              <w:rPr>
                <w:rFonts w:hint="default" w:ascii="Times New Roman" w:hAnsi="Times New Roman" w:eastAsia="宋体" w:cs="Times New Roman"/>
                <w:bCs/>
                <w:color w:val="auto"/>
                <w:kern w:val="28"/>
                <w:sz w:val="24"/>
                <w:highlight w:val="none"/>
              </w:rPr>
            </w:pPr>
            <w:r>
              <w:rPr>
                <w:rFonts w:hint="default" w:ascii="Times New Roman" w:hAnsi="Times New Roman" w:eastAsia="宋体" w:cs="Times New Roman"/>
                <w:bCs/>
                <w:color w:val="auto"/>
                <w:kern w:val="28"/>
                <w:sz w:val="24"/>
                <w:highlight w:val="none"/>
                <w:lang w:val="en-US" w:eastAsia="zh-CN"/>
              </w:rPr>
              <w:t xml:space="preserve">（1）源头防治措施 </w:t>
            </w:r>
          </w:p>
          <w:p w14:paraId="2EB6FA40">
            <w:pPr>
              <w:adjustRightInd w:val="0"/>
              <w:snapToGrid w:val="0"/>
              <w:spacing w:line="360" w:lineRule="auto"/>
              <w:ind w:firstLine="480" w:firstLineChars="200"/>
              <w:jc w:val="left"/>
              <w:rPr>
                <w:rFonts w:hint="default" w:ascii="Times New Roman" w:hAnsi="Times New Roman" w:eastAsia="宋体" w:cs="Times New Roman"/>
                <w:bCs/>
                <w:color w:val="auto"/>
                <w:kern w:val="28"/>
                <w:sz w:val="24"/>
                <w:highlight w:val="none"/>
              </w:rPr>
            </w:pPr>
            <w:r>
              <w:rPr>
                <w:rFonts w:hint="default" w:ascii="Times New Roman" w:hAnsi="Times New Roman" w:eastAsia="宋体" w:cs="Times New Roman"/>
                <w:bCs/>
                <w:color w:val="auto"/>
                <w:kern w:val="28"/>
                <w:sz w:val="24"/>
                <w:highlight w:val="none"/>
                <w:lang w:val="en-US" w:eastAsia="zh-CN"/>
              </w:rPr>
              <w:t>为防止生活污水输送及处理过程中发生废水渗漏扩散，建构筑物、路面必须落实底部硬底化、防漏防渗措施，所有水池构筑物均进行防渗处理，确保防渗层的渗透系数满足K≤10</w:t>
            </w:r>
            <w:r>
              <w:rPr>
                <w:rFonts w:hint="default" w:ascii="Times New Roman" w:hAnsi="Times New Roman" w:eastAsia="宋体" w:cs="Times New Roman"/>
                <w:bCs/>
                <w:color w:val="auto"/>
                <w:kern w:val="28"/>
                <w:sz w:val="24"/>
                <w:highlight w:val="none"/>
                <w:vertAlign w:val="superscript"/>
                <w:lang w:val="en-US" w:eastAsia="zh-CN"/>
              </w:rPr>
              <w:t>-7</w:t>
            </w:r>
            <w:r>
              <w:rPr>
                <w:rFonts w:hint="default" w:ascii="Times New Roman" w:hAnsi="Times New Roman" w:eastAsia="宋体" w:cs="Times New Roman"/>
                <w:bCs/>
                <w:color w:val="auto"/>
                <w:kern w:val="28"/>
                <w:sz w:val="24"/>
                <w:highlight w:val="none"/>
                <w:lang w:val="en-US" w:eastAsia="zh-CN"/>
              </w:rPr>
              <w:t>c</w:t>
            </w:r>
            <w:r>
              <w:rPr>
                <w:rFonts w:hint="eastAsia" w:cs="Times New Roman"/>
                <w:bCs/>
                <w:color w:val="auto"/>
                <w:kern w:val="28"/>
                <w:sz w:val="24"/>
                <w:highlight w:val="none"/>
                <w:lang w:val="en-US" w:eastAsia="zh-CN"/>
              </w:rPr>
              <w:t>m</w:t>
            </w:r>
            <w:r>
              <w:rPr>
                <w:rFonts w:hint="default" w:ascii="Times New Roman" w:hAnsi="Times New Roman" w:eastAsia="宋体" w:cs="Times New Roman"/>
                <w:bCs/>
                <w:color w:val="auto"/>
                <w:kern w:val="28"/>
                <w:sz w:val="24"/>
                <w:highlight w:val="none"/>
                <w:lang w:val="en-US" w:eastAsia="zh-CN"/>
              </w:rPr>
              <w:t xml:space="preserve">/s。污水处理厂内地表表面应用混凝土进行固化，防止滴漏废水外渗扩散。 </w:t>
            </w:r>
          </w:p>
          <w:p w14:paraId="7F06D87E">
            <w:pPr>
              <w:adjustRightInd w:val="0"/>
              <w:snapToGrid w:val="0"/>
              <w:spacing w:line="360" w:lineRule="auto"/>
              <w:ind w:firstLine="480" w:firstLineChars="200"/>
              <w:jc w:val="left"/>
              <w:rPr>
                <w:rFonts w:hint="default" w:ascii="Times New Roman" w:hAnsi="Times New Roman" w:eastAsia="宋体" w:cs="Times New Roman"/>
                <w:bCs/>
                <w:color w:val="auto"/>
                <w:kern w:val="28"/>
                <w:sz w:val="24"/>
                <w:highlight w:val="none"/>
              </w:rPr>
            </w:pPr>
            <w:r>
              <w:rPr>
                <w:rFonts w:hint="default" w:ascii="Times New Roman" w:hAnsi="Times New Roman" w:eastAsia="宋体" w:cs="Times New Roman"/>
                <w:bCs/>
                <w:color w:val="auto"/>
                <w:kern w:val="28"/>
                <w:sz w:val="24"/>
                <w:highlight w:val="none"/>
                <w:lang w:val="en-US" w:eastAsia="zh-CN"/>
              </w:rPr>
              <w:t xml:space="preserve">项目应急池正常运行时不会发生污水下渗，可有效防止污水下渗到土壤和地下水；项目产生的臭气经过有效除臭处理后排放量不大，且不属于重金属等有毒有害物质，对土壤和地下水影响不大。 </w:t>
            </w:r>
          </w:p>
          <w:p w14:paraId="4835ED82">
            <w:pPr>
              <w:adjustRightInd w:val="0"/>
              <w:snapToGrid w:val="0"/>
              <w:spacing w:line="360" w:lineRule="auto"/>
              <w:ind w:firstLine="480" w:firstLineChars="200"/>
              <w:jc w:val="left"/>
              <w:rPr>
                <w:rFonts w:hint="default" w:ascii="Times New Roman" w:hAnsi="Times New Roman" w:eastAsia="宋体" w:cs="Times New Roman"/>
                <w:bCs/>
                <w:color w:val="auto"/>
                <w:kern w:val="28"/>
                <w:sz w:val="24"/>
                <w:highlight w:val="none"/>
              </w:rPr>
            </w:pPr>
            <w:r>
              <w:rPr>
                <w:rFonts w:hint="default" w:ascii="Times New Roman" w:hAnsi="Times New Roman" w:eastAsia="宋体" w:cs="Times New Roman"/>
                <w:bCs/>
                <w:color w:val="auto"/>
                <w:kern w:val="28"/>
                <w:sz w:val="24"/>
                <w:highlight w:val="none"/>
                <w:lang w:val="en-US" w:eastAsia="zh-CN"/>
              </w:rPr>
              <w:t>（2）分区防治措施</w:t>
            </w:r>
          </w:p>
          <w:p w14:paraId="1EB40961">
            <w:pPr>
              <w:adjustRightInd w:val="0"/>
              <w:snapToGrid w:val="0"/>
              <w:spacing w:line="360" w:lineRule="auto"/>
              <w:ind w:firstLine="480" w:firstLineChars="200"/>
              <w:jc w:val="left"/>
              <w:rPr>
                <w:rFonts w:hint="default" w:ascii="Times New Roman" w:hAnsi="Times New Roman" w:eastAsia="宋体" w:cs="Times New Roman"/>
                <w:bCs/>
                <w:color w:val="auto"/>
                <w:kern w:val="28"/>
                <w:sz w:val="24"/>
                <w:highlight w:val="none"/>
              </w:rPr>
            </w:pPr>
            <w:r>
              <w:rPr>
                <w:rFonts w:hint="default" w:ascii="Times New Roman" w:hAnsi="Times New Roman" w:eastAsia="宋体" w:cs="Times New Roman"/>
                <w:bCs/>
                <w:color w:val="auto"/>
                <w:kern w:val="28"/>
                <w:sz w:val="24"/>
                <w:highlight w:val="none"/>
                <w:lang w:val="en-US" w:eastAsia="zh-CN"/>
              </w:rPr>
              <w:t>本项目为污水处理项目，主要建设废水处理设施区域（各污水处理池体）及其配套设施加药间、污泥脱水间等，建设单位针对地下水</w:t>
            </w:r>
            <w:r>
              <w:rPr>
                <w:rFonts w:hint="eastAsia" w:cs="Times New Roman"/>
                <w:bCs/>
                <w:color w:val="auto"/>
                <w:kern w:val="28"/>
                <w:sz w:val="24"/>
                <w:highlight w:val="none"/>
                <w:lang w:val="en-US" w:eastAsia="zh-CN"/>
              </w:rPr>
              <w:t>污染</w:t>
            </w:r>
            <w:r>
              <w:rPr>
                <w:rFonts w:hint="default" w:ascii="Times New Roman" w:hAnsi="Times New Roman" w:eastAsia="宋体" w:cs="Times New Roman"/>
                <w:bCs/>
                <w:color w:val="auto"/>
                <w:kern w:val="28"/>
                <w:sz w:val="24"/>
                <w:highlight w:val="none"/>
                <w:lang w:val="en-US" w:eastAsia="zh-CN"/>
              </w:rPr>
              <w:t>防治措施分区防治部分参照《环境影响评价技术导则 地下水环境》（HJ610-2016）的地下水污染防渗分区，将厂区划分为重点防渗区、一般防渗区和简单防渗区。项目分区保护措施见下表。</w:t>
            </w:r>
          </w:p>
          <w:p w14:paraId="228D12A7">
            <w:pPr>
              <w:spacing w:line="360" w:lineRule="auto"/>
              <w:jc w:val="center"/>
              <w:rPr>
                <w:rFonts w:hint="default" w:ascii="Times New Roman" w:hAnsi="Times New Roman" w:eastAsia="宋体" w:cs="Times New Roman"/>
                <w:b/>
                <w:bCs/>
                <w:color w:val="auto"/>
                <w:kern w:val="0"/>
                <w:sz w:val="24"/>
                <w:szCs w:val="20"/>
              </w:rPr>
            </w:pPr>
            <w:r>
              <w:rPr>
                <w:rFonts w:hint="default" w:ascii="Times New Roman" w:hAnsi="Times New Roman" w:eastAsia="宋体" w:cs="Times New Roman"/>
                <w:b/>
                <w:bCs/>
                <w:color w:val="auto"/>
                <w:kern w:val="0"/>
                <w:sz w:val="24"/>
                <w:szCs w:val="20"/>
              </w:rPr>
              <w:t>表4-1</w:t>
            </w:r>
            <w:r>
              <w:rPr>
                <w:rFonts w:hint="eastAsia" w:cs="Times New Roman"/>
                <w:b/>
                <w:bCs/>
                <w:color w:val="auto"/>
                <w:kern w:val="0"/>
                <w:sz w:val="24"/>
                <w:szCs w:val="20"/>
                <w:lang w:val="en-US" w:eastAsia="zh-CN"/>
              </w:rPr>
              <w:t>1</w:t>
            </w:r>
            <w:r>
              <w:rPr>
                <w:rFonts w:hint="default" w:ascii="Times New Roman" w:hAnsi="Times New Roman" w:eastAsia="宋体" w:cs="Times New Roman"/>
                <w:b/>
                <w:bCs/>
                <w:color w:val="auto"/>
                <w:kern w:val="0"/>
                <w:sz w:val="24"/>
                <w:szCs w:val="20"/>
              </w:rPr>
              <w:t xml:space="preserve"> 项目防渗分区划分及防渗技术要求</w:t>
            </w:r>
          </w:p>
          <w:tbl>
            <w:tblPr>
              <w:tblStyle w:val="10"/>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1320"/>
              <w:gridCol w:w="2935"/>
              <w:gridCol w:w="3860"/>
            </w:tblGrid>
            <w:tr w14:paraId="1AE4D3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320" w:type="dxa"/>
                  <w:noWrap w:val="0"/>
                  <w:vAlign w:val="center"/>
                </w:tcPr>
                <w:p w14:paraId="3287942B">
                  <w:pPr>
                    <w:adjustRightInd w:val="0"/>
                    <w:snapToGrid w:val="0"/>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sz w:val="21"/>
                      <w:szCs w:val="21"/>
                    </w:rPr>
                    <w:t>防渗分区</w:t>
                  </w:r>
                </w:p>
              </w:tc>
              <w:tc>
                <w:tcPr>
                  <w:tcW w:w="2935" w:type="dxa"/>
                  <w:noWrap w:val="0"/>
                  <w:vAlign w:val="center"/>
                </w:tcPr>
                <w:p w14:paraId="47B7ACAB">
                  <w:pPr>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rPr>
                    <w:t>分区</w:t>
                  </w:r>
                </w:p>
              </w:tc>
              <w:tc>
                <w:tcPr>
                  <w:tcW w:w="3860" w:type="dxa"/>
                  <w:noWrap w:val="0"/>
                  <w:vAlign w:val="center"/>
                </w:tcPr>
                <w:p w14:paraId="275B42FF">
                  <w:pPr>
                    <w:adjustRightInd w:val="0"/>
                    <w:snapToGrid w:val="0"/>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防渗要求</w:t>
                  </w:r>
                </w:p>
              </w:tc>
            </w:tr>
            <w:tr w14:paraId="63B357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320" w:type="dxa"/>
                  <w:noWrap w:val="0"/>
                  <w:vAlign w:val="center"/>
                </w:tcPr>
                <w:p w14:paraId="60D0F792">
                  <w:pPr>
                    <w:adjustRightInd w:val="0"/>
                    <w:snapToGrid w:val="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重点防渗区</w:t>
                  </w:r>
                </w:p>
              </w:tc>
              <w:tc>
                <w:tcPr>
                  <w:tcW w:w="2935" w:type="dxa"/>
                  <w:noWrap w:val="0"/>
                  <w:vAlign w:val="center"/>
                </w:tcPr>
                <w:p w14:paraId="7F4EA92F">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药剂间、加药间</w:t>
                  </w:r>
                  <w:r>
                    <w:rPr>
                      <w:rFonts w:hint="eastAsia" w:cs="Times New Roman"/>
                      <w:color w:val="auto"/>
                      <w:sz w:val="21"/>
                      <w:szCs w:val="21"/>
                      <w:lang w:val="en-US" w:eastAsia="zh-CN"/>
                    </w:rPr>
                    <w:t>。</w:t>
                  </w:r>
                </w:p>
              </w:tc>
              <w:tc>
                <w:tcPr>
                  <w:tcW w:w="3860" w:type="dxa"/>
                  <w:noWrap w:val="0"/>
                  <w:vAlign w:val="center"/>
                </w:tcPr>
                <w:p w14:paraId="3A5478CB">
                  <w:pPr>
                    <w:adjustRightInd w:val="0"/>
                    <w:snapToGrid w:val="0"/>
                    <w:jc w:val="center"/>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bCs/>
                      <w:color w:val="auto"/>
                      <w:kern w:val="0"/>
                      <w:sz w:val="21"/>
                      <w:szCs w:val="21"/>
                    </w:rPr>
                    <w:t>等效黏土防渗层Mb≥</w:t>
                  </w:r>
                  <w:r>
                    <w:rPr>
                      <w:rFonts w:hint="default" w:ascii="Times New Roman" w:hAnsi="Times New Roman" w:eastAsia="宋体" w:cs="Times New Roman"/>
                      <w:bCs/>
                      <w:color w:val="auto"/>
                      <w:kern w:val="0"/>
                      <w:sz w:val="21"/>
                      <w:szCs w:val="21"/>
                      <w:lang w:val="en-US" w:eastAsia="zh-CN"/>
                    </w:rPr>
                    <w:t>6</w:t>
                  </w:r>
                  <w:r>
                    <w:rPr>
                      <w:rFonts w:hint="eastAsia" w:cs="Times New Roman"/>
                      <w:bCs/>
                      <w:color w:val="auto"/>
                      <w:kern w:val="0"/>
                      <w:sz w:val="21"/>
                      <w:szCs w:val="21"/>
                      <w:lang w:eastAsia="zh-CN"/>
                    </w:rPr>
                    <w:t>m</w:t>
                  </w:r>
                  <w:r>
                    <w:rPr>
                      <w:rFonts w:hint="default" w:ascii="Times New Roman" w:hAnsi="Times New Roman" w:eastAsia="宋体" w:cs="Times New Roman"/>
                      <w:bCs/>
                      <w:color w:val="auto"/>
                      <w:kern w:val="0"/>
                      <w:sz w:val="21"/>
                      <w:szCs w:val="21"/>
                    </w:rPr>
                    <w:t>，渗透系数≤1×10</w:t>
                  </w:r>
                  <w:r>
                    <w:rPr>
                      <w:rFonts w:hint="default" w:ascii="Times New Roman" w:hAnsi="Times New Roman" w:eastAsia="宋体" w:cs="Times New Roman"/>
                      <w:bCs/>
                      <w:color w:val="auto"/>
                      <w:kern w:val="0"/>
                      <w:sz w:val="21"/>
                      <w:szCs w:val="21"/>
                      <w:vertAlign w:val="superscript"/>
                    </w:rPr>
                    <w:t>-7</w:t>
                  </w:r>
                  <w:r>
                    <w:rPr>
                      <w:rFonts w:hint="default" w:ascii="Times New Roman" w:hAnsi="Times New Roman" w:eastAsia="宋体" w:cs="Times New Roman"/>
                      <w:bCs/>
                      <w:color w:val="auto"/>
                      <w:kern w:val="0"/>
                      <w:sz w:val="21"/>
                      <w:szCs w:val="21"/>
                    </w:rPr>
                    <w:t>c</w:t>
                  </w:r>
                  <w:r>
                    <w:rPr>
                      <w:rFonts w:hint="eastAsia" w:cs="Times New Roman"/>
                      <w:bCs/>
                      <w:color w:val="auto"/>
                      <w:kern w:val="0"/>
                      <w:sz w:val="21"/>
                      <w:szCs w:val="21"/>
                      <w:lang w:eastAsia="zh-CN"/>
                    </w:rPr>
                    <w:t>m</w:t>
                  </w:r>
                  <w:r>
                    <w:rPr>
                      <w:rFonts w:hint="default" w:ascii="Times New Roman" w:hAnsi="Times New Roman" w:eastAsia="宋体" w:cs="Times New Roman"/>
                      <w:bCs/>
                      <w:color w:val="auto"/>
                      <w:kern w:val="0"/>
                      <w:sz w:val="21"/>
                      <w:szCs w:val="21"/>
                    </w:rPr>
                    <w:t>/s</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采取铺设钢筋混凝土加防渗层的防渗地坪</w:t>
                  </w:r>
                  <w:r>
                    <w:rPr>
                      <w:rFonts w:hint="eastAsia" w:cs="Times New Roman"/>
                      <w:color w:val="auto"/>
                      <w:sz w:val="21"/>
                      <w:szCs w:val="21"/>
                      <w:lang w:val="en-US" w:eastAsia="zh-CN"/>
                    </w:rPr>
                    <w:t>。</w:t>
                  </w:r>
                </w:p>
              </w:tc>
            </w:tr>
            <w:tr w14:paraId="47992F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320" w:type="dxa"/>
                  <w:noWrap w:val="0"/>
                  <w:vAlign w:val="center"/>
                </w:tcPr>
                <w:p w14:paraId="370275E1">
                  <w:pPr>
                    <w:adjustRightInd w:val="0"/>
                    <w:snapToGrid w:val="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一般防渗区</w:t>
                  </w:r>
                </w:p>
              </w:tc>
              <w:tc>
                <w:tcPr>
                  <w:tcW w:w="2935" w:type="dxa"/>
                  <w:noWrap w:val="0"/>
                  <w:vAlign w:val="center"/>
                </w:tcPr>
                <w:p w14:paraId="21101001">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应急池、污水处理单元、污泥处理单元等生产区域</w:t>
                  </w:r>
                  <w:r>
                    <w:rPr>
                      <w:rFonts w:hint="eastAsia" w:cs="Times New Roman"/>
                      <w:color w:val="auto"/>
                      <w:sz w:val="21"/>
                      <w:szCs w:val="21"/>
                      <w:lang w:val="en-US" w:eastAsia="zh-CN"/>
                    </w:rPr>
                    <w:t>。</w:t>
                  </w:r>
                </w:p>
              </w:tc>
              <w:tc>
                <w:tcPr>
                  <w:tcW w:w="3860" w:type="dxa"/>
                  <w:noWrap w:val="0"/>
                  <w:vAlign w:val="center"/>
                </w:tcPr>
                <w:p w14:paraId="01E4C6CF">
                  <w:pPr>
                    <w:adjustRightInd w:val="0"/>
                    <w:snapToGrid w:val="0"/>
                    <w:jc w:val="center"/>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sz w:val="21"/>
                      <w:szCs w:val="21"/>
                    </w:rPr>
                    <w:t>等效黏土防渗层Mb</w:t>
                  </w:r>
                  <w:r>
                    <w:rPr>
                      <w:rFonts w:hint="default" w:ascii="Times New Roman" w:hAnsi="Times New Roman" w:eastAsia="宋体" w:cs="Times New Roman"/>
                      <w:color w:val="auto"/>
                      <w:kern w:val="0"/>
                      <w:sz w:val="21"/>
                      <w:szCs w:val="21"/>
                    </w:rPr>
                    <w:t>≥</w:t>
                  </w:r>
                  <w:r>
                    <w:rPr>
                      <w:rFonts w:hint="default" w:ascii="Times New Roman" w:hAnsi="Times New Roman" w:eastAsia="宋体" w:cs="Times New Roman"/>
                      <w:color w:val="auto"/>
                      <w:sz w:val="21"/>
                      <w:szCs w:val="21"/>
                    </w:rPr>
                    <w:t>1.5</w:t>
                  </w:r>
                  <w:r>
                    <w:rPr>
                      <w:rFonts w:hint="eastAsia" w:cs="Times New Roman"/>
                      <w:color w:val="auto"/>
                      <w:sz w:val="21"/>
                      <w:szCs w:val="21"/>
                      <w:lang w:eastAsia="zh-CN"/>
                    </w:rPr>
                    <w:t>m</w:t>
                  </w:r>
                  <w:r>
                    <w:rPr>
                      <w:rFonts w:hint="default" w:ascii="Times New Roman" w:hAnsi="Times New Roman" w:eastAsia="宋体" w:cs="Times New Roman"/>
                      <w:color w:val="auto"/>
                      <w:sz w:val="21"/>
                      <w:szCs w:val="21"/>
                    </w:rPr>
                    <w:t>，渗透系数≤1×10</w:t>
                  </w:r>
                  <w:r>
                    <w:rPr>
                      <w:rFonts w:hint="default" w:ascii="Times New Roman" w:hAnsi="Times New Roman" w:eastAsia="宋体" w:cs="Times New Roman"/>
                      <w:color w:val="auto"/>
                      <w:sz w:val="21"/>
                      <w:szCs w:val="21"/>
                      <w:vertAlign w:val="superscript"/>
                    </w:rPr>
                    <w:t>-7</w:t>
                  </w:r>
                  <w:r>
                    <w:rPr>
                      <w:rFonts w:hint="default" w:ascii="Times New Roman" w:hAnsi="Times New Roman" w:eastAsia="宋体" w:cs="Times New Roman"/>
                      <w:color w:val="auto"/>
                      <w:sz w:val="21"/>
                      <w:szCs w:val="21"/>
                    </w:rPr>
                    <w:t>c</w:t>
                  </w:r>
                  <w:r>
                    <w:rPr>
                      <w:rFonts w:hint="eastAsia" w:cs="Times New Roman"/>
                      <w:color w:val="auto"/>
                      <w:sz w:val="21"/>
                      <w:szCs w:val="21"/>
                      <w:lang w:eastAsia="zh-CN"/>
                    </w:rPr>
                    <w:t>m</w:t>
                  </w:r>
                  <w:r>
                    <w:rPr>
                      <w:rFonts w:hint="default" w:ascii="Times New Roman" w:hAnsi="Times New Roman" w:eastAsia="宋体" w:cs="Times New Roman"/>
                      <w:color w:val="auto"/>
                      <w:sz w:val="21"/>
                      <w:szCs w:val="21"/>
                    </w:rPr>
                    <w:t>/s</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地面、池体底部及四周均采取抗渗混凝土防渗</w:t>
                  </w:r>
                  <w:r>
                    <w:rPr>
                      <w:rFonts w:hint="eastAsia" w:cs="Times New Roman"/>
                      <w:color w:val="auto"/>
                      <w:sz w:val="21"/>
                      <w:szCs w:val="21"/>
                      <w:lang w:val="en-US" w:eastAsia="zh-CN"/>
                    </w:rPr>
                    <w:t>。</w:t>
                  </w:r>
                </w:p>
              </w:tc>
            </w:tr>
            <w:tr w14:paraId="311B0C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320" w:type="dxa"/>
                  <w:noWrap w:val="0"/>
                  <w:vAlign w:val="center"/>
                </w:tcPr>
                <w:p w14:paraId="34A9FAFA">
                  <w:pPr>
                    <w:adjustRightInd w:val="0"/>
                    <w:snapToGrid w:val="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简单防渗区</w:t>
                  </w:r>
                </w:p>
              </w:tc>
              <w:tc>
                <w:tcPr>
                  <w:tcW w:w="2935" w:type="dxa"/>
                  <w:noWrap w:val="0"/>
                  <w:vAlign w:val="center"/>
                </w:tcPr>
                <w:p w14:paraId="67C4F1F4">
                  <w:pPr>
                    <w:adjustRightInd w:val="0"/>
                    <w:snapToGrid w:val="0"/>
                    <w:jc w:val="center"/>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配电用房、厂区道路等其他区域</w:t>
                  </w:r>
                  <w:r>
                    <w:rPr>
                      <w:rFonts w:hint="eastAsia" w:cs="Times New Roman"/>
                      <w:color w:val="auto"/>
                      <w:sz w:val="21"/>
                      <w:szCs w:val="21"/>
                      <w:lang w:eastAsia="zh-CN"/>
                    </w:rPr>
                    <w:t>。</w:t>
                  </w:r>
                </w:p>
              </w:tc>
              <w:tc>
                <w:tcPr>
                  <w:tcW w:w="3860" w:type="dxa"/>
                  <w:noWrap w:val="0"/>
                  <w:vAlign w:val="center"/>
                </w:tcPr>
                <w:p w14:paraId="0F9CC849">
                  <w:pPr>
                    <w:adjustRightInd w:val="0"/>
                    <w:snapToGrid w:val="0"/>
                    <w:jc w:val="center"/>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sz w:val="21"/>
                      <w:szCs w:val="21"/>
                      <w:lang w:val="en-US" w:eastAsia="zh-CN"/>
                    </w:rPr>
                    <w:t>采用混凝土进行</w:t>
                  </w:r>
                  <w:r>
                    <w:rPr>
                      <w:rFonts w:hint="default" w:ascii="Times New Roman" w:hAnsi="Times New Roman" w:eastAsia="宋体" w:cs="Times New Roman"/>
                      <w:color w:val="auto"/>
                      <w:sz w:val="21"/>
                      <w:szCs w:val="21"/>
                      <w:lang w:eastAsia="zh-CN"/>
                    </w:rPr>
                    <w:t>一般地面硬化</w:t>
                  </w:r>
                  <w:r>
                    <w:rPr>
                      <w:rFonts w:hint="eastAsia" w:cs="Times New Roman"/>
                      <w:color w:val="auto"/>
                      <w:sz w:val="21"/>
                      <w:szCs w:val="21"/>
                      <w:lang w:eastAsia="zh-CN"/>
                    </w:rPr>
                    <w:t>。</w:t>
                  </w:r>
                </w:p>
              </w:tc>
            </w:tr>
          </w:tbl>
          <w:p w14:paraId="6EF07061">
            <w:pPr>
              <w:adjustRightInd w:val="0"/>
              <w:snapToGrid w:val="0"/>
              <w:spacing w:line="360" w:lineRule="auto"/>
              <w:ind w:firstLine="482" w:firstLineChars="200"/>
              <w:jc w:val="lef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5.3小结</w:t>
            </w:r>
          </w:p>
          <w:p w14:paraId="70AA453E">
            <w:pPr>
              <w:adjustRightInd w:val="0"/>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项目对可能产生地下水影响的途径进行了有效预防，在确保各项防渗措施得以落实，并加强厂区环境管理的前提下，可有效控制厂区内的废水污染物下渗现象，避免污染地下水，项目地下水污染防治措施可行。项目做好分区防控工作，定期检查项目废水管道和池体，加强管理，可避免污染地下水的情况发生，从而保护</w:t>
            </w:r>
            <w:r>
              <w:rPr>
                <w:rFonts w:hint="eastAsia" w:cs="Times New Roman"/>
                <w:color w:val="auto"/>
                <w:sz w:val="24"/>
                <w:highlight w:val="none"/>
                <w:lang w:val="en-US" w:eastAsia="zh-CN"/>
              </w:rPr>
              <w:t>本</w:t>
            </w:r>
            <w:r>
              <w:rPr>
                <w:rFonts w:hint="default" w:ascii="Times New Roman" w:hAnsi="Times New Roman" w:eastAsia="宋体" w:cs="Times New Roman"/>
                <w:color w:val="auto"/>
                <w:sz w:val="24"/>
                <w:highlight w:val="none"/>
                <w:lang w:val="en-US" w:eastAsia="zh-CN"/>
              </w:rPr>
              <w:t>区域的地下水、土壤环境不受本项目的污染。因此，本项目运营期间对地下水和土壤的环境影响</w:t>
            </w:r>
            <w:r>
              <w:rPr>
                <w:rFonts w:hint="eastAsia" w:cs="Times New Roman"/>
                <w:color w:val="auto"/>
                <w:sz w:val="24"/>
                <w:highlight w:val="none"/>
                <w:lang w:val="en-US" w:eastAsia="zh-CN"/>
              </w:rPr>
              <w:t>是</w:t>
            </w:r>
            <w:r>
              <w:rPr>
                <w:rFonts w:hint="default" w:ascii="Times New Roman" w:hAnsi="Times New Roman" w:eastAsia="宋体" w:cs="Times New Roman"/>
                <w:color w:val="auto"/>
                <w:sz w:val="24"/>
                <w:highlight w:val="none"/>
                <w:lang w:val="en-US" w:eastAsia="zh-CN"/>
              </w:rPr>
              <w:t>可以接受</w:t>
            </w:r>
            <w:r>
              <w:rPr>
                <w:rFonts w:hint="eastAsia" w:cs="Times New Roman"/>
                <w:color w:val="auto"/>
                <w:sz w:val="24"/>
                <w:highlight w:val="none"/>
                <w:lang w:val="en-US" w:eastAsia="zh-CN"/>
              </w:rPr>
              <w:t>的</w:t>
            </w:r>
            <w:r>
              <w:rPr>
                <w:rFonts w:hint="default" w:ascii="Times New Roman" w:hAnsi="Times New Roman" w:eastAsia="宋体" w:cs="Times New Roman"/>
                <w:color w:val="auto"/>
                <w:sz w:val="24"/>
                <w:highlight w:val="none"/>
                <w:lang w:val="en-US" w:eastAsia="zh-CN"/>
              </w:rPr>
              <w:t>。</w:t>
            </w:r>
          </w:p>
          <w:p w14:paraId="4F2F60D2">
            <w:pPr>
              <w:widowControl/>
              <w:adjustRightInd w:val="0"/>
              <w:snapToGrid w:val="0"/>
              <w:spacing w:line="360" w:lineRule="auto"/>
              <w:ind w:firstLine="482" w:firstLineChars="200"/>
              <w:jc w:val="both"/>
              <w:rPr>
                <w:rFonts w:hint="default" w:ascii="Times New Roman" w:hAnsi="Times New Roman" w:eastAsia="宋体" w:cs="Times New Roman"/>
                <w:b/>
                <w:bCs/>
                <w:color w:val="auto"/>
                <w:kern w:val="1"/>
                <w:sz w:val="24"/>
                <w:szCs w:val="24"/>
                <w:lang w:val="en-US" w:eastAsia="zh-CN" w:bidi="ar-SA"/>
              </w:rPr>
            </w:pPr>
            <w:r>
              <w:rPr>
                <w:rFonts w:hint="default" w:ascii="Times New Roman" w:hAnsi="Times New Roman" w:eastAsia="宋体" w:cs="Times New Roman"/>
                <w:b/>
                <w:bCs/>
                <w:color w:val="auto"/>
                <w:kern w:val="1"/>
                <w:sz w:val="24"/>
                <w:szCs w:val="24"/>
                <w:lang w:val="en-US" w:eastAsia="zh-CN" w:bidi="ar-SA"/>
              </w:rPr>
              <w:t>6.环境风险分析</w:t>
            </w:r>
          </w:p>
          <w:p w14:paraId="7C2C3245">
            <w:pPr>
              <w:widowControl/>
              <w:adjustRightInd w:val="0"/>
              <w:snapToGrid w:val="0"/>
              <w:spacing w:line="360" w:lineRule="auto"/>
              <w:ind w:firstLine="482" w:firstLineChars="200"/>
              <w:jc w:val="both"/>
              <w:rPr>
                <w:rFonts w:hint="default" w:ascii="Times New Roman" w:hAnsi="Times New Roman" w:eastAsia="宋体" w:cs="Times New Roman"/>
                <w:b/>
                <w:bCs/>
                <w:color w:val="auto"/>
                <w:kern w:val="1"/>
                <w:sz w:val="24"/>
                <w:szCs w:val="24"/>
                <w:lang w:val="en-US" w:eastAsia="zh-CN" w:bidi="ar-SA"/>
              </w:rPr>
            </w:pPr>
            <w:r>
              <w:rPr>
                <w:rFonts w:hint="default" w:ascii="Times New Roman" w:hAnsi="Times New Roman" w:eastAsia="宋体" w:cs="Times New Roman"/>
                <w:b/>
                <w:bCs/>
                <w:color w:val="auto"/>
                <w:kern w:val="1"/>
                <w:sz w:val="24"/>
                <w:szCs w:val="24"/>
                <w:lang w:val="en-US" w:eastAsia="zh-CN" w:bidi="ar-SA"/>
              </w:rPr>
              <w:t>6.1风险源识别</w:t>
            </w:r>
          </w:p>
          <w:p w14:paraId="713F574F">
            <w:pPr>
              <w:widowControl/>
              <w:adjustRightInd w:val="0"/>
              <w:snapToGrid w:val="0"/>
              <w:spacing w:line="360" w:lineRule="auto"/>
              <w:ind w:firstLine="480" w:firstLineChars="200"/>
              <w:jc w:val="both"/>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根据《建设项目环境风险评价技术导则》（HJ 169-2018）附录B，本项目的危险物质为次氯酸钠。</w:t>
            </w:r>
          </w:p>
          <w:p w14:paraId="63A29D54">
            <w:pPr>
              <w:widowControl/>
              <w:adjustRightInd w:val="0"/>
              <w:snapToGrid w:val="0"/>
              <w:spacing w:line="360" w:lineRule="auto"/>
              <w:ind w:firstLine="482" w:firstLineChars="200"/>
              <w:jc w:val="both"/>
              <w:rPr>
                <w:rFonts w:hint="default" w:ascii="Times New Roman" w:hAnsi="Times New Roman" w:eastAsia="宋体" w:cs="Times New Roman"/>
                <w:b/>
                <w:bCs/>
                <w:color w:val="auto"/>
                <w:kern w:val="1"/>
                <w:sz w:val="24"/>
                <w:szCs w:val="24"/>
                <w:lang w:val="en-US" w:eastAsia="zh-CN" w:bidi="ar-SA"/>
              </w:rPr>
            </w:pPr>
            <w:r>
              <w:rPr>
                <w:rFonts w:hint="default" w:ascii="Times New Roman" w:hAnsi="Times New Roman" w:eastAsia="宋体" w:cs="Times New Roman"/>
                <w:b/>
                <w:bCs/>
                <w:color w:val="auto"/>
                <w:kern w:val="1"/>
                <w:sz w:val="24"/>
                <w:szCs w:val="24"/>
                <w:lang w:val="en-US" w:eastAsia="zh-CN" w:bidi="ar-SA"/>
              </w:rPr>
              <w:t>6.2风险潜势初判</w:t>
            </w:r>
          </w:p>
          <w:p w14:paraId="40E64DF4">
            <w:pPr>
              <w:widowControl/>
              <w:adjustRightInd w:val="0"/>
              <w:snapToGrid w:val="0"/>
              <w:spacing w:line="360" w:lineRule="auto"/>
              <w:ind w:firstLine="480" w:firstLineChars="200"/>
              <w:jc w:val="both"/>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根据《建设项目环境风险评价技术导则》（HJ 169-2018）附录B和附录C，当存在多种危险物质时，按下式计算物质总量与其临界量</w:t>
            </w:r>
            <w:r>
              <w:rPr>
                <w:rFonts w:hint="eastAsia" w:cs="Times New Roman"/>
                <w:bCs/>
                <w:color w:val="auto"/>
                <w:kern w:val="1"/>
                <w:sz w:val="24"/>
                <w:szCs w:val="24"/>
                <w:lang w:val="en-US" w:eastAsia="zh-CN" w:bidi="ar-SA"/>
              </w:rPr>
              <w:t>的</w:t>
            </w:r>
            <w:r>
              <w:rPr>
                <w:rFonts w:hint="default" w:ascii="Times New Roman" w:hAnsi="Times New Roman" w:eastAsia="宋体" w:cs="Times New Roman"/>
                <w:bCs/>
                <w:color w:val="auto"/>
                <w:kern w:val="1"/>
                <w:sz w:val="24"/>
                <w:szCs w:val="24"/>
                <w:lang w:val="en-US" w:eastAsia="zh-CN" w:bidi="ar-SA"/>
              </w:rPr>
              <w:t>比值，即为Q。</w:t>
            </w:r>
          </w:p>
          <w:p w14:paraId="366B9BB8">
            <w:pPr>
              <w:widowControl/>
              <w:adjustRightInd w:val="0"/>
              <w:snapToGrid w:val="0"/>
              <w:spacing w:line="360" w:lineRule="auto"/>
              <w:ind w:firstLine="0" w:firstLineChars="0"/>
              <w:jc w:val="center"/>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drawing>
                <wp:inline distT="0" distB="0" distL="114300" distR="114300">
                  <wp:extent cx="1828800" cy="526415"/>
                  <wp:effectExtent l="0" t="0" r="0" b="6985"/>
                  <wp:docPr id="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
                          <pic:cNvPicPr>
                            <a:picLocks noChangeAspect="1"/>
                          </pic:cNvPicPr>
                        </pic:nvPicPr>
                        <pic:blipFill>
                          <a:blip r:embed="rId13"/>
                          <a:stretch>
                            <a:fillRect/>
                          </a:stretch>
                        </pic:blipFill>
                        <pic:spPr>
                          <a:xfrm>
                            <a:off x="0" y="0"/>
                            <a:ext cx="1828800" cy="526415"/>
                          </a:xfrm>
                          <a:prstGeom prst="rect">
                            <a:avLst/>
                          </a:prstGeom>
                          <a:noFill/>
                          <a:ln>
                            <a:noFill/>
                          </a:ln>
                        </pic:spPr>
                      </pic:pic>
                    </a:graphicData>
                  </a:graphic>
                </wp:inline>
              </w:drawing>
            </w:r>
          </w:p>
          <w:p w14:paraId="7854983E">
            <w:pPr>
              <w:widowControl/>
              <w:adjustRightInd w:val="0"/>
              <w:snapToGrid w:val="0"/>
              <w:spacing w:line="360" w:lineRule="auto"/>
              <w:ind w:firstLine="480" w:firstLineChars="200"/>
              <w:jc w:val="both"/>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t>式中：q</w:t>
            </w:r>
            <w:r>
              <w:rPr>
                <w:rFonts w:hint="default" w:ascii="Times New Roman" w:hAnsi="Times New Roman" w:eastAsia="宋体" w:cs="Times New Roman"/>
                <w:color w:val="auto"/>
                <w:kern w:val="1"/>
                <w:sz w:val="24"/>
                <w:szCs w:val="24"/>
                <w:vertAlign w:val="subscript"/>
                <w:lang w:val="en-US" w:eastAsia="zh-CN" w:bidi="ar-SA"/>
              </w:rPr>
              <w:t>1</w:t>
            </w:r>
            <w:r>
              <w:rPr>
                <w:rFonts w:hint="default" w:ascii="Times New Roman" w:hAnsi="Times New Roman" w:eastAsia="宋体" w:cs="Times New Roman"/>
                <w:color w:val="auto"/>
                <w:kern w:val="1"/>
                <w:sz w:val="24"/>
                <w:szCs w:val="24"/>
                <w:lang w:val="en-US" w:eastAsia="zh-CN" w:bidi="ar-SA"/>
              </w:rPr>
              <w:t>，q</w:t>
            </w:r>
            <w:r>
              <w:rPr>
                <w:rFonts w:hint="default" w:ascii="Times New Roman" w:hAnsi="Times New Roman" w:eastAsia="宋体" w:cs="Times New Roman"/>
                <w:color w:val="auto"/>
                <w:kern w:val="1"/>
                <w:sz w:val="24"/>
                <w:szCs w:val="24"/>
                <w:vertAlign w:val="subscript"/>
                <w:lang w:val="en-US" w:eastAsia="zh-CN" w:bidi="ar-SA"/>
              </w:rPr>
              <w:t>2</w:t>
            </w:r>
            <w:r>
              <w:rPr>
                <w:rFonts w:hint="default" w:ascii="Times New Roman" w:hAnsi="Times New Roman" w:eastAsia="宋体" w:cs="Times New Roman"/>
                <w:color w:val="auto"/>
                <w:kern w:val="1"/>
                <w:sz w:val="24"/>
                <w:szCs w:val="24"/>
                <w:lang w:val="en-US" w:eastAsia="zh-CN" w:bidi="ar-SA"/>
              </w:rPr>
              <w:t>……，q</w:t>
            </w:r>
            <w:r>
              <w:rPr>
                <w:rFonts w:hint="default" w:ascii="Times New Roman" w:hAnsi="Times New Roman" w:eastAsia="宋体" w:cs="Times New Roman"/>
                <w:color w:val="auto"/>
                <w:kern w:val="1"/>
                <w:sz w:val="24"/>
                <w:szCs w:val="24"/>
                <w:vertAlign w:val="subscript"/>
                <w:lang w:val="en-US" w:eastAsia="zh-CN" w:bidi="ar-SA"/>
              </w:rPr>
              <w:t>n</w:t>
            </w:r>
            <w:r>
              <w:rPr>
                <w:rFonts w:hint="default" w:ascii="Times New Roman" w:hAnsi="Times New Roman" w:eastAsia="宋体" w:cs="Times New Roman"/>
                <w:color w:val="auto"/>
                <w:kern w:val="1"/>
                <w:sz w:val="24"/>
                <w:szCs w:val="24"/>
                <w:lang w:val="en-US" w:eastAsia="zh-CN" w:bidi="ar-SA"/>
              </w:rPr>
              <w:t>——每种危险物质的最大存在总量，t；</w:t>
            </w:r>
          </w:p>
          <w:p w14:paraId="69533362">
            <w:pPr>
              <w:widowControl/>
              <w:adjustRightInd w:val="0"/>
              <w:snapToGrid w:val="0"/>
              <w:spacing w:line="360" w:lineRule="auto"/>
              <w:ind w:firstLine="1164" w:firstLineChars="485"/>
              <w:jc w:val="both"/>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t>Q</w:t>
            </w:r>
            <w:r>
              <w:rPr>
                <w:rFonts w:hint="default" w:ascii="Times New Roman" w:hAnsi="Times New Roman" w:eastAsia="宋体" w:cs="Times New Roman"/>
                <w:color w:val="auto"/>
                <w:kern w:val="1"/>
                <w:sz w:val="24"/>
                <w:szCs w:val="24"/>
                <w:vertAlign w:val="subscript"/>
                <w:lang w:val="en-US" w:eastAsia="zh-CN" w:bidi="ar-SA"/>
              </w:rPr>
              <w:t>1</w:t>
            </w:r>
            <w:r>
              <w:rPr>
                <w:rFonts w:hint="default" w:ascii="Times New Roman" w:hAnsi="Times New Roman" w:eastAsia="宋体" w:cs="Times New Roman"/>
                <w:color w:val="auto"/>
                <w:kern w:val="1"/>
                <w:sz w:val="24"/>
                <w:szCs w:val="24"/>
                <w:lang w:val="en-US" w:eastAsia="zh-CN" w:bidi="ar-SA"/>
              </w:rPr>
              <w:t>，Q</w:t>
            </w:r>
            <w:r>
              <w:rPr>
                <w:rFonts w:hint="default" w:ascii="Times New Roman" w:hAnsi="Times New Roman" w:eastAsia="宋体" w:cs="Times New Roman"/>
                <w:color w:val="auto"/>
                <w:kern w:val="1"/>
                <w:sz w:val="24"/>
                <w:szCs w:val="24"/>
                <w:vertAlign w:val="subscript"/>
                <w:lang w:val="en-US" w:eastAsia="zh-CN" w:bidi="ar-SA"/>
              </w:rPr>
              <w:t>2</w:t>
            </w:r>
            <w:r>
              <w:rPr>
                <w:rFonts w:hint="default" w:ascii="Times New Roman" w:hAnsi="Times New Roman" w:eastAsia="宋体" w:cs="Times New Roman"/>
                <w:color w:val="auto"/>
                <w:kern w:val="1"/>
                <w:sz w:val="24"/>
                <w:szCs w:val="24"/>
                <w:lang w:val="en-US" w:eastAsia="zh-CN" w:bidi="ar-SA"/>
              </w:rPr>
              <w:t>……，Q</w:t>
            </w:r>
            <w:r>
              <w:rPr>
                <w:rFonts w:hint="default" w:ascii="Times New Roman" w:hAnsi="Times New Roman" w:eastAsia="宋体" w:cs="Times New Roman"/>
                <w:color w:val="auto"/>
                <w:kern w:val="1"/>
                <w:sz w:val="24"/>
                <w:szCs w:val="24"/>
                <w:vertAlign w:val="subscript"/>
                <w:lang w:val="en-US" w:eastAsia="zh-CN" w:bidi="ar-SA"/>
              </w:rPr>
              <w:t>n</w:t>
            </w:r>
            <w:r>
              <w:rPr>
                <w:rFonts w:hint="default" w:ascii="Times New Roman" w:hAnsi="Times New Roman" w:eastAsia="宋体" w:cs="Times New Roman"/>
                <w:color w:val="auto"/>
                <w:kern w:val="1"/>
                <w:sz w:val="24"/>
                <w:szCs w:val="24"/>
                <w:lang w:val="en-US" w:eastAsia="zh-CN" w:bidi="ar-SA"/>
              </w:rPr>
              <w:t>——每种危险物质的临界量，t。</w:t>
            </w:r>
          </w:p>
          <w:p w14:paraId="4B24BF41">
            <w:pPr>
              <w:widowControl/>
              <w:adjustRightInd w:val="0"/>
              <w:snapToGrid w:val="0"/>
              <w:spacing w:line="360" w:lineRule="auto"/>
              <w:ind w:firstLine="1164" w:firstLineChars="485"/>
              <w:jc w:val="both"/>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t>当Q&lt;1时，该项目环境风险潜势为I。</w:t>
            </w:r>
          </w:p>
          <w:p w14:paraId="35C481DB">
            <w:pPr>
              <w:widowControl/>
              <w:adjustRightInd w:val="0"/>
              <w:snapToGrid w:val="0"/>
              <w:spacing w:line="360" w:lineRule="auto"/>
              <w:ind w:firstLine="1164" w:firstLineChars="485"/>
              <w:jc w:val="both"/>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t>当Q≥1时，将Q值划分为：（1）1≤Q&lt;10；（2）10≤Q&lt;100；（3）Q≥100。</w:t>
            </w:r>
          </w:p>
          <w:p w14:paraId="55B3D86B">
            <w:pPr>
              <w:widowControl/>
              <w:adjustRightInd w:val="0"/>
              <w:snapToGrid w:val="0"/>
              <w:spacing w:line="360" w:lineRule="auto"/>
              <w:ind w:firstLine="480" w:firstLineChars="200"/>
              <w:jc w:val="both"/>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t>根据《建设项目环境风险评价技术导则》（HJ169-2018）附录B，次氯酸钠的临界量为5t。本项目5%次氯酸钠溶液的全厂年用量为1258t（新增547t/a），厂内最大储存量为10t，折合成次氯酸钠为10×10%=1t。项目危险物质数量与临界量</w:t>
            </w:r>
            <w:r>
              <w:rPr>
                <w:rFonts w:hint="eastAsia" w:cs="Times New Roman"/>
                <w:color w:val="auto"/>
                <w:kern w:val="1"/>
                <w:sz w:val="24"/>
                <w:szCs w:val="24"/>
                <w:lang w:val="en-US" w:eastAsia="zh-CN" w:bidi="ar-SA"/>
              </w:rPr>
              <w:t>的</w:t>
            </w:r>
            <w:r>
              <w:rPr>
                <w:rFonts w:hint="default" w:ascii="Times New Roman" w:hAnsi="Times New Roman" w:eastAsia="宋体" w:cs="Times New Roman"/>
                <w:color w:val="auto"/>
                <w:kern w:val="1"/>
                <w:sz w:val="24"/>
                <w:szCs w:val="24"/>
                <w:lang w:val="en-US" w:eastAsia="zh-CN" w:bidi="ar-SA"/>
              </w:rPr>
              <w:t>比值判定结果如下：</w:t>
            </w:r>
          </w:p>
          <w:p w14:paraId="059FD8CF">
            <w:pPr>
              <w:adjustRightInd w:val="0"/>
              <w:snapToGrid w:val="0"/>
              <w:jc w:val="center"/>
              <w:rPr>
                <w:rFonts w:hint="default" w:ascii="Times New Roman" w:hAnsi="Times New Roman" w:eastAsia="宋体" w:cs="Times New Roman"/>
                <w:b/>
                <w:bCs/>
                <w:color w:val="auto"/>
                <w:sz w:val="24"/>
                <w:szCs w:val="32"/>
              </w:rPr>
            </w:pPr>
            <w:r>
              <w:rPr>
                <w:rFonts w:hint="default" w:ascii="Times New Roman" w:hAnsi="Times New Roman" w:eastAsia="宋体" w:cs="Times New Roman"/>
                <w:b/>
                <w:bCs/>
                <w:color w:val="auto"/>
                <w:sz w:val="24"/>
                <w:szCs w:val="32"/>
              </w:rPr>
              <w:t>表4-1</w:t>
            </w:r>
            <w:r>
              <w:rPr>
                <w:rFonts w:hint="eastAsia" w:cs="Times New Roman"/>
                <w:b/>
                <w:bCs/>
                <w:color w:val="auto"/>
                <w:sz w:val="24"/>
                <w:szCs w:val="32"/>
                <w:lang w:val="en-US" w:eastAsia="zh-CN"/>
              </w:rPr>
              <w:t>2</w:t>
            </w:r>
            <w:r>
              <w:rPr>
                <w:rFonts w:hint="default" w:ascii="Times New Roman" w:hAnsi="Times New Roman" w:eastAsia="宋体" w:cs="Times New Roman"/>
                <w:b/>
                <w:bCs/>
                <w:color w:val="auto"/>
                <w:sz w:val="24"/>
                <w:szCs w:val="32"/>
              </w:rPr>
              <w:t xml:space="preserve"> 危险物质数量与临界量比值</w:t>
            </w:r>
            <w:r>
              <w:rPr>
                <w:rFonts w:hint="eastAsia" w:cs="Times New Roman"/>
                <w:b/>
                <w:bCs/>
                <w:color w:val="auto"/>
                <w:sz w:val="24"/>
                <w:szCs w:val="32"/>
                <w:lang w:eastAsia="zh-CN"/>
              </w:rPr>
              <w:t>的</w:t>
            </w:r>
            <w:r>
              <w:rPr>
                <w:rFonts w:hint="default" w:ascii="Times New Roman" w:hAnsi="Times New Roman" w:eastAsia="宋体" w:cs="Times New Roman"/>
                <w:b/>
                <w:bCs/>
                <w:color w:val="auto"/>
                <w:sz w:val="24"/>
                <w:szCs w:val="32"/>
              </w:rPr>
              <w:t>判定结果</w:t>
            </w:r>
          </w:p>
          <w:tbl>
            <w:tblPr>
              <w:tblStyle w:val="10"/>
              <w:tblW w:w="8271" w:type="dxa"/>
              <w:jc w:val="center"/>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28" w:type="dxa"/>
                <w:bottom w:w="0" w:type="dxa"/>
                <w:right w:w="28" w:type="dxa"/>
              </w:tblCellMar>
            </w:tblPr>
            <w:tblGrid>
              <w:gridCol w:w="740"/>
              <w:gridCol w:w="2379"/>
              <w:gridCol w:w="1582"/>
              <w:gridCol w:w="1786"/>
              <w:gridCol w:w="1784"/>
            </w:tblGrid>
            <w:tr w14:paraId="12364816">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740" w:type="dxa"/>
                  <w:tcBorders>
                    <w:top w:val="single" w:color="000000" w:sz="12" w:space="0"/>
                  </w:tcBorders>
                  <w:noWrap w:val="0"/>
                  <w:vAlign w:val="center"/>
                </w:tcPr>
                <w:p w14:paraId="7DAF34A8">
                  <w:pPr>
                    <w:spacing w:line="300" w:lineRule="exact"/>
                    <w:jc w:val="center"/>
                    <w:rPr>
                      <w:rFonts w:hint="default" w:ascii="Times New Roman" w:hAnsi="Times New Roman" w:eastAsia="宋体" w:cs="Times New Roman"/>
                      <w:b/>
                      <w:snapToGrid w:val="0"/>
                      <w:color w:val="auto"/>
                      <w:kern w:val="24"/>
                      <w:sz w:val="21"/>
                      <w:szCs w:val="21"/>
                    </w:rPr>
                  </w:pPr>
                  <w:r>
                    <w:rPr>
                      <w:rFonts w:hint="default" w:ascii="Times New Roman" w:hAnsi="Times New Roman" w:eastAsia="宋体" w:cs="Times New Roman"/>
                      <w:b/>
                      <w:snapToGrid w:val="0"/>
                      <w:color w:val="auto"/>
                      <w:kern w:val="24"/>
                      <w:sz w:val="21"/>
                      <w:szCs w:val="21"/>
                    </w:rPr>
                    <w:t>序号</w:t>
                  </w:r>
                </w:p>
              </w:tc>
              <w:tc>
                <w:tcPr>
                  <w:tcW w:w="2379" w:type="dxa"/>
                  <w:tcBorders>
                    <w:top w:val="single" w:color="000000" w:sz="12" w:space="0"/>
                  </w:tcBorders>
                  <w:noWrap w:val="0"/>
                  <w:vAlign w:val="center"/>
                </w:tcPr>
                <w:p w14:paraId="51205820">
                  <w:pPr>
                    <w:spacing w:line="300" w:lineRule="exact"/>
                    <w:jc w:val="center"/>
                    <w:rPr>
                      <w:rFonts w:hint="default" w:ascii="Times New Roman" w:hAnsi="Times New Roman" w:eastAsia="宋体" w:cs="Times New Roman"/>
                      <w:b/>
                      <w:snapToGrid w:val="0"/>
                      <w:color w:val="auto"/>
                      <w:kern w:val="24"/>
                      <w:sz w:val="21"/>
                      <w:szCs w:val="21"/>
                    </w:rPr>
                  </w:pPr>
                  <w:r>
                    <w:rPr>
                      <w:rFonts w:hint="default" w:ascii="Times New Roman" w:hAnsi="Times New Roman" w:eastAsia="宋体" w:cs="Times New Roman"/>
                      <w:b/>
                      <w:snapToGrid w:val="0"/>
                      <w:color w:val="auto"/>
                      <w:kern w:val="24"/>
                      <w:sz w:val="21"/>
                      <w:szCs w:val="21"/>
                    </w:rPr>
                    <w:t>危险品名称</w:t>
                  </w:r>
                </w:p>
              </w:tc>
              <w:tc>
                <w:tcPr>
                  <w:tcW w:w="1582" w:type="dxa"/>
                  <w:tcBorders>
                    <w:top w:val="single" w:color="000000" w:sz="12" w:space="0"/>
                  </w:tcBorders>
                  <w:noWrap w:val="0"/>
                  <w:vAlign w:val="center"/>
                </w:tcPr>
                <w:p w14:paraId="7A05CFFC">
                  <w:pPr>
                    <w:spacing w:line="300" w:lineRule="exact"/>
                    <w:jc w:val="center"/>
                    <w:rPr>
                      <w:rFonts w:hint="default" w:ascii="Times New Roman" w:hAnsi="Times New Roman" w:eastAsia="宋体" w:cs="Times New Roman"/>
                      <w:b/>
                      <w:snapToGrid w:val="0"/>
                      <w:color w:val="auto"/>
                      <w:kern w:val="24"/>
                      <w:sz w:val="21"/>
                      <w:szCs w:val="21"/>
                    </w:rPr>
                  </w:pPr>
                  <w:r>
                    <w:rPr>
                      <w:rFonts w:hint="default" w:ascii="Times New Roman" w:hAnsi="Times New Roman" w:eastAsia="宋体" w:cs="Times New Roman"/>
                      <w:b/>
                      <w:snapToGrid w:val="0"/>
                      <w:color w:val="auto"/>
                      <w:kern w:val="24"/>
                      <w:sz w:val="21"/>
                      <w:szCs w:val="21"/>
                    </w:rPr>
                    <w:t>最大</w:t>
                  </w:r>
                  <w:r>
                    <w:rPr>
                      <w:rFonts w:hint="default" w:ascii="Times New Roman" w:hAnsi="Times New Roman" w:eastAsia="宋体" w:cs="Times New Roman"/>
                      <w:b/>
                      <w:snapToGrid w:val="0"/>
                      <w:color w:val="auto"/>
                      <w:kern w:val="24"/>
                      <w:sz w:val="21"/>
                      <w:szCs w:val="21"/>
                      <w:lang w:val="en-US" w:eastAsia="zh-CN"/>
                    </w:rPr>
                    <w:t>存在总</w:t>
                  </w:r>
                  <w:r>
                    <w:rPr>
                      <w:rFonts w:hint="default" w:ascii="Times New Roman" w:hAnsi="Times New Roman" w:eastAsia="宋体" w:cs="Times New Roman"/>
                      <w:b/>
                      <w:snapToGrid w:val="0"/>
                      <w:color w:val="auto"/>
                      <w:kern w:val="24"/>
                      <w:sz w:val="21"/>
                      <w:szCs w:val="21"/>
                    </w:rPr>
                    <w:t>量（t）</w:t>
                  </w:r>
                </w:p>
              </w:tc>
              <w:tc>
                <w:tcPr>
                  <w:tcW w:w="1786" w:type="dxa"/>
                  <w:tcBorders>
                    <w:top w:val="single" w:color="000000" w:sz="12" w:space="0"/>
                  </w:tcBorders>
                  <w:noWrap w:val="0"/>
                  <w:vAlign w:val="center"/>
                </w:tcPr>
                <w:p w14:paraId="6154F6EF">
                  <w:pPr>
                    <w:spacing w:line="300" w:lineRule="exact"/>
                    <w:jc w:val="center"/>
                    <w:rPr>
                      <w:rFonts w:hint="default" w:ascii="Times New Roman" w:hAnsi="Times New Roman" w:eastAsia="宋体" w:cs="Times New Roman"/>
                      <w:b/>
                      <w:snapToGrid w:val="0"/>
                      <w:color w:val="auto"/>
                      <w:kern w:val="24"/>
                      <w:sz w:val="21"/>
                      <w:szCs w:val="21"/>
                    </w:rPr>
                  </w:pPr>
                  <w:r>
                    <w:rPr>
                      <w:rFonts w:hint="default" w:ascii="Times New Roman" w:hAnsi="Times New Roman" w:eastAsia="宋体" w:cs="Times New Roman"/>
                      <w:b/>
                      <w:snapToGrid w:val="0"/>
                      <w:color w:val="auto"/>
                      <w:kern w:val="24"/>
                      <w:sz w:val="21"/>
                      <w:szCs w:val="21"/>
                    </w:rPr>
                    <w:t>临界量（t）</w:t>
                  </w:r>
                </w:p>
              </w:tc>
              <w:tc>
                <w:tcPr>
                  <w:tcW w:w="1784" w:type="dxa"/>
                  <w:tcBorders>
                    <w:top w:val="single" w:color="000000" w:sz="12" w:space="0"/>
                  </w:tcBorders>
                  <w:noWrap w:val="0"/>
                  <w:vAlign w:val="center"/>
                </w:tcPr>
                <w:p w14:paraId="24C0CC30">
                  <w:pPr>
                    <w:spacing w:line="300" w:lineRule="exact"/>
                    <w:jc w:val="center"/>
                    <w:rPr>
                      <w:rFonts w:hint="default" w:ascii="Times New Roman" w:hAnsi="Times New Roman" w:eastAsia="宋体" w:cs="Times New Roman"/>
                      <w:b/>
                      <w:snapToGrid w:val="0"/>
                      <w:color w:val="auto"/>
                      <w:kern w:val="24"/>
                      <w:sz w:val="21"/>
                      <w:szCs w:val="21"/>
                    </w:rPr>
                  </w:pPr>
                  <w:r>
                    <w:rPr>
                      <w:rFonts w:hint="default" w:ascii="Times New Roman" w:hAnsi="Times New Roman" w:eastAsia="宋体" w:cs="Times New Roman"/>
                      <w:b/>
                      <w:snapToGrid w:val="0"/>
                      <w:color w:val="auto"/>
                      <w:kern w:val="24"/>
                      <w:sz w:val="21"/>
                      <w:szCs w:val="21"/>
                    </w:rPr>
                    <w:t>qi/Qi</w:t>
                  </w:r>
                </w:p>
              </w:tc>
            </w:tr>
            <w:tr w14:paraId="70B84B73">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740" w:type="dxa"/>
                  <w:noWrap w:val="0"/>
                  <w:vAlign w:val="bottom"/>
                </w:tcPr>
                <w:p w14:paraId="47638F66">
                  <w:pPr>
                    <w:spacing w:line="300" w:lineRule="exact"/>
                    <w:jc w:val="center"/>
                    <w:rPr>
                      <w:rFonts w:hint="default" w:ascii="Times New Roman" w:hAnsi="Times New Roman" w:eastAsia="宋体" w:cs="Times New Roman"/>
                      <w:color w:val="auto"/>
                      <w:sz w:val="21"/>
                      <w:szCs w:val="21"/>
                    </w:rPr>
                  </w:pPr>
                  <w:bookmarkStart w:id="5" w:name="_Hlk463687815"/>
                  <w:r>
                    <w:rPr>
                      <w:rFonts w:hint="default" w:ascii="Times New Roman" w:hAnsi="Times New Roman" w:eastAsia="宋体" w:cs="Times New Roman"/>
                      <w:color w:val="auto"/>
                      <w:sz w:val="21"/>
                      <w:szCs w:val="21"/>
                    </w:rPr>
                    <w:t>1</w:t>
                  </w:r>
                </w:p>
              </w:tc>
              <w:tc>
                <w:tcPr>
                  <w:tcW w:w="2379" w:type="dxa"/>
                  <w:noWrap w:val="0"/>
                  <w:vAlign w:val="center"/>
                </w:tcPr>
                <w:p w14:paraId="7709C150">
                  <w:pPr>
                    <w:spacing w:line="300" w:lineRule="exact"/>
                    <w:jc w:val="center"/>
                    <w:rPr>
                      <w:rFonts w:hint="default" w:ascii="Times New Roman" w:hAnsi="Times New Roman" w:eastAsia="宋体" w:cs="Times New Roman"/>
                      <w:bCs/>
                      <w:snapToGrid w:val="0"/>
                      <w:color w:val="auto"/>
                      <w:kern w:val="24"/>
                      <w:sz w:val="21"/>
                      <w:szCs w:val="21"/>
                    </w:rPr>
                  </w:pPr>
                  <w:r>
                    <w:rPr>
                      <w:rFonts w:hint="default" w:ascii="Times New Roman" w:hAnsi="Times New Roman" w:eastAsia="宋体" w:cs="Times New Roman"/>
                      <w:bCs/>
                      <w:snapToGrid w:val="0"/>
                      <w:color w:val="auto"/>
                      <w:kern w:val="24"/>
                      <w:sz w:val="21"/>
                      <w:szCs w:val="21"/>
                      <w:lang w:val="en-US" w:eastAsia="zh-CN"/>
                    </w:rPr>
                    <w:t>次氯酸钠</w:t>
                  </w:r>
                </w:p>
              </w:tc>
              <w:tc>
                <w:tcPr>
                  <w:tcW w:w="1582" w:type="dxa"/>
                  <w:noWrap w:val="0"/>
                  <w:vAlign w:val="center"/>
                </w:tcPr>
                <w:p w14:paraId="30D72803">
                  <w:pPr>
                    <w:keepNext w:val="0"/>
                    <w:keepLines w:val="0"/>
                    <w:widowControl/>
                    <w:suppressLineNumbers w:val="0"/>
                    <w:jc w:val="center"/>
                    <w:textAlignment w:val="center"/>
                    <w:rPr>
                      <w:rFonts w:hint="default" w:ascii="Times New Roman" w:hAnsi="Times New Roman" w:eastAsia="宋体" w:cs="Times New Roman"/>
                      <w:bCs/>
                      <w:snapToGrid w:val="0"/>
                      <w:color w:val="auto"/>
                      <w:kern w:val="24"/>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w:t>
                  </w:r>
                </w:p>
              </w:tc>
              <w:tc>
                <w:tcPr>
                  <w:tcW w:w="1786" w:type="dxa"/>
                  <w:noWrap w:val="0"/>
                  <w:vAlign w:val="center"/>
                </w:tcPr>
                <w:p w14:paraId="07FDFCC9">
                  <w:pPr>
                    <w:keepNext w:val="0"/>
                    <w:keepLines w:val="0"/>
                    <w:widowControl/>
                    <w:suppressLineNumbers w:val="0"/>
                    <w:jc w:val="center"/>
                    <w:textAlignment w:val="center"/>
                    <w:rPr>
                      <w:rFonts w:hint="default" w:ascii="Times New Roman" w:hAnsi="Times New Roman" w:eastAsia="宋体" w:cs="Times New Roman"/>
                      <w:bCs/>
                      <w:snapToGrid w:val="0"/>
                      <w:color w:val="auto"/>
                      <w:kern w:val="24"/>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5</w:t>
                  </w:r>
                </w:p>
              </w:tc>
              <w:tc>
                <w:tcPr>
                  <w:tcW w:w="1784" w:type="dxa"/>
                  <w:noWrap w:val="0"/>
                  <w:vAlign w:val="bottom"/>
                </w:tcPr>
                <w:p w14:paraId="59A8EE08">
                  <w:pPr>
                    <w:keepNext w:val="0"/>
                    <w:keepLines w:val="0"/>
                    <w:widowControl/>
                    <w:suppressLineNumbers w:val="0"/>
                    <w:jc w:val="center"/>
                    <w:textAlignment w:val="bottom"/>
                    <w:rPr>
                      <w:rFonts w:hint="default" w:ascii="Times New Roman" w:hAnsi="Times New Roman" w:eastAsia="宋体" w:cs="Times New Roman"/>
                      <w:bCs/>
                      <w:snapToGrid w:val="0"/>
                      <w:color w:val="auto"/>
                      <w:kern w:val="24"/>
                      <w:sz w:val="21"/>
                      <w:szCs w:val="21"/>
                    </w:rPr>
                  </w:pPr>
                  <w:r>
                    <w:rPr>
                      <w:rFonts w:hint="default" w:ascii="Times New Roman" w:hAnsi="Times New Roman" w:eastAsia="宋体" w:cs="Times New Roman"/>
                      <w:i w:val="0"/>
                      <w:iCs w:val="0"/>
                      <w:color w:val="auto"/>
                      <w:kern w:val="0"/>
                      <w:sz w:val="21"/>
                      <w:szCs w:val="21"/>
                      <w:u w:val="none"/>
                      <w:lang w:val="en-US" w:eastAsia="zh-CN" w:bidi="ar"/>
                    </w:rPr>
                    <w:t>0.2</w:t>
                  </w:r>
                </w:p>
              </w:tc>
            </w:tr>
            <w:tr w14:paraId="45386CD2">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6487" w:type="dxa"/>
                  <w:gridSpan w:val="4"/>
                  <w:tcBorders>
                    <w:bottom w:val="single" w:color="000000" w:sz="12" w:space="0"/>
                  </w:tcBorders>
                  <w:noWrap w:val="0"/>
                  <w:vAlign w:val="center"/>
                </w:tcPr>
                <w:p w14:paraId="6D8CD81F">
                  <w:pPr>
                    <w:spacing w:line="300" w:lineRule="exact"/>
                    <w:jc w:val="center"/>
                    <w:rPr>
                      <w:rFonts w:hint="default" w:ascii="Times New Roman" w:hAnsi="Times New Roman" w:eastAsia="宋体" w:cs="Times New Roman"/>
                      <w:bCs/>
                      <w:snapToGrid w:val="0"/>
                      <w:color w:val="auto"/>
                      <w:kern w:val="24"/>
                      <w:sz w:val="21"/>
                      <w:szCs w:val="21"/>
                    </w:rPr>
                  </w:pPr>
                  <w:r>
                    <w:rPr>
                      <w:rFonts w:hint="default" w:ascii="Times New Roman" w:hAnsi="Times New Roman" w:eastAsia="宋体" w:cs="Times New Roman"/>
                      <w:bCs/>
                      <w:snapToGrid w:val="0"/>
                      <w:color w:val="auto"/>
                      <w:kern w:val="24"/>
                      <w:sz w:val="21"/>
                      <w:szCs w:val="21"/>
                    </w:rPr>
                    <w:t>总计</w:t>
                  </w:r>
                </w:p>
              </w:tc>
              <w:tc>
                <w:tcPr>
                  <w:tcW w:w="1784" w:type="dxa"/>
                  <w:tcBorders>
                    <w:bottom w:val="single" w:color="000000" w:sz="12" w:space="0"/>
                  </w:tcBorders>
                  <w:noWrap w:val="0"/>
                  <w:vAlign w:val="center"/>
                </w:tcPr>
                <w:p w14:paraId="483A20EB">
                  <w:pPr>
                    <w:keepNext w:val="0"/>
                    <w:keepLines w:val="0"/>
                    <w:widowControl/>
                    <w:suppressLineNumbers w:val="0"/>
                    <w:jc w:val="center"/>
                    <w:textAlignment w:val="center"/>
                    <w:rPr>
                      <w:rFonts w:hint="default" w:ascii="Times New Roman" w:hAnsi="Times New Roman" w:eastAsia="宋体" w:cs="Times New Roman"/>
                      <w:bCs/>
                      <w:snapToGrid w:val="0"/>
                      <w:color w:val="auto"/>
                      <w:kern w:val="24"/>
                      <w:sz w:val="21"/>
                      <w:szCs w:val="21"/>
                    </w:rPr>
                  </w:pPr>
                  <w:r>
                    <w:rPr>
                      <w:rFonts w:hint="default" w:ascii="Times New Roman" w:hAnsi="Times New Roman" w:eastAsia="宋体" w:cs="Times New Roman"/>
                      <w:i w:val="0"/>
                      <w:iCs w:val="0"/>
                      <w:color w:val="auto"/>
                      <w:kern w:val="0"/>
                      <w:sz w:val="21"/>
                      <w:szCs w:val="21"/>
                      <w:u w:val="none"/>
                      <w:lang w:val="en-US" w:eastAsia="zh-CN" w:bidi="ar"/>
                    </w:rPr>
                    <w:t>0.2</w:t>
                  </w:r>
                </w:p>
              </w:tc>
            </w:tr>
            <w:bookmarkEnd w:id="5"/>
          </w:tbl>
          <w:p w14:paraId="49E326E3">
            <w:pPr>
              <w:widowControl/>
              <w:adjustRightInd w:val="0"/>
              <w:snapToGrid w:val="0"/>
              <w:spacing w:before="240" w:line="360" w:lineRule="auto"/>
              <w:ind w:firstLine="480" w:firstLineChars="200"/>
              <w:jc w:val="both"/>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t>根据《建设项目环境风险评价技术导则》（HJ 169-2018）附录B中C.1.1，项目风险物质总计Q=0.2＜1，可直接判定环境潜势为Ⅰ。</w:t>
            </w:r>
          </w:p>
          <w:p w14:paraId="6E689D8E">
            <w:pPr>
              <w:widowControl/>
              <w:adjustRightInd w:val="0"/>
              <w:snapToGrid w:val="0"/>
              <w:spacing w:line="360" w:lineRule="auto"/>
              <w:ind w:firstLine="480" w:firstLineChars="200"/>
              <w:jc w:val="both"/>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t>根据上表，本项目环境潜势为Ⅰ，风险评价进行简单分析。</w:t>
            </w:r>
          </w:p>
          <w:p w14:paraId="6CC02FD9">
            <w:pPr>
              <w:widowControl/>
              <w:numPr>
                <w:ilvl w:val="0"/>
                <w:numId w:val="0"/>
              </w:numPr>
              <w:adjustRightInd w:val="0"/>
              <w:snapToGrid w:val="0"/>
              <w:spacing w:line="360" w:lineRule="auto"/>
              <w:ind w:left="480" w:leftChars="0"/>
              <w:jc w:val="both"/>
              <w:rPr>
                <w:rFonts w:hint="default" w:ascii="Times New Roman" w:hAnsi="Times New Roman" w:eastAsia="宋体" w:cs="Times New Roman"/>
                <w:b/>
                <w:bCs/>
                <w:color w:val="auto"/>
                <w:kern w:val="1"/>
                <w:sz w:val="24"/>
                <w:szCs w:val="24"/>
                <w:lang w:val="en-US" w:eastAsia="zh-CN" w:bidi="ar-SA"/>
              </w:rPr>
            </w:pPr>
            <w:r>
              <w:rPr>
                <w:rFonts w:hint="default" w:ascii="Times New Roman" w:hAnsi="Times New Roman" w:eastAsia="宋体" w:cs="Times New Roman"/>
                <w:b/>
                <w:bCs/>
                <w:color w:val="auto"/>
                <w:kern w:val="1"/>
                <w:sz w:val="24"/>
                <w:szCs w:val="24"/>
                <w:lang w:val="en-US" w:eastAsia="zh-CN" w:bidi="ar-SA"/>
              </w:rPr>
              <w:t>6.3环境风险分析</w:t>
            </w:r>
          </w:p>
          <w:p w14:paraId="07B90062">
            <w:pPr>
              <w:widowControl/>
              <w:adjustRightInd w:val="0"/>
              <w:snapToGrid w:val="0"/>
              <w:spacing w:line="360" w:lineRule="auto"/>
              <w:ind w:firstLine="480" w:firstLineChars="200"/>
              <w:jc w:val="both"/>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 xml:space="preserve">（1）厂内污水管网由于管道堵塞、破裂和接头处的破损，会造成大量的污水外溢，污染地下水、土壤和地表水。一般情况下，污水管网系统不会发生堵塞、破裂和爆炸，发生该类事故的可能原因主要有管网的设计不合理、采用劣质材料、向下水道倾倒大量固体废物和易燃易爆物品等。 </w:t>
            </w:r>
          </w:p>
          <w:p w14:paraId="073C275A">
            <w:pPr>
              <w:widowControl/>
              <w:adjustRightInd w:val="0"/>
              <w:snapToGrid w:val="0"/>
              <w:spacing w:line="360" w:lineRule="auto"/>
              <w:ind w:firstLine="480" w:firstLineChars="200"/>
              <w:jc w:val="both"/>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 xml:space="preserve">（2）污水处理厂由于停电、设备损坏或不正常运作，停机检修等造成大量污水未经处理直接排放，造成污染事故。污水处理过程中的活性污泥是经过长时间培养驯化而成的，长时间停电，活性污泥会因缺氧致死，从而导致工艺过程遭到破坏，恢复污水处理的工艺过程，重新培养驯化活性污泥需要很长时间，会导致大量恶臭气体产生。 </w:t>
            </w:r>
          </w:p>
          <w:p w14:paraId="568BD1B4">
            <w:pPr>
              <w:widowControl/>
              <w:adjustRightInd w:val="0"/>
              <w:snapToGrid w:val="0"/>
              <w:spacing w:line="360" w:lineRule="auto"/>
              <w:ind w:firstLine="480" w:firstLineChars="200"/>
              <w:jc w:val="both"/>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 xml:space="preserve">（3）污水厂进水超标 </w:t>
            </w:r>
          </w:p>
          <w:p w14:paraId="0B693A82">
            <w:pPr>
              <w:widowControl/>
              <w:adjustRightInd w:val="0"/>
              <w:snapToGrid w:val="0"/>
              <w:spacing w:line="360" w:lineRule="auto"/>
              <w:ind w:firstLine="480" w:firstLineChars="200"/>
              <w:jc w:val="both"/>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①发现进水水质超标时，</w:t>
            </w:r>
            <w:r>
              <w:rPr>
                <w:rFonts w:hint="eastAsia" w:cs="Times New Roman"/>
                <w:bCs/>
                <w:color w:val="auto"/>
                <w:kern w:val="1"/>
                <w:sz w:val="24"/>
                <w:szCs w:val="24"/>
                <w:lang w:val="en-US" w:eastAsia="zh-CN" w:bidi="ar-SA"/>
              </w:rPr>
              <w:t>应</w:t>
            </w:r>
            <w:r>
              <w:rPr>
                <w:rFonts w:hint="default" w:ascii="Times New Roman" w:hAnsi="Times New Roman" w:eastAsia="宋体" w:cs="Times New Roman"/>
                <w:bCs/>
                <w:color w:val="auto"/>
                <w:kern w:val="1"/>
                <w:sz w:val="24"/>
                <w:szCs w:val="24"/>
                <w:lang w:val="en-US" w:eastAsia="zh-CN" w:bidi="ar-SA"/>
              </w:rPr>
              <w:t>立即向上级公司、地方环境保护行政主管部门等部门汇报</w:t>
            </w:r>
            <w:r>
              <w:rPr>
                <w:rFonts w:hint="eastAsia" w:cs="Times New Roman"/>
                <w:bCs/>
                <w:color w:val="auto"/>
                <w:kern w:val="1"/>
                <w:sz w:val="24"/>
                <w:szCs w:val="24"/>
                <w:lang w:val="en-US" w:eastAsia="zh-CN" w:bidi="ar-SA"/>
              </w:rPr>
              <w:t>；</w:t>
            </w:r>
          </w:p>
          <w:p w14:paraId="46A1E315">
            <w:pPr>
              <w:widowControl/>
              <w:adjustRightInd w:val="0"/>
              <w:snapToGrid w:val="0"/>
              <w:spacing w:line="360" w:lineRule="auto"/>
              <w:ind w:firstLine="480" w:firstLineChars="200"/>
              <w:jc w:val="both"/>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 xml:space="preserve">②减少污水厂进水，若长时间进水超标则停止污水厂进水； </w:t>
            </w:r>
          </w:p>
          <w:p w14:paraId="386F6131">
            <w:pPr>
              <w:widowControl/>
              <w:adjustRightInd w:val="0"/>
              <w:snapToGrid w:val="0"/>
              <w:spacing w:line="360" w:lineRule="auto"/>
              <w:ind w:firstLine="480" w:firstLineChars="200"/>
              <w:jc w:val="both"/>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③调整污水处理工艺，充分挖掘污水厂设施、工艺及设备的潜力，调整生化系统等运行工况，增加化学药剂投加量等；</w:t>
            </w:r>
          </w:p>
          <w:p w14:paraId="316DE7AE">
            <w:pPr>
              <w:widowControl/>
              <w:adjustRightInd w:val="0"/>
              <w:snapToGrid w:val="0"/>
              <w:spacing w:line="360" w:lineRule="auto"/>
              <w:ind w:firstLine="480" w:firstLineChars="200"/>
              <w:jc w:val="both"/>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 xml:space="preserve">④配合相关部门查清进水水质超标原因，拿出解决方案，确保进水水质符合要求。 </w:t>
            </w:r>
          </w:p>
          <w:p w14:paraId="68BBF5EA">
            <w:pPr>
              <w:widowControl/>
              <w:adjustRightInd w:val="0"/>
              <w:snapToGrid w:val="0"/>
              <w:spacing w:line="360" w:lineRule="auto"/>
              <w:ind w:firstLine="480" w:firstLineChars="200"/>
              <w:jc w:val="both"/>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（4）本项目所涉及的危险品为次氯酸钠，受高热分解</w:t>
            </w:r>
            <w:r>
              <w:rPr>
                <w:rFonts w:hint="eastAsia" w:cs="Times New Roman"/>
                <w:bCs/>
                <w:color w:val="auto"/>
                <w:kern w:val="1"/>
                <w:sz w:val="24"/>
                <w:szCs w:val="24"/>
                <w:lang w:val="en-US" w:eastAsia="zh-CN" w:bidi="ar-SA"/>
              </w:rPr>
              <w:t>会</w:t>
            </w:r>
            <w:r>
              <w:rPr>
                <w:rFonts w:hint="default" w:ascii="Times New Roman" w:hAnsi="Times New Roman" w:eastAsia="宋体" w:cs="Times New Roman"/>
                <w:bCs/>
                <w:color w:val="auto"/>
                <w:kern w:val="1"/>
                <w:sz w:val="24"/>
                <w:szCs w:val="24"/>
                <w:lang w:val="en-US" w:eastAsia="zh-CN" w:bidi="ar-SA"/>
              </w:rPr>
              <w:t>产生有毒的腐蚀性烟气，具有腐蚀性。在贮运过程中，均有可能发生泄漏。在贮存过程中，泄漏原因主要为危险品罐因意外而破损等原因造成泄漏。</w:t>
            </w:r>
          </w:p>
          <w:p w14:paraId="5308B7B3">
            <w:pPr>
              <w:widowControl/>
              <w:adjustRightInd w:val="0"/>
              <w:snapToGrid w:val="0"/>
              <w:spacing w:line="360" w:lineRule="auto"/>
              <w:ind w:firstLine="482" w:firstLineChars="200"/>
              <w:jc w:val="both"/>
              <w:rPr>
                <w:rFonts w:hint="default" w:ascii="Times New Roman" w:hAnsi="Times New Roman" w:eastAsia="宋体" w:cs="Times New Roman"/>
                <w:b/>
                <w:bCs/>
                <w:color w:val="auto"/>
                <w:kern w:val="1"/>
                <w:sz w:val="24"/>
                <w:szCs w:val="24"/>
                <w:lang w:val="en-US" w:eastAsia="zh-CN" w:bidi="ar-SA"/>
              </w:rPr>
            </w:pPr>
            <w:r>
              <w:rPr>
                <w:rFonts w:hint="default" w:ascii="Times New Roman" w:hAnsi="Times New Roman" w:eastAsia="宋体" w:cs="Times New Roman"/>
                <w:b/>
                <w:bCs/>
                <w:color w:val="auto"/>
                <w:kern w:val="1"/>
                <w:sz w:val="24"/>
                <w:szCs w:val="24"/>
                <w:lang w:val="en-US" w:eastAsia="zh-CN" w:bidi="ar-SA"/>
              </w:rPr>
              <w:t>6.4环境风险防范措施</w:t>
            </w:r>
          </w:p>
          <w:p w14:paraId="40077BB5">
            <w:pPr>
              <w:widowControl/>
              <w:adjustRightInd w:val="0"/>
              <w:snapToGrid w:val="0"/>
              <w:spacing w:line="360" w:lineRule="auto"/>
              <w:ind w:firstLine="480" w:firstLineChars="200"/>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 xml:space="preserve">根据环境风险分析，建设单位应采取以下措施： </w:t>
            </w:r>
          </w:p>
          <w:p w14:paraId="3E6B5956">
            <w:pPr>
              <w:widowControl/>
              <w:adjustRightInd w:val="0"/>
              <w:snapToGrid w:val="0"/>
              <w:spacing w:line="360" w:lineRule="auto"/>
              <w:ind w:firstLine="480" w:firstLineChars="200"/>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（1）重视维护及管理污水管网，防止</w:t>
            </w:r>
            <w:r>
              <w:rPr>
                <w:rFonts w:hint="eastAsia" w:cs="Times New Roman"/>
                <w:bCs/>
                <w:color w:val="auto"/>
                <w:kern w:val="1"/>
                <w:sz w:val="24"/>
                <w:szCs w:val="24"/>
                <w:lang w:val="en-US" w:eastAsia="zh-CN" w:bidi="ar-SA"/>
              </w:rPr>
              <w:t>因</w:t>
            </w:r>
            <w:r>
              <w:rPr>
                <w:rFonts w:hint="default" w:ascii="Times New Roman" w:hAnsi="Times New Roman" w:eastAsia="宋体" w:cs="Times New Roman"/>
                <w:bCs/>
                <w:color w:val="auto"/>
                <w:kern w:val="1"/>
                <w:sz w:val="24"/>
                <w:szCs w:val="24"/>
                <w:lang w:val="en-US" w:eastAsia="zh-CN" w:bidi="ar-SA"/>
              </w:rPr>
              <w:t xml:space="preserve">泥沙沉积堵塞而影响管道的过水能力。 </w:t>
            </w:r>
          </w:p>
          <w:p w14:paraId="5BB6005E">
            <w:pPr>
              <w:widowControl/>
              <w:adjustRightInd w:val="0"/>
              <w:snapToGrid w:val="0"/>
              <w:spacing w:line="360" w:lineRule="auto"/>
              <w:ind w:firstLine="480" w:firstLineChars="200"/>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（2）在主要</w:t>
            </w:r>
            <w:r>
              <w:rPr>
                <w:rFonts w:hint="eastAsia" w:cs="Times New Roman"/>
                <w:bCs/>
                <w:color w:val="auto"/>
                <w:kern w:val="1"/>
                <w:sz w:val="24"/>
                <w:szCs w:val="24"/>
                <w:lang w:val="en-US" w:eastAsia="zh-CN" w:bidi="ar-SA"/>
              </w:rPr>
              <w:t>建筑物和</w:t>
            </w:r>
            <w:r>
              <w:rPr>
                <w:rFonts w:hint="default" w:ascii="Times New Roman" w:hAnsi="Times New Roman" w:eastAsia="宋体" w:cs="Times New Roman"/>
                <w:bCs/>
                <w:color w:val="auto"/>
                <w:kern w:val="1"/>
                <w:sz w:val="24"/>
                <w:szCs w:val="24"/>
                <w:lang w:val="en-US" w:eastAsia="zh-CN" w:bidi="ar-SA"/>
              </w:rPr>
              <w:t>构筑物预留缓冲空间，</w:t>
            </w:r>
            <w:r>
              <w:rPr>
                <w:rFonts w:hint="eastAsia" w:cs="Times New Roman"/>
                <w:bCs/>
                <w:color w:val="auto"/>
                <w:kern w:val="1"/>
                <w:sz w:val="24"/>
                <w:szCs w:val="24"/>
                <w:lang w:val="en-US" w:eastAsia="zh-CN" w:bidi="ar-SA"/>
              </w:rPr>
              <w:t>以便</w:t>
            </w:r>
            <w:r>
              <w:rPr>
                <w:rFonts w:hint="default" w:ascii="Times New Roman" w:hAnsi="Times New Roman" w:eastAsia="宋体" w:cs="Times New Roman"/>
                <w:bCs/>
                <w:color w:val="auto"/>
                <w:kern w:val="1"/>
                <w:sz w:val="24"/>
                <w:szCs w:val="24"/>
                <w:lang w:val="en-US" w:eastAsia="zh-CN" w:bidi="ar-SA"/>
              </w:rPr>
              <w:t xml:space="preserve">在非正常工况下污水处理厂能够迅速恢复正常运行。 </w:t>
            </w:r>
          </w:p>
          <w:p w14:paraId="43B41D69">
            <w:pPr>
              <w:widowControl/>
              <w:adjustRightInd w:val="0"/>
              <w:snapToGrid w:val="0"/>
              <w:spacing w:line="360" w:lineRule="auto"/>
              <w:ind w:firstLine="480" w:firstLineChars="200"/>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（3）严格控制处理单元的水量、水质、停留时间、负荷强度等，确保处理效果的稳定性。定期采样监测。操作人员及时调整</w:t>
            </w:r>
            <w:r>
              <w:rPr>
                <w:rFonts w:hint="eastAsia" w:cs="Times New Roman"/>
                <w:bCs/>
                <w:color w:val="auto"/>
                <w:kern w:val="1"/>
                <w:sz w:val="24"/>
                <w:szCs w:val="24"/>
                <w:lang w:val="en-US" w:eastAsia="zh-CN" w:bidi="ar-SA"/>
              </w:rPr>
              <w:t>设备</w:t>
            </w:r>
            <w:r>
              <w:rPr>
                <w:rFonts w:hint="default" w:ascii="Times New Roman" w:hAnsi="Times New Roman" w:eastAsia="宋体" w:cs="Times New Roman"/>
                <w:bCs/>
                <w:color w:val="auto"/>
                <w:kern w:val="1"/>
                <w:sz w:val="24"/>
                <w:szCs w:val="24"/>
                <w:lang w:val="en-US" w:eastAsia="zh-CN" w:bidi="ar-SA"/>
              </w:rPr>
              <w:t xml:space="preserve">，使设备处于最佳工况。 </w:t>
            </w:r>
          </w:p>
          <w:p w14:paraId="4741EA20">
            <w:pPr>
              <w:widowControl/>
              <w:adjustRightInd w:val="0"/>
              <w:snapToGrid w:val="0"/>
              <w:spacing w:line="360" w:lineRule="auto"/>
              <w:ind w:firstLine="480" w:firstLineChars="200"/>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 xml:space="preserve">（4）加强污水处理厂人员的操作技能的培训，提高工作人员的应变能力，及时有效处理意外情况。 </w:t>
            </w:r>
          </w:p>
          <w:p w14:paraId="530861C3">
            <w:pPr>
              <w:widowControl/>
              <w:adjustRightInd w:val="0"/>
              <w:snapToGrid w:val="0"/>
              <w:spacing w:line="360" w:lineRule="auto"/>
              <w:ind w:firstLine="480" w:firstLineChars="200"/>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（5）加强运行管理和进出水水质的监测工作，配备流量、水质自动分析控制仪器，定期取样监测，并</w:t>
            </w:r>
            <w:r>
              <w:rPr>
                <w:rFonts w:hint="eastAsia" w:cs="Times New Roman"/>
                <w:bCs/>
                <w:color w:val="auto"/>
                <w:kern w:val="1"/>
                <w:sz w:val="24"/>
                <w:szCs w:val="24"/>
                <w:lang w:val="en-US" w:eastAsia="zh-CN" w:bidi="ar-SA"/>
              </w:rPr>
              <w:t>做好</w:t>
            </w:r>
            <w:r>
              <w:rPr>
                <w:rFonts w:hint="default" w:ascii="Times New Roman" w:hAnsi="Times New Roman" w:eastAsia="宋体" w:cs="Times New Roman"/>
                <w:bCs/>
                <w:color w:val="auto"/>
                <w:kern w:val="1"/>
                <w:sz w:val="24"/>
                <w:szCs w:val="24"/>
                <w:lang w:val="en-US" w:eastAsia="zh-CN" w:bidi="ar-SA"/>
              </w:rPr>
              <w:t xml:space="preserve">消毒工作，未经处理达标的污水严禁外排。 </w:t>
            </w:r>
          </w:p>
          <w:p w14:paraId="05B9C560">
            <w:pPr>
              <w:widowControl/>
              <w:adjustRightInd w:val="0"/>
              <w:snapToGrid w:val="0"/>
              <w:spacing w:line="360" w:lineRule="auto"/>
              <w:ind w:firstLine="480" w:firstLineChars="200"/>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（6）制定风险事故应急预案。在发生风险事故时，能以最快速度发挥最大的效能，有序地实施救援，减少</w:t>
            </w:r>
            <w:r>
              <w:rPr>
                <w:rFonts w:hint="eastAsia" w:cs="Times New Roman"/>
                <w:bCs/>
                <w:color w:val="auto"/>
                <w:kern w:val="1"/>
                <w:sz w:val="24"/>
                <w:szCs w:val="24"/>
                <w:lang w:val="en-US" w:eastAsia="zh-CN" w:bidi="ar-SA"/>
              </w:rPr>
              <w:t>因</w:t>
            </w:r>
            <w:r>
              <w:rPr>
                <w:rFonts w:hint="default" w:ascii="Times New Roman" w:hAnsi="Times New Roman" w:eastAsia="宋体" w:cs="Times New Roman"/>
                <w:bCs/>
                <w:color w:val="auto"/>
                <w:kern w:val="1"/>
                <w:sz w:val="24"/>
                <w:szCs w:val="24"/>
                <w:lang w:val="en-US" w:eastAsia="zh-CN" w:bidi="ar-SA"/>
              </w:rPr>
              <w:t xml:space="preserve">事故造成的损失。 </w:t>
            </w:r>
          </w:p>
          <w:p w14:paraId="539CA396">
            <w:pPr>
              <w:widowControl/>
              <w:adjustRightInd w:val="0"/>
              <w:snapToGrid w:val="0"/>
              <w:spacing w:line="360" w:lineRule="auto"/>
              <w:ind w:firstLine="480" w:firstLineChars="200"/>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 xml:space="preserve">（7）本厂危险品由专人运输，不可在阳光下暴晒，远离热源、火种，与自燃物、易燃物隔离储运，隔离存放。 </w:t>
            </w:r>
          </w:p>
          <w:p w14:paraId="6F1911C9">
            <w:pPr>
              <w:widowControl/>
              <w:adjustRightInd w:val="0"/>
              <w:snapToGrid w:val="0"/>
              <w:spacing w:line="360" w:lineRule="auto"/>
              <w:ind w:firstLine="482" w:firstLineChars="200"/>
              <w:rPr>
                <w:rFonts w:hint="default" w:ascii="Times New Roman" w:hAnsi="Times New Roman" w:eastAsia="宋体" w:cs="Times New Roman"/>
                <w:b/>
                <w:bCs w:val="0"/>
                <w:color w:val="auto"/>
                <w:kern w:val="1"/>
                <w:sz w:val="24"/>
                <w:szCs w:val="24"/>
                <w:lang w:val="en-US" w:eastAsia="zh-CN" w:bidi="ar-SA"/>
              </w:rPr>
            </w:pPr>
            <w:r>
              <w:rPr>
                <w:rFonts w:hint="default" w:ascii="Times New Roman" w:hAnsi="Times New Roman" w:eastAsia="宋体" w:cs="Times New Roman"/>
                <w:b/>
                <w:bCs w:val="0"/>
                <w:color w:val="auto"/>
                <w:kern w:val="1"/>
                <w:sz w:val="24"/>
                <w:szCs w:val="24"/>
                <w:lang w:val="en-US" w:eastAsia="zh-CN" w:bidi="ar-SA"/>
              </w:rPr>
              <w:t>6.5环境风险评价结论</w:t>
            </w:r>
          </w:p>
          <w:p w14:paraId="6124E6D0">
            <w:pPr>
              <w:widowControl/>
              <w:adjustRightInd w:val="0"/>
              <w:snapToGrid w:val="0"/>
              <w:spacing w:line="360" w:lineRule="auto"/>
              <w:ind w:firstLine="480" w:firstLineChars="200"/>
              <w:rPr>
                <w:rFonts w:hint="default" w:ascii="Times New Roman" w:hAnsi="Times New Roman" w:eastAsia="宋体" w:cs="Times New Roman"/>
                <w:color w:val="auto"/>
                <w:kern w:val="1"/>
                <w:sz w:val="24"/>
                <w:highlight w:val="none"/>
              </w:rPr>
            </w:pPr>
            <w:r>
              <w:rPr>
                <w:rFonts w:hint="default" w:ascii="Times New Roman" w:hAnsi="Times New Roman" w:eastAsia="宋体" w:cs="Times New Roman"/>
                <w:color w:val="auto"/>
                <w:kern w:val="1"/>
                <w:sz w:val="24"/>
                <w:highlight w:val="none"/>
                <w:lang w:val="en-US" w:eastAsia="zh-CN"/>
              </w:rPr>
              <w:t>项目涉及的风险物质是次氯酸钠，次氯酸钠贮存量较小，环境风险较小，评价提出了一系列风险防范措施，只要企业在完善物料贮存设施加强安全检查，加强职工安全教育和培训之后，在做好各项风险防范措施、应急预案和应急处置措施的情况下，项目环境风险事故对周围环境的</w:t>
            </w:r>
            <w:r>
              <w:rPr>
                <w:rFonts w:hint="eastAsia" w:cs="Times New Roman"/>
                <w:color w:val="auto"/>
                <w:kern w:val="1"/>
                <w:sz w:val="24"/>
                <w:highlight w:val="none"/>
                <w:lang w:val="en-US" w:eastAsia="zh-CN"/>
              </w:rPr>
              <w:t>影响</w:t>
            </w:r>
            <w:r>
              <w:rPr>
                <w:rFonts w:hint="default" w:ascii="Times New Roman" w:hAnsi="Times New Roman" w:eastAsia="宋体" w:cs="Times New Roman"/>
                <w:color w:val="auto"/>
                <w:kern w:val="1"/>
                <w:sz w:val="24"/>
                <w:highlight w:val="none"/>
                <w:lang w:val="en-US" w:eastAsia="zh-CN"/>
              </w:rPr>
              <w:t>较小。项目环境风险属可接受水平。</w:t>
            </w:r>
          </w:p>
          <w:p w14:paraId="5538E459">
            <w:pPr>
              <w:widowControl/>
              <w:adjustRightInd w:val="0"/>
              <w:snapToGrid w:val="0"/>
              <w:spacing w:line="360" w:lineRule="auto"/>
              <w:rPr>
                <w:rFonts w:hint="default" w:ascii="Times New Roman" w:hAnsi="Times New Roman" w:eastAsia="宋体" w:cs="Times New Roman"/>
                <w:color w:val="auto"/>
                <w:kern w:val="1"/>
                <w:sz w:val="24"/>
                <w:highlight w:val="none"/>
              </w:rPr>
            </w:pPr>
            <w:r>
              <w:rPr>
                <w:rFonts w:hint="default" w:ascii="Times New Roman" w:hAnsi="Times New Roman" w:eastAsia="宋体" w:cs="Times New Roman"/>
                <w:b/>
                <w:bCs/>
                <w:color w:val="auto"/>
                <w:sz w:val="24"/>
                <w:szCs w:val="32"/>
                <w:highlight w:val="none"/>
                <w:lang w:val="en-US" w:eastAsia="zh-CN"/>
              </w:rPr>
              <w:t>7</w:t>
            </w:r>
            <w:r>
              <w:rPr>
                <w:rFonts w:hint="default" w:ascii="Times New Roman" w:hAnsi="Times New Roman" w:eastAsia="宋体" w:cs="Times New Roman"/>
                <w:b/>
                <w:bCs/>
                <w:color w:val="auto"/>
                <w:sz w:val="24"/>
                <w:szCs w:val="32"/>
                <w:highlight w:val="none"/>
              </w:rPr>
              <w:t>.</w:t>
            </w:r>
            <w:r>
              <w:rPr>
                <w:rFonts w:hint="eastAsia" w:ascii="Times New Roman" w:hAnsi="Times New Roman" w:eastAsia="宋体" w:cs="Times New Roman"/>
                <w:b/>
                <w:bCs/>
                <w:color w:val="auto"/>
                <w:sz w:val="24"/>
                <w:szCs w:val="32"/>
                <w:highlight w:val="none"/>
                <w:lang w:val="en-US" w:eastAsia="zh-CN"/>
              </w:rPr>
              <w:t>“</w:t>
            </w:r>
            <w:r>
              <w:rPr>
                <w:rFonts w:hint="default" w:ascii="Times New Roman" w:hAnsi="Times New Roman" w:eastAsia="宋体" w:cs="Times New Roman"/>
                <w:b/>
                <w:bCs/>
                <w:color w:val="auto"/>
                <w:sz w:val="24"/>
                <w:szCs w:val="32"/>
                <w:highlight w:val="none"/>
                <w:lang w:val="en-US" w:eastAsia="zh-CN"/>
              </w:rPr>
              <w:t>三本账</w:t>
            </w:r>
            <w:r>
              <w:rPr>
                <w:rFonts w:hint="eastAsia" w:ascii="Times New Roman" w:hAnsi="Times New Roman" w:eastAsia="宋体" w:cs="Times New Roman"/>
                <w:b/>
                <w:bCs/>
                <w:color w:val="auto"/>
                <w:sz w:val="24"/>
                <w:szCs w:val="32"/>
                <w:highlight w:val="none"/>
                <w:lang w:val="en-US" w:eastAsia="zh-CN"/>
              </w:rPr>
              <w:t>”</w:t>
            </w:r>
            <w:r>
              <w:rPr>
                <w:rFonts w:hint="default" w:ascii="Times New Roman" w:hAnsi="Times New Roman" w:eastAsia="宋体" w:cs="Times New Roman"/>
                <w:b/>
                <w:bCs/>
                <w:color w:val="auto"/>
                <w:sz w:val="24"/>
                <w:szCs w:val="32"/>
                <w:highlight w:val="none"/>
                <w:lang w:val="en-US" w:eastAsia="zh-CN"/>
              </w:rPr>
              <w:t>统计</w:t>
            </w:r>
          </w:p>
          <w:p w14:paraId="5B3A5653">
            <w:pPr>
              <w:widowControl/>
              <w:adjustRightInd w:val="0"/>
              <w:snapToGrid w:val="0"/>
              <w:spacing w:line="360" w:lineRule="auto"/>
              <w:ind w:firstLine="480" w:firstLineChars="200"/>
              <w:rPr>
                <w:rFonts w:hint="default" w:ascii="Times New Roman" w:hAnsi="Times New Roman" w:eastAsia="宋体" w:cs="Times New Roman"/>
                <w:color w:val="auto"/>
                <w:kern w:val="1"/>
                <w:sz w:val="24"/>
                <w:highlight w:val="none"/>
                <w:lang w:val="en-US" w:eastAsia="zh-CN"/>
              </w:rPr>
            </w:pPr>
            <w:r>
              <w:rPr>
                <w:rFonts w:hint="default" w:ascii="Times New Roman" w:hAnsi="Times New Roman" w:eastAsia="宋体" w:cs="Times New Roman"/>
                <w:color w:val="auto"/>
                <w:kern w:val="1"/>
                <w:sz w:val="24"/>
                <w:highlight w:val="none"/>
                <w:lang w:val="en-US" w:eastAsia="zh-CN"/>
              </w:rPr>
              <w:t>根据现有工程环评、验收批复、自行监测及在线监测数据核算、固废台账，以及更新改造后本项目的源强分析，本项目</w:t>
            </w:r>
            <w:r>
              <w:rPr>
                <w:rFonts w:hint="eastAsia" w:ascii="Times New Roman" w:hAnsi="Times New Roman" w:eastAsia="宋体" w:cs="Times New Roman"/>
                <w:color w:val="auto"/>
                <w:kern w:val="1"/>
                <w:sz w:val="24"/>
                <w:highlight w:val="none"/>
                <w:lang w:val="en-US" w:eastAsia="zh-CN"/>
              </w:rPr>
              <w:t>“</w:t>
            </w:r>
            <w:r>
              <w:rPr>
                <w:rFonts w:hint="default" w:ascii="Times New Roman" w:hAnsi="Times New Roman" w:eastAsia="宋体" w:cs="Times New Roman"/>
                <w:color w:val="auto"/>
                <w:kern w:val="1"/>
                <w:sz w:val="24"/>
                <w:highlight w:val="none"/>
                <w:lang w:val="en-US" w:eastAsia="zh-CN"/>
              </w:rPr>
              <w:t>三本账</w:t>
            </w:r>
            <w:r>
              <w:rPr>
                <w:rFonts w:hint="eastAsia" w:ascii="Times New Roman" w:hAnsi="Times New Roman" w:eastAsia="宋体" w:cs="Times New Roman"/>
                <w:color w:val="auto"/>
                <w:kern w:val="1"/>
                <w:sz w:val="24"/>
                <w:highlight w:val="none"/>
                <w:lang w:val="en-US" w:eastAsia="zh-CN"/>
              </w:rPr>
              <w:t>”</w:t>
            </w:r>
            <w:r>
              <w:rPr>
                <w:rFonts w:hint="default" w:ascii="Times New Roman" w:hAnsi="Times New Roman" w:eastAsia="宋体" w:cs="Times New Roman"/>
                <w:color w:val="auto"/>
                <w:kern w:val="1"/>
                <w:sz w:val="24"/>
                <w:highlight w:val="none"/>
                <w:lang w:val="en-US" w:eastAsia="zh-CN"/>
              </w:rPr>
              <w:t>统计如下表：</w:t>
            </w:r>
          </w:p>
          <w:p w14:paraId="029D0DEA">
            <w:pPr>
              <w:pStyle w:val="16"/>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表4-</w:t>
            </w:r>
            <w:r>
              <w:rPr>
                <w:rFonts w:hint="default" w:ascii="Times New Roman" w:hAnsi="Times New Roman" w:eastAsia="宋体" w:cs="Times New Roman"/>
                <w:color w:val="auto"/>
                <w:highlight w:val="none"/>
                <w:lang w:val="en-US" w:eastAsia="zh-CN"/>
              </w:rPr>
              <w:t>1</w:t>
            </w:r>
            <w:r>
              <w:rPr>
                <w:rFonts w:hint="eastAsia" w:cs="Times New Roman"/>
                <w:color w:val="auto"/>
                <w:highlight w:val="none"/>
                <w:lang w:val="en-US" w:eastAsia="zh-CN"/>
              </w:rPr>
              <w:t>3</w:t>
            </w:r>
            <w:r>
              <w:rPr>
                <w:rFonts w:hint="default" w:ascii="Times New Roman" w:hAnsi="Times New Roman" w:eastAsia="宋体" w:cs="Times New Roman"/>
                <w:color w:val="auto"/>
                <w:highlight w:val="none"/>
              </w:rPr>
              <w:t xml:space="preserve"> </w:t>
            </w:r>
            <w:r>
              <w:rPr>
                <w:rFonts w:hint="default" w:ascii="Times New Roman" w:hAnsi="Times New Roman" w:eastAsia="宋体" w:cs="Times New Roman"/>
                <w:color w:val="auto"/>
                <w:highlight w:val="none"/>
                <w:lang w:val="en-US" w:eastAsia="zh-CN"/>
              </w:rPr>
              <w:t>一期工程更新改造前后</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三本账</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一览表（单位：t/a）</w:t>
            </w:r>
          </w:p>
          <w:tbl>
            <w:tblPr>
              <w:tblStyle w:val="10"/>
              <w:tblW w:w="8115" w:type="dxa"/>
              <w:jc w:val="center"/>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919"/>
              <w:gridCol w:w="1328"/>
              <w:gridCol w:w="1222"/>
              <w:gridCol w:w="1521"/>
              <w:gridCol w:w="1571"/>
              <w:gridCol w:w="1554"/>
            </w:tblGrid>
            <w:tr w14:paraId="6D1A5F34">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919" w:type="dxa"/>
                  <w:vMerge w:val="restart"/>
                  <w:tcBorders>
                    <w:left w:val="single" w:color="auto" w:sz="0" w:space="0"/>
                    <w:bottom w:val="single" w:color="auto" w:sz="12" w:space="0"/>
                    <w:right w:val="single" w:color="auto" w:sz="12" w:space="0"/>
                  </w:tcBorders>
                  <w:shd w:val="clear" w:color="auto" w:fill="auto"/>
                  <w:vAlign w:val="center"/>
                </w:tcPr>
                <w:p w14:paraId="380A1E2D">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污染类型</w:t>
                  </w:r>
                </w:p>
              </w:tc>
              <w:tc>
                <w:tcPr>
                  <w:tcW w:w="1328" w:type="dxa"/>
                  <w:vMerge w:val="restart"/>
                  <w:tcBorders>
                    <w:left w:val="single" w:color="auto" w:sz="12" w:space="0"/>
                    <w:bottom w:val="single" w:color="auto" w:sz="12" w:space="0"/>
                    <w:right w:val="single" w:color="auto" w:sz="12" w:space="0"/>
                  </w:tcBorders>
                  <w:shd w:val="clear" w:color="auto" w:fill="auto"/>
                  <w:vAlign w:val="center"/>
                </w:tcPr>
                <w:p w14:paraId="5214220F">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污染物</w:t>
                  </w:r>
                </w:p>
              </w:tc>
              <w:tc>
                <w:tcPr>
                  <w:tcW w:w="2743" w:type="dxa"/>
                  <w:gridSpan w:val="2"/>
                  <w:tcBorders>
                    <w:left w:val="single" w:color="auto" w:sz="12" w:space="0"/>
                    <w:bottom w:val="single" w:color="auto" w:sz="12" w:space="0"/>
                    <w:right w:val="single" w:color="auto" w:sz="12" w:space="0"/>
                  </w:tcBorders>
                  <w:shd w:val="clear" w:color="auto" w:fill="auto"/>
                  <w:vAlign w:val="center"/>
                </w:tcPr>
                <w:p w14:paraId="113852D8">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现有工程</w:t>
                  </w:r>
                </w:p>
              </w:tc>
              <w:tc>
                <w:tcPr>
                  <w:tcW w:w="1571" w:type="dxa"/>
                  <w:vMerge w:val="restart"/>
                  <w:tcBorders>
                    <w:left w:val="single" w:color="auto" w:sz="12" w:space="0"/>
                    <w:bottom w:val="single" w:color="auto" w:sz="12" w:space="0"/>
                    <w:right w:val="single" w:color="auto" w:sz="12" w:space="0"/>
                  </w:tcBorders>
                  <w:shd w:val="clear" w:color="auto" w:fill="auto"/>
                  <w:vAlign w:val="center"/>
                </w:tcPr>
                <w:p w14:paraId="0E54624A">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一期更新改造后</w:t>
                  </w:r>
                </w:p>
              </w:tc>
              <w:tc>
                <w:tcPr>
                  <w:tcW w:w="1554" w:type="dxa"/>
                  <w:vMerge w:val="restart"/>
                  <w:tcBorders>
                    <w:left w:val="single" w:color="auto" w:sz="12" w:space="0"/>
                    <w:bottom w:val="single" w:color="auto" w:sz="12" w:space="0"/>
                    <w:right w:val="single" w:color="auto" w:sz="12" w:space="0"/>
                  </w:tcBorders>
                  <w:shd w:val="clear" w:color="auto" w:fill="auto"/>
                  <w:vAlign w:val="center"/>
                </w:tcPr>
                <w:p w14:paraId="0121FE74">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eastAsia" w:ascii="Times New Roman" w:hAnsi="Times New Roman" w:eastAsia="宋体" w:cs="Times New Roman"/>
                      <w:b/>
                      <w:bCs/>
                      <w:i w:val="0"/>
                      <w:iCs w:val="0"/>
                      <w:color w:val="auto"/>
                      <w:kern w:val="0"/>
                      <w:sz w:val="21"/>
                      <w:szCs w:val="21"/>
                      <w:u w:val="none"/>
                      <w:lang w:val="en-US" w:eastAsia="zh-CN" w:bidi="ar"/>
                    </w:rPr>
                    <w:t>“</w:t>
                  </w:r>
                  <w:r>
                    <w:rPr>
                      <w:rFonts w:hint="default" w:ascii="Times New Roman" w:hAnsi="Times New Roman" w:eastAsia="宋体" w:cs="Times New Roman"/>
                      <w:b/>
                      <w:bCs/>
                      <w:i w:val="0"/>
                      <w:iCs w:val="0"/>
                      <w:color w:val="auto"/>
                      <w:kern w:val="0"/>
                      <w:sz w:val="21"/>
                      <w:szCs w:val="21"/>
                      <w:u w:val="none"/>
                      <w:lang w:val="en-US" w:eastAsia="zh-CN" w:bidi="ar"/>
                    </w:rPr>
                    <w:t>以新带老</w:t>
                  </w:r>
                  <w:r>
                    <w:rPr>
                      <w:rFonts w:hint="eastAsia" w:ascii="Times New Roman" w:hAnsi="Times New Roman" w:eastAsia="宋体" w:cs="Times New Roman"/>
                      <w:b/>
                      <w:bCs/>
                      <w:i w:val="0"/>
                      <w:iCs w:val="0"/>
                      <w:color w:val="auto"/>
                      <w:kern w:val="0"/>
                      <w:sz w:val="21"/>
                      <w:szCs w:val="21"/>
                      <w:u w:val="none"/>
                      <w:lang w:val="en-US" w:eastAsia="zh-CN" w:bidi="ar"/>
                    </w:rPr>
                    <w:t>”</w:t>
                  </w:r>
                  <w:r>
                    <w:rPr>
                      <w:rFonts w:hint="default" w:ascii="Times New Roman" w:hAnsi="Times New Roman" w:eastAsia="宋体" w:cs="Times New Roman"/>
                      <w:b/>
                      <w:bCs/>
                      <w:i w:val="0"/>
                      <w:iCs w:val="0"/>
                      <w:color w:val="auto"/>
                      <w:kern w:val="0"/>
                      <w:sz w:val="21"/>
                      <w:szCs w:val="21"/>
                      <w:u w:val="none"/>
                      <w:lang w:val="en-US" w:eastAsia="zh-CN" w:bidi="ar"/>
                    </w:rPr>
                    <w:t>削减总量</w:t>
                  </w:r>
                </w:p>
              </w:tc>
            </w:tr>
            <w:tr w14:paraId="6FD65A16">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19" w:type="dxa"/>
                  <w:vMerge w:val="continue"/>
                  <w:tcBorders>
                    <w:top w:val="single" w:color="auto" w:sz="12" w:space="0"/>
                    <w:left w:val="single" w:color="auto" w:sz="4" w:space="0"/>
                    <w:bottom w:val="single" w:color="auto" w:sz="12" w:space="0"/>
                    <w:right w:val="single" w:color="auto" w:sz="12" w:space="0"/>
                  </w:tcBorders>
                  <w:shd w:val="clear" w:color="auto" w:fill="auto"/>
                  <w:vAlign w:val="center"/>
                </w:tcPr>
                <w:p w14:paraId="62967EFF">
                  <w:pPr>
                    <w:jc w:val="center"/>
                    <w:rPr>
                      <w:rFonts w:hint="default" w:ascii="Times New Roman" w:hAnsi="Times New Roman" w:eastAsia="宋体" w:cs="Times New Roman"/>
                      <w:b/>
                      <w:bCs/>
                      <w:i w:val="0"/>
                      <w:iCs w:val="0"/>
                      <w:color w:val="auto"/>
                      <w:sz w:val="21"/>
                      <w:szCs w:val="21"/>
                      <w:u w:val="none"/>
                    </w:rPr>
                  </w:pPr>
                </w:p>
              </w:tc>
              <w:tc>
                <w:tcPr>
                  <w:tcW w:w="1328" w:type="dxa"/>
                  <w:vMerge w:val="continue"/>
                  <w:tcBorders>
                    <w:top w:val="single" w:color="auto" w:sz="12" w:space="0"/>
                    <w:left w:val="single" w:color="auto" w:sz="12" w:space="0"/>
                    <w:bottom w:val="single" w:color="auto" w:sz="12" w:space="0"/>
                    <w:right w:val="single" w:color="auto" w:sz="12" w:space="0"/>
                  </w:tcBorders>
                  <w:shd w:val="clear" w:color="auto" w:fill="auto"/>
                  <w:vAlign w:val="center"/>
                </w:tcPr>
                <w:p w14:paraId="1B4A589D">
                  <w:pPr>
                    <w:jc w:val="center"/>
                    <w:rPr>
                      <w:rFonts w:hint="default" w:ascii="Times New Roman" w:hAnsi="Times New Roman" w:eastAsia="宋体" w:cs="Times New Roman"/>
                      <w:b/>
                      <w:bCs/>
                      <w:i w:val="0"/>
                      <w:iCs w:val="0"/>
                      <w:color w:val="auto"/>
                      <w:sz w:val="21"/>
                      <w:szCs w:val="21"/>
                      <w:u w:val="none"/>
                    </w:rPr>
                  </w:pPr>
                </w:p>
              </w:tc>
              <w:tc>
                <w:tcPr>
                  <w:tcW w:w="1222" w:type="dxa"/>
                  <w:tcBorders>
                    <w:top w:val="single" w:color="auto" w:sz="12" w:space="0"/>
                    <w:left w:val="single" w:color="auto" w:sz="12" w:space="0"/>
                    <w:bottom w:val="single" w:color="auto" w:sz="12" w:space="0"/>
                    <w:right w:val="single" w:color="auto" w:sz="12" w:space="0"/>
                  </w:tcBorders>
                  <w:shd w:val="clear" w:color="auto" w:fill="auto"/>
                  <w:noWrap/>
                  <w:vAlign w:val="center"/>
                </w:tcPr>
                <w:p w14:paraId="07346090">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一期</w:t>
                  </w:r>
                </w:p>
              </w:tc>
              <w:tc>
                <w:tcPr>
                  <w:tcW w:w="1521" w:type="dxa"/>
                  <w:tcBorders>
                    <w:top w:val="single" w:color="auto" w:sz="12" w:space="0"/>
                    <w:left w:val="single" w:color="auto" w:sz="12" w:space="0"/>
                    <w:bottom w:val="single" w:color="auto" w:sz="12" w:space="0"/>
                    <w:right w:val="single" w:color="auto" w:sz="12" w:space="0"/>
                  </w:tcBorders>
                  <w:shd w:val="clear" w:color="auto" w:fill="auto"/>
                  <w:noWrap/>
                  <w:vAlign w:val="center"/>
                </w:tcPr>
                <w:p w14:paraId="4068F65D">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二期</w:t>
                  </w:r>
                </w:p>
              </w:tc>
              <w:tc>
                <w:tcPr>
                  <w:tcW w:w="1571" w:type="dxa"/>
                  <w:vMerge w:val="continue"/>
                  <w:tcBorders>
                    <w:top w:val="single" w:color="auto" w:sz="12" w:space="0"/>
                    <w:left w:val="single" w:color="auto" w:sz="12" w:space="0"/>
                    <w:bottom w:val="single" w:color="auto" w:sz="12" w:space="0"/>
                    <w:right w:val="single" w:color="auto" w:sz="12" w:space="0"/>
                  </w:tcBorders>
                  <w:shd w:val="clear" w:color="auto" w:fill="auto"/>
                  <w:vAlign w:val="center"/>
                </w:tcPr>
                <w:p w14:paraId="6D10FCD6">
                  <w:pPr>
                    <w:jc w:val="center"/>
                    <w:rPr>
                      <w:rFonts w:hint="default" w:ascii="Times New Roman" w:hAnsi="Times New Roman" w:eastAsia="宋体" w:cs="Times New Roman"/>
                      <w:b/>
                      <w:bCs/>
                      <w:i w:val="0"/>
                      <w:iCs w:val="0"/>
                      <w:color w:val="auto"/>
                      <w:sz w:val="21"/>
                      <w:szCs w:val="21"/>
                      <w:u w:val="none"/>
                    </w:rPr>
                  </w:pPr>
                </w:p>
              </w:tc>
              <w:tc>
                <w:tcPr>
                  <w:tcW w:w="1554" w:type="dxa"/>
                  <w:vMerge w:val="continue"/>
                  <w:tcBorders>
                    <w:top w:val="single" w:color="auto" w:sz="12" w:space="0"/>
                    <w:left w:val="single" w:color="auto" w:sz="12" w:space="0"/>
                    <w:bottom w:val="single" w:color="auto" w:sz="12" w:space="0"/>
                    <w:right w:val="single" w:color="auto" w:sz="12" w:space="0"/>
                  </w:tcBorders>
                  <w:shd w:val="clear" w:color="auto" w:fill="auto"/>
                  <w:vAlign w:val="center"/>
                </w:tcPr>
                <w:p w14:paraId="23ACF39C">
                  <w:pPr>
                    <w:jc w:val="center"/>
                    <w:rPr>
                      <w:rFonts w:hint="default" w:ascii="Times New Roman" w:hAnsi="Times New Roman" w:eastAsia="宋体" w:cs="Times New Roman"/>
                      <w:b/>
                      <w:bCs/>
                      <w:i w:val="0"/>
                      <w:iCs w:val="0"/>
                      <w:color w:val="auto"/>
                      <w:sz w:val="21"/>
                      <w:szCs w:val="21"/>
                      <w:u w:val="none"/>
                    </w:rPr>
                  </w:pPr>
                </w:p>
              </w:tc>
            </w:tr>
            <w:tr w14:paraId="41500860">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19" w:type="dxa"/>
                  <w:vMerge w:val="restart"/>
                  <w:tcBorders>
                    <w:top w:val="single" w:color="auto" w:sz="12" w:space="0"/>
                    <w:left w:val="single" w:color="auto" w:sz="4" w:space="0"/>
                    <w:bottom w:val="single" w:color="auto" w:sz="12" w:space="0"/>
                    <w:right w:val="single" w:color="auto" w:sz="12" w:space="0"/>
                  </w:tcBorders>
                  <w:shd w:val="clear" w:color="auto" w:fill="auto"/>
                  <w:vAlign w:val="center"/>
                </w:tcPr>
                <w:p w14:paraId="460C0BCE">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废水</w:t>
                  </w:r>
                </w:p>
              </w:tc>
              <w:tc>
                <w:tcPr>
                  <w:tcW w:w="1328" w:type="dxa"/>
                  <w:tcBorders>
                    <w:top w:val="single" w:color="auto" w:sz="12" w:space="0"/>
                    <w:left w:val="single" w:color="auto" w:sz="12" w:space="0"/>
                    <w:bottom w:val="single" w:color="auto" w:sz="12" w:space="0"/>
                    <w:right w:val="single" w:color="auto" w:sz="12" w:space="0"/>
                  </w:tcBorders>
                  <w:shd w:val="clear" w:color="auto" w:fill="auto"/>
                  <w:vAlign w:val="center"/>
                </w:tcPr>
                <w:p w14:paraId="7D0AAB9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废水量</w:t>
                  </w:r>
                </w:p>
              </w:tc>
              <w:tc>
                <w:tcPr>
                  <w:tcW w:w="1222" w:type="dxa"/>
                  <w:tcBorders>
                    <w:top w:val="single" w:color="auto" w:sz="12" w:space="0"/>
                    <w:left w:val="single" w:color="auto" w:sz="12" w:space="0"/>
                    <w:bottom w:val="single" w:color="auto" w:sz="12" w:space="0"/>
                    <w:right w:val="single" w:color="auto" w:sz="12" w:space="0"/>
                  </w:tcBorders>
                  <w:shd w:val="clear" w:color="auto" w:fill="auto"/>
                  <w:vAlign w:val="center"/>
                </w:tcPr>
                <w:p w14:paraId="2661DAB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730000</w:t>
                  </w:r>
                </w:p>
              </w:tc>
              <w:tc>
                <w:tcPr>
                  <w:tcW w:w="1521" w:type="dxa"/>
                  <w:tcBorders>
                    <w:top w:val="single" w:color="auto" w:sz="12" w:space="0"/>
                    <w:left w:val="single" w:color="auto" w:sz="12" w:space="0"/>
                    <w:bottom w:val="single" w:color="auto" w:sz="12" w:space="0"/>
                    <w:right w:val="single" w:color="auto" w:sz="12" w:space="0"/>
                  </w:tcBorders>
                  <w:shd w:val="clear" w:color="auto" w:fill="auto"/>
                  <w:vAlign w:val="center"/>
                </w:tcPr>
                <w:p w14:paraId="0D3E01D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2372500</w:t>
                  </w:r>
                </w:p>
              </w:tc>
              <w:tc>
                <w:tcPr>
                  <w:tcW w:w="1571" w:type="dxa"/>
                  <w:tcBorders>
                    <w:top w:val="single" w:color="auto" w:sz="12" w:space="0"/>
                    <w:left w:val="single" w:color="auto" w:sz="12" w:space="0"/>
                    <w:bottom w:val="single" w:color="auto" w:sz="12" w:space="0"/>
                    <w:right w:val="single" w:color="auto" w:sz="12" w:space="0"/>
                  </w:tcBorders>
                  <w:shd w:val="clear" w:color="auto" w:fill="auto"/>
                  <w:vAlign w:val="center"/>
                </w:tcPr>
                <w:p w14:paraId="286A2D1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1825000</w:t>
                  </w:r>
                </w:p>
              </w:tc>
              <w:tc>
                <w:tcPr>
                  <w:tcW w:w="1554" w:type="dxa"/>
                  <w:tcBorders>
                    <w:top w:val="single" w:color="auto" w:sz="12" w:space="0"/>
                    <w:left w:val="single" w:color="auto" w:sz="12" w:space="0"/>
                    <w:bottom w:val="single" w:color="auto" w:sz="12" w:space="0"/>
                    <w:right w:val="single" w:color="auto" w:sz="12" w:space="0"/>
                  </w:tcBorders>
                  <w:shd w:val="clear" w:color="auto" w:fill="auto"/>
                  <w:vAlign w:val="center"/>
                </w:tcPr>
                <w:p w14:paraId="63B9A2F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730000</w:t>
                  </w:r>
                </w:p>
              </w:tc>
            </w:tr>
            <w:tr w14:paraId="75DA5F4C">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19" w:type="dxa"/>
                  <w:vMerge w:val="continue"/>
                  <w:tcBorders>
                    <w:top w:val="single" w:color="auto" w:sz="12" w:space="0"/>
                    <w:left w:val="single" w:color="auto" w:sz="4" w:space="0"/>
                    <w:bottom w:val="single" w:color="auto" w:sz="12" w:space="0"/>
                    <w:right w:val="single" w:color="auto" w:sz="12" w:space="0"/>
                  </w:tcBorders>
                  <w:shd w:val="clear" w:color="auto" w:fill="auto"/>
                  <w:vAlign w:val="center"/>
                </w:tcPr>
                <w:p w14:paraId="005C979E">
                  <w:pPr>
                    <w:jc w:val="center"/>
                    <w:rPr>
                      <w:rFonts w:hint="default" w:ascii="Times New Roman" w:hAnsi="Times New Roman" w:eastAsia="宋体" w:cs="Times New Roman"/>
                      <w:b/>
                      <w:bCs/>
                      <w:i w:val="0"/>
                      <w:iCs w:val="0"/>
                      <w:color w:val="auto"/>
                      <w:sz w:val="21"/>
                      <w:szCs w:val="21"/>
                      <w:u w:val="none"/>
                    </w:rPr>
                  </w:pPr>
                </w:p>
              </w:tc>
              <w:tc>
                <w:tcPr>
                  <w:tcW w:w="1328" w:type="dxa"/>
                  <w:tcBorders>
                    <w:top w:val="single" w:color="auto" w:sz="12" w:space="0"/>
                    <w:left w:val="single" w:color="auto" w:sz="12" w:space="0"/>
                    <w:bottom w:val="single" w:color="auto" w:sz="12" w:space="0"/>
                    <w:right w:val="single" w:color="auto" w:sz="12" w:space="0"/>
                  </w:tcBorders>
                  <w:shd w:val="clear" w:color="auto" w:fill="auto"/>
                  <w:vAlign w:val="center"/>
                </w:tcPr>
                <w:p w14:paraId="18D572D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CODCr</w:t>
                  </w:r>
                </w:p>
              </w:tc>
              <w:tc>
                <w:tcPr>
                  <w:tcW w:w="1222" w:type="dxa"/>
                  <w:tcBorders>
                    <w:top w:val="single" w:color="auto" w:sz="12" w:space="0"/>
                    <w:left w:val="single" w:color="auto" w:sz="12" w:space="0"/>
                    <w:bottom w:val="single" w:color="auto" w:sz="12" w:space="0"/>
                    <w:right w:val="single" w:color="auto" w:sz="12" w:space="0"/>
                  </w:tcBorders>
                  <w:shd w:val="clear" w:color="auto" w:fill="auto"/>
                  <w:vAlign w:val="center"/>
                </w:tcPr>
                <w:p w14:paraId="7CD41C6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18.25</w:t>
                  </w:r>
                </w:p>
              </w:tc>
              <w:tc>
                <w:tcPr>
                  <w:tcW w:w="1521" w:type="dxa"/>
                  <w:tcBorders>
                    <w:top w:val="single" w:color="auto" w:sz="12" w:space="0"/>
                    <w:left w:val="single" w:color="auto" w:sz="12" w:space="0"/>
                    <w:bottom w:val="single" w:color="auto" w:sz="12" w:space="0"/>
                    <w:right w:val="single" w:color="auto" w:sz="12" w:space="0"/>
                  </w:tcBorders>
                  <w:shd w:val="clear" w:color="auto" w:fill="auto"/>
                  <w:noWrap/>
                  <w:vAlign w:val="center"/>
                </w:tcPr>
                <w:p w14:paraId="07A93E1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59.31</w:t>
                  </w:r>
                </w:p>
              </w:tc>
              <w:tc>
                <w:tcPr>
                  <w:tcW w:w="1571" w:type="dxa"/>
                  <w:tcBorders>
                    <w:top w:val="single" w:color="auto" w:sz="12" w:space="0"/>
                    <w:left w:val="single" w:color="auto" w:sz="12" w:space="0"/>
                    <w:bottom w:val="single" w:color="auto" w:sz="12" w:space="0"/>
                    <w:right w:val="single" w:color="auto" w:sz="12" w:space="0"/>
                  </w:tcBorders>
                  <w:shd w:val="clear" w:color="auto" w:fill="auto"/>
                  <w:vAlign w:val="center"/>
                </w:tcPr>
                <w:p w14:paraId="175BAB4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45.63</w:t>
                  </w:r>
                </w:p>
              </w:tc>
              <w:tc>
                <w:tcPr>
                  <w:tcW w:w="1554" w:type="dxa"/>
                  <w:tcBorders>
                    <w:top w:val="single" w:color="auto" w:sz="12" w:space="0"/>
                    <w:left w:val="single" w:color="auto" w:sz="12" w:space="0"/>
                    <w:bottom w:val="single" w:color="auto" w:sz="12" w:space="0"/>
                    <w:right w:val="single" w:color="auto" w:sz="12" w:space="0"/>
                  </w:tcBorders>
                  <w:shd w:val="clear" w:color="auto" w:fill="auto"/>
                  <w:vAlign w:val="center"/>
                </w:tcPr>
                <w:p w14:paraId="360BB5C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18.25</w:t>
                  </w:r>
                </w:p>
              </w:tc>
            </w:tr>
            <w:tr w14:paraId="2800AE43">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19" w:type="dxa"/>
                  <w:vMerge w:val="continue"/>
                  <w:tcBorders>
                    <w:top w:val="single" w:color="auto" w:sz="12" w:space="0"/>
                    <w:left w:val="single" w:color="auto" w:sz="4" w:space="0"/>
                    <w:bottom w:val="single" w:color="auto" w:sz="12" w:space="0"/>
                    <w:right w:val="single" w:color="auto" w:sz="12" w:space="0"/>
                  </w:tcBorders>
                  <w:shd w:val="clear" w:color="auto" w:fill="auto"/>
                  <w:vAlign w:val="center"/>
                </w:tcPr>
                <w:p w14:paraId="3601EF8B">
                  <w:pPr>
                    <w:jc w:val="center"/>
                    <w:rPr>
                      <w:rFonts w:hint="default" w:ascii="Times New Roman" w:hAnsi="Times New Roman" w:eastAsia="宋体" w:cs="Times New Roman"/>
                      <w:b/>
                      <w:bCs/>
                      <w:i w:val="0"/>
                      <w:iCs w:val="0"/>
                      <w:color w:val="auto"/>
                      <w:sz w:val="21"/>
                      <w:szCs w:val="21"/>
                      <w:u w:val="none"/>
                    </w:rPr>
                  </w:pPr>
                </w:p>
              </w:tc>
              <w:tc>
                <w:tcPr>
                  <w:tcW w:w="1328" w:type="dxa"/>
                  <w:tcBorders>
                    <w:top w:val="single" w:color="auto" w:sz="12" w:space="0"/>
                    <w:left w:val="single" w:color="auto" w:sz="12" w:space="0"/>
                    <w:bottom w:val="single" w:color="auto" w:sz="12" w:space="0"/>
                    <w:right w:val="single" w:color="auto" w:sz="12" w:space="0"/>
                  </w:tcBorders>
                  <w:shd w:val="clear" w:color="auto" w:fill="auto"/>
                  <w:vAlign w:val="center"/>
                </w:tcPr>
                <w:p w14:paraId="3689050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vertAlign w:val="baseline"/>
                      <w:lang w:val="en-US" w:eastAsia="zh-CN" w:bidi="ar"/>
                    </w:rPr>
                    <w:t>BOD</w:t>
                  </w:r>
                  <w:r>
                    <w:rPr>
                      <w:rFonts w:hint="default" w:ascii="Times New Roman" w:hAnsi="Times New Roman" w:eastAsia="宋体" w:cs="Times New Roman"/>
                      <w:i w:val="0"/>
                      <w:iCs w:val="0"/>
                      <w:color w:val="auto"/>
                      <w:kern w:val="0"/>
                      <w:sz w:val="21"/>
                      <w:szCs w:val="21"/>
                      <w:u w:val="none"/>
                      <w:vertAlign w:val="subscript"/>
                      <w:lang w:val="en-US" w:eastAsia="zh-CN" w:bidi="ar"/>
                    </w:rPr>
                    <w:t>5</w:t>
                  </w:r>
                </w:p>
              </w:tc>
              <w:tc>
                <w:tcPr>
                  <w:tcW w:w="1222" w:type="dxa"/>
                  <w:tcBorders>
                    <w:top w:val="single" w:color="auto" w:sz="12" w:space="0"/>
                    <w:left w:val="single" w:color="auto" w:sz="12" w:space="0"/>
                    <w:bottom w:val="single" w:color="auto" w:sz="12" w:space="0"/>
                    <w:right w:val="single" w:color="auto" w:sz="12" w:space="0"/>
                  </w:tcBorders>
                  <w:shd w:val="clear" w:color="auto" w:fill="auto"/>
                  <w:vAlign w:val="center"/>
                </w:tcPr>
                <w:p w14:paraId="5123FC9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7.30</w:t>
                  </w:r>
                </w:p>
              </w:tc>
              <w:tc>
                <w:tcPr>
                  <w:tcW w:w="1521" w:type="dxa"/>
                  <w:tcBorders>
                    <w:top w:val="single" w:color="auto" w:sz="12" w:space="0"/>
                    <w:left w:val="single" w:color="auto" w:sz="12" w:space="0"/>
                    <w:bottom w:val="single" w:color="auto" w:sz="12" w:space="0"/>
                    <w:right w:val="single" w:color="auto" w:sz="12" w:space="0"/>
                  </w:tcBorders>
                  <w:shd w:val="clear" w:color="auto" w:fill="auto"/>
                  <w:noWrap/>
                  <w:vAlign w:val="center"/>
                </w:tcPr>
                <w:p w14:paraId="189B147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23.73</w:t>
                  </w:r>
                </w:p>
              </w:tc>
              <w:tc>
                <w:tcPr>
                  <w:tcW w:w="1571" w:type="dxa"/>
                  <w:tcBorders>
                    <w:top w:val="single" w:color="auto" w:sz="12" w:space="0"/>
                    <w:left w:val="single" w:color="auto" w:sz="12" w:space="0"/>
                    <w:bottom w:val="single" w:color="auto" w:sz="12" w:space="0"/>
                    <w:right w:val="single" w:color="auto" w:sz="12" w:space="0"/>
                  </w:tcBorders>
                  <w:shd w:val="clear" w:color="auto" w:fill="auto"/>
                  <w:vAlign w:val="center"/>
                </w:tcPr>
                <w:p w14:paraId="503D729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18.25</w:t>
                  </w:r>
                </w:p>
              </w:tc>
              <w:tc>
                <w:tcPr>
                  <w:tcW w:w="1554" w:type="dxa"/>
                  <w:tcBorders>
                    <w:top w:val="single" w:color="auto" w:sz="12" w:space="0"/>
                    <w:left w:val="single" w:color="auto" w:sz="12" w:space="0"/>
                    <w:bottom w:val="single" w:color="auto" w:sz="12" w:space="0"/>
                    <w:right w:val="single" w:color="auto" w:sz="12" w:space="0"/>
                  </w:tcBorders>
                  <w:shd w:val="clear" w:color="auto" w:fill="auto"/>
                  <w:vAlign w:val="center"/>
                </w:tcPr>
                <w:p w14:paraId="4149D51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7.30</w:t>
                  </w:r>
                </w:p>
              </w:tc>
            </w:tr>
            <w:tr w14:paraId="6AAA23BF">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19" w:type="dxa"/>
                  <w:vMerge w:val="continue"/>
                  <w:tcBorders>
                    <w:top w:val="single" w:color="auto" w:sz="12" w:space="0"/>
                    <w:left w:val="single" w:color="auto" w:sz="4" w:space="0"/>
                    <w:bottom w:val="single" w:color="auto" w:sz="12" w:space="0"/>
                    <w:right w:val="single" w:color="auto" w:sz="12" w:space="0"/>
                  </w:tcBorders>
                  <w:shd w:val="clear" w:color="auto" w:fill="auto"/>
                  <w:vAlign w:val="center"/>
                </w:tcPr>
                <w:p w14:paraId="4F62AD11">
                  <w:pPr>
                    <w:jc w:val="center"/>
                    <w:rPr>
                      <w:rFonts w:hint="default" w:ascii="Times New Roman" w:hAnsi="Times New Roman" w:eastAsia="宋体" w:cs="Times New Roman"/>
                      <w:b/>
                      <w:bCs/>
                      <w:i w:val="0"/>
                      <w:iCs w:val="0"/>
                      <w:color w:val="auto"/>
                      <w:sz w:val="21"/>
                      <w:szCs w:val="21"/>
                      <w:u w:val="none"/>
                    </w:rPr>
                  </w:pPr>
                </w:p>
              </w:tc>
              <w:tc>
                <w:tcPr>
                  <w:tcW w:w="1328" w:type="dxa"/>
                  <w:tcBorders>
                    <w:top w:val="single" w:color="auto" w:sz="12" w:space="0"/>
                    <w:left w:val="single" w:color="auto" w:sz="12" w:space="0"/>
                    <w:bottom w:val="single" w:color="auto" w:sz="12" w:space="0"/>
                    <w:right w:val="single" w:color="auto" w:sz="12" w:space="0"/>
                  </w:tcBorders>
                  <w:shd w:val="clear" w:color="auto" w:fill="auto"/>
                  <w:vAlign w:val="center"/>
                </w:tcPr>
                <w:p w14:paraId="475C226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SS</w:t>
                  </w:r>
                </w:p>
              </w:tc>
              <w:tc>
                <w:tcPr>
                  <w:tcW w:w="1222" w:type="dxa"/>
                  <w:tcBorders>
                    <w:top w:val="single" w:color="auto" w:sz="12" w:space="0"/>
                    <w:left w:val="single" w:color="auto" w:sz="12" w:space="0"/>
                    <w:bottom w:val="single" w:color="auto" w:sz="12" w:space="0"/>
                    <w:right w:val="single" w:color="auto" w:sz="12" w:space="0"/>
                  </w:tcBorders>
                  <w:shd w:val="clear" w:color="auto" w:fill="auto"/>
                  <w:vAlign w:val="center"/>
                </w:tcPr>
                <w:p w14:paraId="21C0E2D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7.30</w:t>
                  </w:r>
                </w:p>
              </w:tc>
              <w:tc>
                <w:tcPr>
                  <w:tcW w:w="1521" w:type="dxa"/>
                  <w:tcBorders>
                    <w:top w:val="single" w:color="auto" w:sz="12" w:space="0"/>
                    <w:left w:val="single" w:color="auto" w:sz="12" w:space="0"/>
                    <w:bottom w:val="single" w:color="auto" w:sz="12" w:space="0"/>
                    <w:right w:val="single" w:color="auto" w:sz="12" w:space="0"/>
                  </w:tcBorders>
                  <w:shd w:val="clear" w:color="auto" w:fill="auto"/>
                  <w:noWrap/>
                  <w:vAlign w:val="center"/>
                </w:tcPr>
                <w:p w14:paraId="4ABCEF5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23.73</w:t>
                  </w:r>
                </w:p>
              </w:tc>
              <w:tc>
                <w:tcPr>
                  <w:tcW w:w="1571" w:type="dxa"/>
                  <w:tcBorders>
                    <w:top w:val="single" w:color="auto" w:sz="12" w:space="0"/>
                    <w:left w:val="single" w:color="auto" w:sz="12" w:space="0"/>
                    <w:bottom w:val="single" w:color="auto" w:sz="12" w:space="0"/>
                    <w:right w:val="single" w:color="auto" w:sz="12" w:space="0"/>
                  </w:tcBorders>
                  <w:shd w:val="clear" w:color="auto" w:fill="auto"/>
                  <w:vAlign w:val="center"/>
                </w:tcPr>
                <w:p w14:paraId="5C257FE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18.25</w:t>
                  </w:r>
                </w:p>
              </w:tc>
              <w:tc>
                <w:tcPr>
                  <w:tcW w:w="1554" w:type="dxa"/>
                  <w:tcBorders>
                    <w:top w:val="single" w:color="auto" w:sz="12" w:space="0"/>
                    <w:left w:val="single" w:color="auto" w:sz="12" w:space="0"/>
                    <w:bottom w:val="single" w:color="auto" w:sz="12" w:space="0"/>
                    <w:right w:val="single" w:color="auto" w:sz="12" w:space="0"/>
                  </w:tcBorders>
                  <w:shd w:val="clear" w:color="auto" w:fill="auto"/>
                  <w:vAlign w:val="center"/>
                </w:tcPr>
                <w:p w14:paraId="0FC00C0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7.30</w:t>
                  </w:r>
                </w:p>
              </w:tc>
            </w:tr>
            <w:tr w14:paraId="0F46D681">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19" w:type="dxa"/>
                  <w:vMerge w:val="continue"/>
                  <w:tcBorders>
                    <w:top w:val="single" w:color="auto" w:sz="12" w:space="0"/>
                    <w:left w:val="single" w:color="auto" w:sz="4" w:space="0"/>
                    <w:bottom w:val="single" w:color="auto" w:sz="12" w:space="0"/>
                    <w:right w:val="single" w:color="auto" w:sz="12" w:space="0"/>
                  </w:tcBorders>
                  <w:shd w:val="clear" w:color="auto" w:fill="auto"/>
                  <w:vAlign w:val="center"/>
                </w:tcPr>
                <w:p w14:paraId="080FD1F1">
                  <w:pPr>
                    <w:jc w:val="center"/>
                    <w:rPr>
                      <w:rFonts w:hint="default" w:ascii="Times New Roman" w:hAnsi="Times New Roman" w:eastAsia="宋体" w:cs="Times New Roman"/>
                      <w:b/>
                      <w:bCs/>
                      <w:i w:val="0"/>
                      <w:iCs w:val="0"/>
                      <w:color w:val="auto"/>
                      <w:sz w:val="21"/>
                      <w:szCs w:val="21"/>
                      <w:u w:val="none"/>
                    </w:rPr>
                  </w:pPr>
                </w:p>
              </w:tc>
              <w:tc>
                <w:tcPr>
                  <w:tcW w:w="1328" w:type="dxa"/>
                  <w:tcBorders>
                    <w:top w:val="single" w:color="auto" w:sz="12" w:space="0"/>
                    <w:left w:val="single" w:color="auto" w:sz="12" w:space="0"/>
                    <w:bottom w:val="single" w:color="auto" w:sz="12" w:space="0"/>
                    <w:right w:val="single" w:color="auto" w:sz="12" w:space="0"/>
                  </w:tcBorders>
                  <w:shd w:val="clear" w:color="auto" w:fill="auto"/>
                  <w:vAlign w:val="center"/>
                </w:tcPr>
                <w:p w14:paraId="74DF63B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氨氮</w:t>
                  </w:r>
                </w:p>
              </w:tc>
              <w:tc>
                <w:tcPr>
                  <w:tcW w:w="1222" w:type="dxa"/>
                  <w:tcBorders>
                    <w:top w:val="single" w:color="auto" w:sz="12" w:space="0"/>
                    <w:left w:val="single" w:color="auto" w:sz="12" w:space="0"/>
                    <w:bottom w:val="single" w:color="auto" w:sz="12" w:space="0"/>
                    <w:right w:val="single" w:color="auto" w:sz="12" w:space="0"/>
                  </w:tcBorders>
                  <w:shd w:val="clear" w:color="auto" w:fill="auto"/>
                  <w:vAlign w:val="center"/>
                </w:tcPr>
                <w:p w14:paraId="1656924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2.19</w:t>
                  </w:r>
                </w:p>
              </w:tc>
              <w:tc>
                <w:tcPr>
                  <w:tcW w:w="1521" w:type="dxa"/>
                  <w:tcBorders>
                    <w:top w:val="single" w:color="auto" w:sz="12" w:space="0"/>
                    <w:left w:val="single" w:color="auto" w:sz="12" w:space="0"/>
                    <w:bottom w:val="single" w:color="auto" w:sz="12" w:space="0"/>
                    <w:right w:val="single" w:color="auto" w:sz="12" w:space="0"/>
                  </w:tcBorders>
                  <w:shd w:val="clear" w:color="auto" w:fill="auto"/>
                  <w:noWrap/>
                  <w:vAlign w:val="center"/>
                </w:tcPr>
                <w:p w14:paraId="6876675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7.12</w:t>
                  </w:r>
                </w:p>
              </w:tc>
              <w:tc>
                <w:tcPr>
                  <w:tcW w:w="1571" w:type="dxa"/>
                  <w:tcBorders>
                    <w:top w:val="single" w:color="auto" w:sz="12" w:space="0"/>
                    <w:left w:val="single" w:color="auto" w:sz="12" w:space="0"/>
                    <w:bottom w:val="single" w:color="auto" w:sz="12" w:space="0"/>
                    <w:right w:val="single" w:color="auto" w:sz="12" w:space="0"/>
                  </w:tcBorders>
                  <w:shd w:val="clear" w:color="auto" w:fill="auto"/>
                  <w:vAlign w:val="center"/>
                </w:tcPr>
                <w:p w14:paraId="2458E25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5.48</w:t>
                  </w:r>
                </w:p>
              </w:tc>
              <w:tc>
                <w:tcPr>
                  <w:tcW w:w="1554" w:type="dxa"/>
                  <w:tcBorders>
                    <w:top w:val="single" w:color="auto" w:sz="12" w:space="0"/>
                    <w:left w:val="single" w:color="auto" w:sz="12" w:space="0"/>
                    <w:bottom w:val="single" w:color="auto" w:sz="12" w:space="0"/>
                    <w:right w:val="single" w:color="auto" w:sz="12" w:space="0"/>
                  </w:tcBorders>
                  <w:shd w:val="clear" w:color="auto" w:fill="auto"/>
                  <w:vAlign w:val="center"/>
                </w:tcPr>
                <w:p w14:paraId="18BCFA8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2.19</w:t>
                  </w:r>
                </w:p>
              </w:tc>
            </w:tr>
            <w:tr w14:paraId="6AC3A1AC">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19" w:type="dxa"/>
                  <w:vMerge w:val="continue"/>
                  <w:tcBorders>
                    <w:top w:val="single" w:color="auto" w:sz="12" w:space="0"/>
                    <w:left w:val="single" w:color="auto" w:sz="4" w:space="0"/>
                    <w:bottom w:val="single" w:color="auto" w:sz="12" w:space="0"/>
                    <w:right w:val="single" w:color="auto" w:sz="12" w:space="0"/>
                  </w:tcBorders>
                  <w:shd w:val="clear" w:color="auto" w:fill="auto"/>
                  <w:vAlign w:val="center"/>
                </w:tcPr>
                <w:p w14:paraId="7A01112C">
                  <w:pPr>
                    <w:jc w:val="center"/>
                    <w:rPr>
                      <w:rFonts w:hint="default" w:ascii="Times New Roman" w:hAnsi="Times New Roman" w:eastAsia="宋体" w:cs="Times New Roman"/>
                      <w:b/>
                      <w:bCs/>
                      <w:i w:val="0"/>
                      <w:iCs w:val="0"/>
                      <w:color w:val="auto"/>
                      <w:sz w:val="21"/>
                      <w:szCs w:val="21"/>
                      <w:u w:val="none"/>
                    </w:rPr>
                  </w:pPr>
                </w:p>
              </w:tc>
              <w:tc>
                <w:tcPr>
                  <w:tcW w:w="1328" w:type="dxa"/>
                  <w:tcBorders>
                    <w:top w:val="single" w:color="auto" w:sz="12" w:space="0"/>
                    <w:left w:val="single" w:color="auto" w:sz="12" w:space="0"/>
                    <w:bottom w:val="single" w:color="auto" w:sz="12" w:space="0"/>
                    <w:right w:val="single" w:color="auto" w:sz="12" w:space="0"/>
                  </w:tcBorders>
                  <w:shd w:val="clear" w:color="auto" w:fill="auto"/>
                  <w:vAlign w:val="center"/>
                </w:tcPr>
                <w:p w14:paraId="17136D3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总氮</w:t>
                  </w:r>
                </w:p>
              </w:tc>
              <w:tc>
                <w:tcPr>
                  <w:tcW w:w="1222" w:type="dxa"/>
                  <w:tcBorders>
                    <w:top w:val="single" w:color="auto" w:sz="12" w:space="0"/>
                    <w:left w:val="single" w:color="auto" w:sz="12" w:space="0"/>
                    <w:bottom w:val="single" w:color="auto" w:sz="12" w:space="0"/>
                    <w:right w:val="single" w:color="auto" w:sz="12" w:space="0"/>
                  </w:tcBorders>
                  <w:shd w:val="clear" w:color="auto" w:fill="auto"/>
                  <w:vAlign w:val="center"/>
                </w:tcPr>
                <w:p w14:paraId="12047B3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7.30</w:t>
                  </w:r>
                </w:p>
              </w:tc>
              <w:tc>
                <w:tcPr>
                  <w:tcW w:w="1521" w:type="dxa"/>
                  <w:tcBorders>
                    <w:top w:val="single" w:color="auto" w:sz="12" w:space="0"/>
                    <w:left w:val="single" w:color="auto" w:sz="12" w:space="0"/>
                    <w:bottom w:val="single" w:color="auto" w:sz="12" w:space="0"/>
                    <w:right w:val="single" w:color="auto" w:sz="12" w:space="0"/>
                  </w:tcBorders>
                  <w:shd w:val="clear" w:color="auto" w:fill="auto"/>
                  <w:noWrap/>
                  <w:vAlign w:val="center"/>
                </w:tcPr>
                <w:p w14:paraId="0852FB4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23.73</w:t>
                  </w:r>
                </w:p>
              </w:tc>
              <w:tc>
                <w:tcPr>
                  <w:tcW w:w="1571" w:type="dxa"/>
                  <w:tcBorders>
                    <w:top w:val="single" w:color="auto" w:sz="12" w:space="0"/>
                    <w:left w:val="single" w:color="auto" w:sz="12" w:space="0"/>
                    <w:bottom w:val="single" w:color="auto" w:sz="12" w:space="0"/>
                    <w:right w:val="single" w:color="auto" w:sz="12" w:space="0"/>
                  </w:tcBorders>
                  <w:shd w:val="clear" w:color="auto" w:fill="auto"/>
                  <w:vAlign w:val="center"/>
                </w:tcPr>
                <w:p w14:paraId="4813442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18.25</w:t>
                  </w:r>
                </w:p>
              </w:tc>
              <w:tc>
                <w:tcPr>
                  <w:tcW w:w="1554" w:type="dxa"/>
                  <w:tcBorders>
                    <w:top w:val="single" w:color="auto" w:sz="12" w:space="0"/>
                    <w:left w:val="single" w:color="auto" w:sz="12" w:space="0"/>
                    <w:bottom w:val="single" w:color="auto" w:sz="12" w:space="0"/>
                    <w:right w:val="single" w:color="auto" w:sz="12" w:space="0"/>
                  </w:tcBorders>
                  <w:shd w:val="clear" w:color="auto" w:fill="auto"/>
                  <w:vAlign w:val="center"/>
                </w:tcPr>
                <w:p w14:paraId="14B4EBB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7.30</w:t>
                  </w:r>
                </w:p>
              </w:tc>
            </w:tr>
            <w:tr w14:paraId="40B3C826">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19" w:type="dxa"/>
                  <w:vMerge w:val="continue"/>
                  <w:tcBorders>
                    <w:top w:val="single" w:color="auto" w:sz="12" w:space="0"/>
                    <w:left w:val="single" w:color="auto" w:sz="4" w:space="0"/>
                    <w:bottom w:val="single" w:color="auto" w:sz="12" w:space="0"/>
                    <w:right w:val="single" w:color="auto" w:sz="12" w:space="0"/>
                  </w:tcBorders>
                  <w:shd w:val="clear" w:color="auto" w:fill="auto"/>
                  <w:vAlign w:val="center"/>
                </w:tcPr>
                <w:p w14:paraId="673EBD5E">
                  <w:pPr>
                    <w:jc w:val="center"/>
                    <w:rPr>
                      <w:rFonts w:hint="default" w:ascii="Times New Roman" w:hAnsi="Times New Roman" w:eastAsia="宋体" w:cs="Times New Roman"/>
                      <w:b/>
                      <w:bCs/>
                      <w:i w:val="0"/>
                      <w:iCs w:val="0"/>
                      <w:color w:val="auto"/>
                      <w:sz w:val="21"/>
                      <w:szCs w:val="21"/>
                      <w:u w:val="none"/>
                    </w:rPr>
                  </w:pPr>
                </w:p>
              </w:tc>
              <w:tc>
                <w:tcPr>
                  <w:tcW w:w="1328" w:type="dxa"/>
                  <w:tcBorders>
                    <w:top w:val="single" w:color="auto" w:sz="12" w:space="0"/>
                    <w:left w:val="single" w:color="auto" w:sz="12" w:space="0"/>
                    <w:bottom w:val="single" w:color="auto" w:sz="12" w:space="0"/>
                    <w:right w:val="single" w:color="auto" w:sz="12" w:space="0"/>
                  </w:tcBorders>
                  <w:shd w:val="clear" w:color="auto" w:fill="auto"/>
                  <w:vAlign w:val="center"/>
                </w:tcPr>
                <w:p w14:paraId="7C2AACB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总磷</w:t>
                  </w:r>
                </w:p>
              </w:tc>
              <w:tc>
                <w:tcPr>
                  <w:tcW w:w="1222" w:type="dxa"/>
                  <w:tcBorders>
                    <w:top w:val="single" w:color="auto" w:sz="12" w:space="0"/>
                    <w:left w:val="single" w:color="auto" w:sz="12" w:space="0"/>
                    <w:bottom w:val="single" w:color="auto" w:sz="12" w:space="0"/>
                    <w:right w:val="single" w:color="auto" w:sz="12" w:space="0"/>
                  </w:tcBorders>
                  <w:shd w:val="clear" w:color="auto" w:fill="auto"/>
                  <w:vAlign w:val="center"/>
                </w:tcPr>
                <w:p w14:paraId="47EA867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0.18</w:t>
                  </w:r>
                </w:p>
              </w:tc>
              <w:tc>
                <w:tcPr>
                  <w:tcW w:w="1521" w:type="dxa"/>
                  <w:tcBorders>
                    <w:top w:val="single" w:color="auto" w:sz="12" w:space="0"/>
                    <w:left w:val="single" w:color="auto" w:sz="12" w:space="0"/>
                    <w:bottom w:val="single" w:color="auto" w:sz="12" w:space="0"/>
                    <w:right w:val="single" w:color="auto" w:sz="12" w:space="0"/>
                  </w:tcBorders>
                  <w:shd w:val="clear" w:color="auto" w:fill="auto"/>
                  <w:noWrap/>
                  <w:vAlign w:val="center"/>
                </w:tcPr>
                <w:p w14:paraId="2D1E7FB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0.59</w:t>
                  </w:r>
                </w:p>
              </w:tc>
              <w:tc>
                <w:tcPr>
                  <w:tcW w:w="1571" w:type="dxa"/>
                  <w:tcBorders>
                    <w:top w:val="single" w:color="auto" w:sz="12" w:space="0"/>
                    <w:left w:val="single" w:color="auto" w:sz="12" w:space="0"/>
                    <w:bottom w:val="single" w:color="auto" w:sz="12" w:space="0"/>
                    <w:right w:val="single" w:color="auto" w:sz="12" w:space="0"/>
                  </w:tcBorders>
                  <w:shd w:val="clear" w:color="auto" w:fill="auto"/>
                  <w:vAlign w:val="center"/>
                </w:tcPr>
                <w:p w14:paraId="3C5F230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0.46</w:t>
                  </w:r>
                </w:p>
              </w:tc>
              <w:tc>
                <w:tcPr>
                  <w:tcW w:w="1554" w:type="dxa"/>
                  <w:tcBorders>
                    <w:top w:val="single" w:color="auto" w:sz="12" w:space="0"/>
                    <w:left w:val="single" w:color="auto" w:sz="12" w:space="0"/>
                    <w:bottom w:val="single" w:color="auto" w:sz="12" w:space="0"/>
                    <w:right w:val="single" w:color="auto" w:sz="12" w:space="0"/>
                  </w:tcBorders>
                  <w:shd w:val="clear" w:color="auto" w:fill="auto"/>
                  <w:vAlign w:val="center"/>
                </w:tcPr>
                <w:p w14:paraId="21C8C5E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0.18</w:t>
                  </w:r>
                </w:p>
              </w:tc>
            </w:tr>
            <w:tr w14:paraId="267724D5">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19" w:type="dxa"/>
                  <w:vMerge w:val="restart"/>
                  <w:tcBorders>
                    <w:top w:val="single" w:color="auto" w:sz="12" w:space="0"/>
                    <w:left w:val="single" w:color="auto" w:sz="4" w:space="0"/>
                    <w:bottom w:val="single" w:color="auto" w:sz="12" w:space="0"/>
                    <w:right w:val="single" w:color="auto" w:sz="12" w:space="0"/>
                  </w:tcBorders>
                  <w:shd w:val="clear" w:color="auto" w:fill="auto"/>
                  <w:vAlign w:val="center"/>
                </w:tcPr>
                <w:p w14:paraId="395CBAB7">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废气</w:t>
                  </w:r>
                </w:p>
              </w:tc>
              <w:tc>
                <w:tcPr>
                  <w:tcW w:w="1328" w:type="dxa"/>
                  <w:tcBorders>
                    <w:top w:val="single" w:color="auto" w:sz="12" w:space="0"/>
                    <w:left w:val="single" w:color="auto" w:sz="12" w:space="0"/>
                    <w:bottom w:val="single" w:color="auto" w:sz="12" w:space="0"/>
                    <w:right w:val="single" w:color="auto" w:sz="12" w:space="0"/>
                  </w:tcBorders>
                  <w:shd w:val="clear" w:color="auto" w:fill="auto"/>
                  <w:vAlign w:val="center"/>
                </w:tcPr>
                <w:p w14:paraId="5CDD5C5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N</w:t>
                  </w:r>
                  <w:r>
                    <w:rPr>
                      <w:rFonts w:hint="default" w:ascii="Times New Roman" w:hAnsi="Times New Roman" w:eastAsia="宋体" w:cs="Times New Roman"/>
                      <w:i w:val="0"/>
                      <w:iCs w:val="0"/>
                      <w:color w:val="auto"/>
                      <w:kern w:val="0"/>
                      <w:sz w:val="21"/>
                      <w:szCs w:val="21"/>
                      <w:u w:val="none"/>
                      <w:vertAlign w:val="baseline"/>
                      <w:lang w:val="en-US" w:eastAsia="zh-CN" w:bidi="ar"/>
                    </w:rPr>
                    <w:t>H</w:t>
                  </w:r>
                  <w:r>
                    <w:rPr>
                      <w:rFonts w:hint="default" w:ascii="Times New Roman" w:hAnsi="Times New Roman" w:eastAsia="宋体" w:cs="Times New Roman"/>
                      <w:i w:val="0"/>
                      <w:iCs w:val="0"/>
                      <w:color w:val="auto"/>
                      <w:kern w:val="0"/>
                      <w:sz w:val="21"/>
                      <w:szCs w:val="21"/>
                      <w:u w:val="none"/>
                      <w:vertAlign w:val="subscript"/>
                      <w:lang w:val="en-US" w:eastAsia="zh-CN" w:bidi="ar"/>
                    </w:rPr>
                    <w:t>3</w:t>
                  </w:r>
                </w:p>
              </w:tc>
              <w:tc>
                <w:tcPr>
                  <w:tcW w:w="1222" w:type="dxa"/>
                  <w:tcBorders>
                    <w:top w:val="single" w:color="auto" w:sz="12" w:space="0"/>
                    <w:left w:val="single" w:color="auto" w:sz="12" w:space="0"/>
                    <w:bottom w:val="single" w:color="auto" w:sz="12" w:space="0"/>
                    <w:right w:val="single" w:color="auto" w:sz="12" w:space="0"/>
                  </w:tcBorders>
                  <w:shd w:val="clear" w:color="auto" w:fill="auto"/>
                  <w:vAlign w:val="center"/>
                </w:tcPr>
                <w:p w14:paraId="0380403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0.043</w:t>
                  </w:r>
                </w:p>
              </w:tc>
              <w:tc>
                <w:tcPr>
                  <w:tcW w:w="1521" w:type="dxa"/>
                  <w:tcBorders>
                    <w:top w:val="single" w:color="auto" w:sz="12" w:space="0"/>
                    <w:left w:val="single" w:color="auto" w:sz="12" w:space="0"/>
                    <w:bottom w:val="single" w:color="auto" w:sz="12" w:space="0"/>
                    <w:right w:val="single" w:color="auto" w:sz="12" w:space="0"/>
                  </w:tcBorders>
                  <w:shd w:val="clear" w:color="auto" w:fill="auto"/>
                  <w:noWrap/>
                  <w:vAlign w:val="center"/>
                </w:tcPr>
                <w:p w14:paraId="03E5976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0.140</w:t>
                  </w:r>
                </w:p>
              </w:tc>
              <w:tc>
                <w:tcPr>
                  <w:tcW w:w="1571" w:type="dxa"/>
                  <w:tcBorders>
                    <w:top w:val="single" w:color="auto" w:sz="12" w:space="0"/>
                    <w:left w:val="single" w:color="auto" w:sz="12" w:space="0"/>
                    <w:bottom w:val="single" w:color="auto" w:sz="12" w:space="0"/>
                    <w:right w:val="single" w:color="auto" w:sz="12" w:space="0"/>
                  </w:tcBorders>
                  <w:shd w:val="clear" w:color="auto" w:fill="auto"/>
                  <w:vAlign w:val="center"/>
                </w:tcPr>
                <w:p w14:paraId="26F59A4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0.107</w:t>
                  </w:r>
                </w:p>
              </w:tc>
              <w:tc>
                <w:tcPr>
                  <w:tcW w:w="1554" w:type="dxa"/>
                  <w:tcBorders>
                    <w:top w:val="single" w:color="auto" w:sz="12" w:space="0"/>
                    <w:left w:val="single" w:color="auto" w:sz="12" w:space="0"/>
                    <w:bottom w:val="single" w:color="auto" w:sz="12" w:space="0"/>
                    <w:right w:val="single" w:color="auto" w:sz="12" w:space="0"/>
                  </w:tcBorders>
                  <w:shd w:val="clear" w:color="auto" w:fill="auto"/>
                  <w:vAlign w:val="center"/>
                </w:tcPr>
                <w:p w14:paraId="4C0E00F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0.043</w:t>
                  </w:r>
                </w:p>
              </w:tc>
            </w:tr>
            <w:tr w14:paraId="77CD5182">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19" w:type="dxa"/>
                  <w:vMerge w:val="continue"/>
                  <w:tcBorders>
                    <w:top w:val="single" w:color="auto" w:sz="12" w:space="0"/>
                    <w:left w:val="single" w:color="auto" w:sz="4" w:space="0"/>
                    <w:bottom w:val="single" w:color="auto" w:sz="12" w:space="0"/>
                    <w:right w:val="single" w:color="auto" w:sz="12" w:space="0"/>
                  </w:tcBorders>
                  <w:shd w:val="clear" w:color="auto" w:fill="auto"/>
                  <w:vAlign w:val="center"/>
                </w:tcPr>
                <w:p w14:paraId="51C03416">
                  <w:pPr>
                    <w:jc w:val="center"/>
                    <w:rPr>
                      <w:rFonts w:hint="default" w:ascii="Times New Roman" w:hAnsi="Times New Roman" w:eastAsia="宋体" w:cs="Times New Roman"/>
                      <w:b/>
                      <w:bCs/>
                      <w:i w:val="0"/>
                      <w:iCs w:val="0"/>
                      <w:color w:val="auto"/>
                      <w:sz w:val="21"/>
                      <w:szCs w:val="21"/>
                      <w:u w:val="none"/>
                    </w:rPr>
                  </w:pPr>
                </w:p>
              </w:tc>
              <w:tc>
                <w:tcPr>
                  <w:tcW w:w="1328" w:type="dxa"/>
                  <w:tcBorders>
                    <w:top w:val="single" w:color="auto" w:sz="12" w:space="0"/>
                    <w:left w:val="single" w:color="auto" w:sz="12" w:space="0"/>
                    <w:bottom w:val="single" w:color="auto" w:sz="12" w:space="0"/>
                    <w:right w:val="single" w:color="auto" w:sz="12" w:space="0"/>
                  </w:tcBorders>
                  <w:shd w:val="clear" w:color="auto" w:fill="auto"/>
                  <w:vAlign w:val="center"/>
                </w:tcPr>
                <w:p w14:paraId="0FF673E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vertAlign w:val="baseline"/>
                      <w:lang w:val="en-US" w:eastAsia="zh-CN" w:bidi="ar"/>
                    </w:rPr>
                    <w:t>H</w:t>
                  </w:r>
                  <w:r>
                    <w:rPr>
                      <w:rFonts w:hint="default" w:ascii="Times New Roman" w:hAnsi="Times New Roman" w:eastAsia="宋体" w:cs="Times New Roman"/>
                      <w:i w:val="0"/>
                      <w:iCs w:val="0"/>
                      <w:color w:val="auto"/>
                      <w:kern w:val="0"/>
                      <w:sz w:val="21"/>
                      <w:szCs w:val="21"/>
                      <w:u w:val="none"/>
                      <w:vertAlign w:val="subscript"/>
                      <w:lang w:val="en-US" w:eastAsia="zh-CN" w:bidi="ar"/>
                    </w:rPr>
                    <w:t>2</w:t>
                  </w:r>
                  <w:r>
                    <w:rPr>
                      <w:rFonts w:hint="default" w:ascii="Times New Roman" w:hAnsi="Times New Roman" w:eastAsia="宋体" w:cs="Times New Roman"/>
                      <w:i w:val="0"/>
                      <w:iCs w:val="0"/>
                      <w:color w:val="auto"/>
                      <w:kern w:val="0"/>
                      <w:sz w:val="21"/>
                      <w:szCs w:val="21"/>
                      <w:u w:val="none"/>
                      <w:lang w:val="en-US" w:eastAsia="zh-CN" w:bidi="ar"/>
                    </w:rPr>
                    <w:t>S</w:t>
                  </w:r>
                </w:p>
              </w:tc>
              <w:tc>
                <w:tcPr>
                  <w:tcW w:w="1222" w:type="dxa"/>
                  <w:tcBorders>
                    <w:top w:val="single" w:color="auto" w:sz="12" w:space="0"/>
                    <w:left w:val="single" w:color="auto" w:sz="12" w:space="0"/>
                    <w:bottom w:val="single" w:color="auto" w:sz="12" w:space="0"/>
                    <w:right w:val="single" w:color="auto" w:sz="12" w:space="0"/>
                  </w:tcBorders>
                  <w:shd w:val="clear" w:color="auto" w:fill="auto"/>
                  <w:vAlign w:val="center"/>
                </w:tcPr>
                <w:p w14:paraId="7CFDE44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0.002</w:t>
                  </w:r>
                </w:p>
              </w:tc>
              <w:tc>
                <w:tcPr>
                  <w:tcW w:w="1521" w:type="dxa"/>
                  <w:tcBorders>
                    <w:top w:val="single" w:color="auto" w:sz="12" w:space="0"/>
                    <w:left w:val="single" w:color="auto" w:sz="12" w:space="0"/>
                    <w:bottom w:val="single" w:color="auto" w:sz="12" w:space="0"/>
                    <w:right w:val="single" w:color="auto" w:sz="12" w:space="0"/>
                  </w:tcBorders>
                  <w:shd w:val="clear" w:color="auto" w:fill="auto"/>
                  <w:noWrap/>
                  <w:vAlign w:val="center"/>
                </w:tcPr>
                <w:p w14:paraId="73E366F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0.005</w:t>
                  </w:r>
                </w:p>
              </w:tc>
              <w:tc>
                <w:tcPr>
                  <w:tcW w:w="1571" w:type="dxa"/>
                  <w:tcBorders>
                    <w:top w:val="single" w:color="auto" w:sz="12" w:space="0"/>
                    <w:left w:val="single" w:color="auto" w:sz="12" w:space="0"/>
                    <w:bottom w:val="single" w:color="auto" w:sz="12" w:space="0"/>
                    <w:right w:val="single" w:color="auto" w:sz="12" w:space="0"/>
                  </w:tcBorders>
                  <w:shd w:val="clear" w:color="auto" w:fill="auto"/>
                  <w:vAlign w:val="center"/>
                </w:tcPr>
                <w:p w14:paraId="1EFFF53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0.004</w:t>
                  </w:r>
                </w:p>
              </w:tc>
              <w:tc>
                <w:tcPr>
                  <w:tcW w:w="1554" w:type="dxa"/>
                  <w:tcBorders>
                    <w:top w:val="single" w:color="auto" w:sz="12" w:space="0"/>
                    <w:left w:val="single" w:color="auto" w:sz="12" w:space="0"/>
                    <w:bottom w:val="single" w:color="auto" w:sz="12" w:space="0"/>
                    <w:right w:val="single" w:color="auto" w:sz="12" w:space="0"/>
                  </w:tcBorders>
                  <w:shd w:val="clear" w:color="auto" w:fill="auto"/>
                  <w:vAlign w:val="center"/>
                </w:tcPr>
                <w:p w14:paraId="4183BA8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0.002</w:t>
                  </w:r>
                </w:p>
              </w:tc>
            </w:tr>
            <w:tr w14:paraId="738BF818">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19" w:type="dxa"/>
                  <w:vMerge w:val="restart"/>
                  <w:tcBorders>
                    <w:top w:val="single" w:color="auto" w:sz="12" w:space="0"/>
                    <w:left w:val="single" w:color="auto" w:sz="4" w:space="0"/>
                    <w:bottom w:val="single" w:color="auto" w:sz="12" w:space="0"/>
                    <w:right w:val="single" w:color="auto" w:sz="12" w:space="0"/>
                  </w:tcBorders>
                  <w:shd w:val="clear" w:color="auto" w:fill="auto"/>
                  <w:vAlign w:val="center"/>
                </w:tcPr>
                <w:p w14:paraId="60038AFC">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固体废物</w:t>
                  </w:r>
                </w:p>
              </w:tc>
              <w:tc>
                <w:tcPr>
                  <w:tcW w:w="1328" w:type="dxa"/>
                  <w:tcBorders>
                    <w:top w:val="single" w:color="auto" w:sz="12" w:space="0"/>
                    <w:left w:val="single" w:color="auto" w:sz="12" w:space="0"/>
                    <w:bottom w:val="single" w:color="auto" w:sz="12" w:space="0"/>
                    <w:right w:val="single" w:color="auto" w:sz="12" w:space="0"/>
                  </w:tcBorders>
                  <w:shd w:val="clear" w:color="auto" w:fill="auto"/>
                  <w:vAlign w:val="center"/>
                </w:tcPr>
                <w:p w14:paraId="5862E36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生活垃圾</w:t>
                  </w:r>
                </w:p>
              </w:tc>
              <w:tc>
                <w:tcPr>
                  <w:tcW w:w="1222" w:type="dxa"/>
                  <w:tcBorders>
                    <w:top w:val="single" w:color="auto" w:sz="12" w:space="0"/>
                    <w:left w:val="single" w:color="auto" w:sz="12" w:space="0"/>
                    <w:bottom w:val="single" w:color="auto" w:sz="12" w:space="0"/>
                    <w:right w:val="single" w:color="auto" w:sz="12" w:space="0"/>
                  </w:tcBorders>
                  <w:shd w:val="clear" w:color="auto" w:fill="auto"/>
                  <w:noWrap/>
                  <w:vAlign w:val="center"/>
                </w:tcPr>
                <w:p w14:paraId="4F8176B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3.3</w:t>
                  </w:r>
                </w:p>
              </w:tc>
              <w:tc>
                <w:tcPr>
                  <w:tcW w:w="1521" w:type="dxa"/>
                  <w:tcBorders>
                    <w:top w:val="single" w:color="auto" w:sz="12" w:space="0"/>
                    <w:left w:val="single" w:color="auto" w:sz="12" w:space="0"/>
                    <w:bottom w:val="single" w:color="auto" w:sz="12" w:space="0"/>
                    <w:right w:val="single" w:color="auto" w:sz="12" w:space="0"/>
                  </w:tcBorders>
                  <w:shd w:val="clear" w:color="auto" w:fill="auto"/>
                  <w:noWrap/>
                  <w:vAlign w:val="center"/>
                </w:tcPr>
                <w:p w14:paraId="4EA7206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3.3</w:t>
                  </w:r>
                </w:p>
              </w:tc>
              <w:tc>
                <w:tcPr>
                  <w:tcW w:w="1571" w:type="dxa"/>
                  <w:tcBorders>
                    <w:top w:val="single" w:color="auto" w:sz="12" w:space="0"/>
                    <w:left w:val="single" w:color="auto" w:sz="12" w:space="0"/>
                    <w:bottom w:val="single" w:color="auto" w:sz="12" w:space="0"/>
                    <w:right w:val="single" w:color="auto" w:sz="12" w:space="0"/>
                  </w:tcBorders>
                  <w:shd w:val="clear" w:color="auto" w:fill="auto"/>
                  <w:vAlign w:val="center"/>
                </w:tcPr>
                <w:p w14:paraId="6BB997F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1554" w:type="dxa"/>
                  <w:tcBorders>
                    <w:top w:val="single" w:color="auto" w:sz="12" w:space="0"/>
                    <w:left w:val="single" w:color="auto" w:sz="12" w:space="0"/>
                    <w:bottom w:val="single" w:color="auto" w:sz="12" w:space="0"/>
                    <w:right w:val="single" w:color="auto" w:sz="12" w:space="0"/>
                  </w:tcBorders>
                  <w:shd w:val="clear" w:color="auto" w:fill="auto"/>
                  <w:vAlign w:val="center"/>
                </w:tcPr>
                <w:p w14:paraId="1F7F0D4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cs="Times New Roman"/>
                      <w:i w:val="0"/>
                      <w:iCs w:val="0"/>
                      <w:color w:val="auto"/>
                      <w:kern w:val="0"/>
                      <w:sz w:val="21"/>
                      <w:szCs w:val="21"/>
                      <w:u w:val="none"/>
                      <w:lang w:val="en-US" w:eastAsia="zh-CN" w:bidi="ar"/>
                    </w:rPr>
                    <w:t>0</w:t>
                  </w:r>
                </w:p>
              </w:tc>
            </w:tr>
            <w:tr w14:paraId="3E1EA004">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19" w:type="dxa"/>
                  <w:vMerge w:val="continue"/>
                  <w:tcBorders>
                    <w:top w:val="single" w:color="auto" w:sz="12" w:space="0"/>
                    <w:left w:val="single" w:color="auto" w:sz="4" w:space="0"/>
                    <w:right w:val="single" w:color="auto" w:sz="12" w:space="0"/>
                    <w:tl2br w:val="nil"/>
                    <w:tr2bl w:val="nil"/>
                  </w:tcBorders>
                  <w:shd w:val="clear" w:color="auto" w:fill="auto"/>
                  <w:vAlign w:val="center"/>
                </w:tcPr>
                <w:p w14:paraId="4190EB37">
                  <w:pPr>
                    <w:jc w:val="center"/>
                    <w:rPr>
                      <w:rFonts w:hint="default" w:ascii="Times New Roman" w:hAnsi="Times New Roman" w:eastAsia="宋体" w:cs="Times New Roman"/>
                      <w:i w:val="0"/>
                      <w:iCs w:val="0"/>
                      <w:color w:val="auto"/>
                      <w:sz w:val="21"/>
                      <w:szCs w:val="21"/>
                      <w:u w:val="none"/>
                    </w:rPr>
                  </w:pPr>
                </w:p>
              </w:tc>
              <w:tc>
                <w:tcPr>
                  <w:tcW w:w="1328" w:type="dxa"/>
                  <w:tcBorders>
                    <w:top w:val="single" w:color="auto" w:sz="12" w:space="0"/>
                    <w:left w:val="single" w:color="auto" w:sz="12" w:space="0"/>
                    <w:bottom w:val="single" w:color="auto" w:sz="12" w:space="0"/>
                    <w:right w:val="single" w:color="auto" w:sz="12" w:space="0"/>
                  </w:tcBorders>
                  <w:shd w:val="clear" w:color="auto" w:fill="auto"/>
                  <w:vAlign w:val="center"/>
                </w:tcPr>
                <w:p w14:paraId="781BD02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栅渣</w:t>
                  </w:r>
                </w:p>
              </w:tc>
              <w:tc>
                <w:tcPr>
                  <w:tcW w:w="1222" w:type="dxa"/>
                  <w:tcBorders>
                    <w:top w:val="single" w:color="auto" w:sz="12" w:space="0"/>
                    <w:left w:val="single" w:color="auto" w:sz="12" w:space="0"/>
                    <w:bottom w:val="single" w:color="auto" w:sz="12" w:space="0"/>
                    <w:right w:val="single" w:color="auto" w:sz="12" w:space="0"/>
                  </w:tcBorders>
                  <w:shd w:val="clear" w:color="auto" w:fill="auto"/>
                  <w:vAlign w:val="center"/>
                </w:tcPr>
                <w:p w14:paraId="4A974D2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w:t>
                  </w:r>
                </w:p>
              </w:tc>
              <w:tc>
                <w:tcPr>
                  <w:tcW w:w="1521" w:type="dxa"/>
                  <w:tcBorders>
                    <w:top w:val="single" w:color="auto" w:sz="12" w:space="0"/>
                    <w:left w:val="single" w:color="auto" w:sz="12" w:space="0"/>
                    <w:bottom w:val="single" w:color="auto" w:sz="12" w:space="0"/>
                    <w:right w:val="single" w:color="auto" w:sz="12" w:space="0"/>
                  </w:tcBorders>
                  <w:shd w:val="clear" w:color="auto" w:fill="auto"/>
                  <w:noWrap/>
                  <w:vAlign w:val="center"/>
                </w:tcPr>
                <w:p w14:paraId="3C958A5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38</w:t>
                  </w:r>
                </w:p>
              </w:tc>
              <w:tc>
                <w:tcPr>
                  <w:tcW w:w="1571" w:type="dxa"/>
                  <w:tcBorders>
                    <w:top w:val="single" w:color="auto" w:sz="12" w:space="0"/>
                    <w:left w:val="single" w:color="auto" w:sz="12" w:space="0"/>
                    <w:bottom w:val="single" w:color="auto" w:sz="12" w:space="0"/>
                    <w:right w:val="single" w:color="auto" w:sz="12" w:space="0"/>
                  </w:tcBorders>
                  <w:shd w:val="clear" w:color="auto" w:fill="auto"/>
                  <w:vAlign w:val="center"/>
                </w:tcPr>
                <w:p w14:paraId="328E3D2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554" w:type="dxa"/>
                  <w:tcBorders>
                    <w:top w:val="single" w:color="auto" w:sz="12" w:space="0"/>
                    <w:left w:val="single" w:color="auto" w:sz="12" w:space="0"/>
                    <w:bottom w:val="single" w:color="auto" w:sz="12" w:space="0"/>
                    <w:right w:val="single" w:color="auto" w:sz="12" w:space="0"/>
                  </w:tcBorders>
                  <w:shd w:val="clear" w:color="auto" w:fill="auto"/>
                  <w:vAlign w:val="center"/>
                </w:tcPr>
                <w:p w14:paraId="79A24B0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12</w:t>
                  </w:r>
                </w:p>
              </w:tc>
            </w:tr>
            <w:tr w14:paraId="0E6B8EE5">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19" w:type="dxa"/>
                  <w:vMerge w:val="continue"/>
                  <w:tcBorders>
                    <w:left w:val="single" w:color="auto" w:sz="4" w:space="0"/>
                    <w:right w:val="single" w:color="auto" w:sz="12" w:space="0"/>
                    <w:tl2br w:val="nil"/>
                    <w:tr2bl w:val="nil"/>
                  </w:tcBorders>
                  <w:shd w:val="clear" w:color="auto" w:fill="auto"/>
                  <w:vAlign w:val="center"/>
                </w:tcPr>
                <w:p w14:paraId="255884E0">
                  <w:pPr>
                    <w:jc w:val="center"/>
                    <w:rPr>
                      <w:rFonts w:hint="default" w:ascii="Times New Roman" w:hAnsi="Times New Roman" w:eastAsia="宋体" w:cs="Times New Roman"/>
                      <w:i w:val="0"/>
                      <w:iCs w:val="0"/>
                      <w:color w:val="auto"/>
                      <w:sz w:val="21"/>
                      <w:szCs w:val="21"/>
                      <w:u w:val="none"/>
                    </w:rPr>
                  </w:pPr>
                </w:p>
              </w:tc>
              <w:tc>
                <w:tcPr>
                  <w:tcW w:w="1328" w:type="dxa"/>
                  <w:tcBorders>
                    <w:top w:val="single" w:color="auto" w:sz="12" w:space="0"/>
                    <w:left w:val="single" w:color="auto" w:sz="12" w:space="0"/>
                    <w:bottom w:val="single" w:color="auto" w:sz="12" w:space="0"/>
                    <w:right w:val="single" w:color="auto" w:sz="12" w:space="0"/>
                  </w:tcBorders>
                  <w:shd w:val="clear" w:color="auto" w:fill="auto"/>
                  <w:vAlign w:val="center"/>
                </w:tcPr>
                <w:p w14:paraId="4DAE469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沉砂</w:t>
                  </w:r>
                </w:p>
              </w:tc>
              <w:tc>
                <w:tcPr>
                  <w:tcW w:w="1222" w:type="dxa"/>
                  <w:tcBorders>
                    <w:top w:val="single" w:color="auto" w:sz="12" w:space="0"/>
                    <w:left w:val="single" w:color="auto" w:sz="12" w:space="0"/>
                    <w:bottom w:val="single" w:color="auto" w:sz="12" w:space="0"/>
                    <w:right w:val="single" w:color="auto" w:sz="12" w:space="0"/>
                  </w:tcBorders>
                  <w:shd w:val="clear" w:color="auto" w:fill="auto"/>
                  <w:vAlign w:val="center"/>
                </w:tcPr>
                <w:p w14:paraId="6B236C3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w:t>
                  </w:r>
                </w:p>
              </w:tc>
              <w:tc>
                <w:tcPr>
                  <w:tcW w:w="1521" w:type="dxa"/>
                  <w:tcBorders>
                    <w:top w:val="single" w:color="auto" w:sz="12" w:space="0"/>
                    <w:left w:val="single" w:color="auto" w:sz="12" w:space="0"/>
                    <w:bottom w:val="single" w:color="auto" w:sz="12" w:space="0"/>
                    <w:right w:val="single" w:color="auto" w:sz="12" w:space="0"/>
                  </w:tcBorders>
                  <w:shd w:val="clear" w:color="auto" w:fill="auto"/>
                  <w:noWrap/>
                  <w:vAlign w:val="center"/>
                </w:tcPr>
                <w:p w14:paraId="52335D0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38</w:t>
                  </w:r>
                </w:p>
              </w:tc>
              <w:tc>
                <w:tcPr>
                  <w:tcW w:w="1571" w:type="dxa"/>
                  <w:tcBorders>
                    <w:top w:val="single" w:color="auto" w:sz="12" w:space="0"/>
                    <w:left w:val="single" w:color="auto" w:sz="12" w:space="0"/>
                    <w:bottom w:val="single" w:color="auto" w:sz="12" w:space="0"/>
                    <w:right w:val="single" w:color="auto" w:sz="12" w:space="0"/>
                  </w:tcBorders>
                  <w:shd w:val="clear" w:color="auto" w:fill="auto"/>
                  <w:vAlign w:val="center"/>
                </w:tcPr>
                <w:p w14:paraId="16A87F7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554" w:type="dxa"/>
                  <w:tcBorders>
                    <w:top w:val="single" w:color="auto" w:sz="12" w:space="0"/>
                    <w:left w:val="single" w:color="auto" w:sz="12" w:space="0"/>
                    <w:bottom w:val="single" w:color="auto" w:sz="12" w:space="0"/>
                    <w:right w:val="single" w:color="auto" w:sz="12" w:space="0"/>
                  </w:tcBorders>
                  <w:shd w:val="clear" w:color="auto" w:fill="auto"/>
                  <w:vAlign w:val="center"/>
                </w:tcPr>
                <w:p w14:paraId="4FF2D02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12</w:t>
                  </w:r>
                </w:p>
              </w:tc>
            </w:tr>
            <w:tr w14:paraId="587E4AB7">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19" w:type="dxa"/>
                  <w:vMerge w:val="continue"/>
                  <w:tcBorders>
                    <w:left w:val="single" w:color="auto" w:sz="4" w:space="0"/>
                    <w:right w:val="single" w:color="auto" w:sz="12" w:space="0"/>
                    <w:tl2br w:val="nil"/>
                    <w:tr2bl w:val="nil"/>
                  </w:tcBorders>
                  <w:shd w:val="clear" w:color="auto" w:fill="auto"/>
                  <w:vAlign w:val="center"/>
                </w:tcPr>
                <w:p w14:paraId="6C269BF1">
                  <w:pPr>
                    <w:jc w:val="center"/>
                    <w:rPr>
                      <w:rFonts w:hint="default" w:ascii="Times New Roman" w:hAnsi="Times New Roman" w:eastAsia="宋体" w:cs="Times New Roman"/>
                      <w:i w:val="0"/>
                      <w:iCs w:val="0"/>
                      <w:color w:val="auto"/>
                      <w:sz w:val="21"/>
                      <w:szCs w:val="21"/>
                      <w:u w:val="none"/>
                    </w:rPr>
                  </w:pPr>
                </w:p>
              </w:tc>
              <w:tc>
                <w:tcPr>
                  <w:tcW w:w="1328" w:type="dxa"/>
                  <w:tcBorders>
                    <w:top w:val="single" w:color="auto" w:sz="12" w:space="0"/>
                    <w:left w:val="single" w:color="auto" w:sz="12" w:space="0"/>
                    <w:right w:val="single" w:color="auto" w:sz="12" w:space="0"/>
                  </w:tcBorders>
                  <w:shd w:val="clear" w:color="auto" w:fill="auto"/>
                  <w:vAlign w:val="center"/>
                </w:tcPr>
                <w:p w14:paraId="3197A86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污泥</w:t>
                  </w:r>
                </w:p>
              </w:tc>
              <w:tc>
                <w:tcPr>
                  <w:tcW w:w="1222" w:type="dxa"/>
                  <w:tcBorders>
                    <w:top w:val="single" w:color="auto" w:sz="12" w:space="0"/>
                    <w:left w:val="single" w:color="auto" w:sz="12" w:space="0"/>
                    <w:right w:val="single" w:color="auto" w:sz="12" w:space="0"/>
                  </w:tcBorders>
                  <w:shd w:val="clear" w:color="auto" w:fill="auto"/>
                  <w:vAlign w:val="center"/>
                </w:tcPr>
                <w:p w14:paraId="7DAEEE5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530</w:t>
                  </w:r>
                </w:p>
              </w:tc>
              <w:tc>
                <w:tcPr>
                  <w:tcW w:w="1521" w:type="dxa"/>
                  <w:tcBorders>
                    <w:top w:val="single" w:color="auto" w:sz="12" w:space="0"/>
                    <w:left w:val="single" w:color="auto" w:sz="12" w:space="0"/>
                    <w:right w:val="single" w:color="auto" w:sz="12" w:space="0"/>
                  </w:tcBorders>
                  <w:shd w:val="clear" w:color="auto" w:fill="auto"/>
                  <w:noWrap/>
                  <w:vAlign w:val="center"/>
                </w:tcPr>
                <w:p w14:paraId="2507C80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2195</w:t>
                  </w:r>
                </w:p>
              </w:tc>
              <w:tc>
                <w:tcPr>
                  <w:tcW w:w="1571" w:type="dxa"/>
                  <w:tcBorders>
                    <w:top w:val="single" w:color="auto" w:sz="12" w:space="0"/>
                    <w:left w:val="single" w:color="auto" w:sz="12" w:space="0"/>
                    <w:right w:val="single" w:color="auto" w:sz="12" w:space="0"/>
                  </w:tcBorders>
                  <w:shd w:val="clear" w:color="auto" w:fill="auto"/>
                  <w:vAlign w:val="center"/>
                </w:tcPr>
                <w:p w14:paraId="2C18EFA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i w:val="0"/>
                      <w:iCs w:val="0"/>
                      <w:color w:val="auto"/>
                      <w:kern w:val="0"/>
                      <w:sz w:val="21"/>
                      <w:szCs w:val="21"/>
                      <w:u w:val="none"/>
                      <w:lang w:val="en-US" w:eastAsia="zh-CN" w:bidi="ar"/>
                    </w:rPr>
                    <w:t>1330</w:t>
                  </w:r>
                </w:p>
              </w:tc>
              <w:tc>
                <w:tcPr>
                  <w:tcW w:w="1554" w:type="dxa"/>
                  <w:tcBorders>
                    <w:top w:val="single" w:color="auto" w:sz="12" w:space="0"/>
                    <w:left w:val="single" w:color="auto" w:sz="12" w:space="0"/>
                    <w:right w:val="single" w:color="auto" w:sz="12" w:space="0"/>
                  </w:tcBorders>
                  <w:shd w:val="clear" w:color="auto" w:fill="auto"/>
                  <w:vAlign w:val="center"/>
                </w:tcPr>
                <w:p w14:paraId="1A893CA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530</w:t>
                  </w:r>
                </w:p>
              </w:tc>
            </w:tr>
          </w:tbl>
          <w:p w14:paraId="1DE19AF2">
            <w:pPr>
              <w:rPr>
                <w:rFonts w:hint="default" w:ascii="Times New Roman" w:hAnsi="Times New Roman" w:eastAsia="宋体" w:cs="Times New Roman"/>
                <w:color w:val="auto"/>
                <w:highlight w:val="none"/>
              </w:rPr>
            </w:pPr>
          </w:p>
          <w:p w14:paraId="2F40EE19">
            <w:pPr>
              <w:spacing w:before="240" w:line="360" w:lineRule="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8</w:t>
            </w:r>
            <w:r>
              <w:rPr>
                <w:rFonts w:hint="default" w:ascii="Times New Roman" w:hAnsi="Times New Roman" w:eastAsia="宋体" w:cs="Times New Roman"/>
                <w:b/>
                <w:bCs/>
                <w:color w:val="auto"/>
                <w:sz w:val="24"/>
                <w:highlight w:val="none"/>
              </w:rPr>
              <w:t>.环保投资估算</w:t>
            </w:r>
          </w:p>
          <w:p w14:paraId="68FB1177">
            <w:pPr>
              <w:snapToGrid w:val="0"/>
              <w:spacing w:line="360" w:lineRule="auto"/>
              <w:ind w:firstLine="480" w:firstLineChars="200"/>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本项目为</w:t>
            </w:r>
            <w:r>
              <w:rPr>
                <w:rFonts w:hint="default" w:ascii="Times New Roman" w:hAnsi="Times New Roman" w:eastAsia="宋体" w:cs="Times New Roman"/>
                <w:color w:val="auto"/>
                <w:sz w:val="24"/>
                <w:highlight w:val="none"/>
                <w:lang w:val="en-US" w:eastAsia="zh-CN"/>
              </w:rPr>
              <w:t>污水处理厂</w:t>
            </w:r>
            <w:r>
              <w:rPr>
                <w:rFonts w:hint="default" w:ascii="Times New Roman" w:hAnsi="Times New Roman" w:eastAsia="宋体" w:cs="Times New Roman"/>
                <w:color w:val="auto"/>
                <w:sz w:val="24"/>
                <w:highlight w:val="none"/>
              </w:rPr>
              <w:t>，总投资为</w:t>
            </w:r>
            <w:r>
              <w:rPr>
                <w:rFonts w:hint="eastAsia" w:cs="Times New Roman"/>
                <w:color w:val="auto"/>
                <w:sz w:val="24"/>
                <w:highlight w:val="none"/>
                <w:lang w:val="en-US" w:eastAsia="zh-CN"/>
              </w:rPr>
              <w:t>5591.58</w:t>
            </w:r>
            <w:r>
              <w:rPr>
                <w:rFonts w:hint="default" w:ascii="Times New Roman" w:hAnsi="Times New Roman" w:eastAsia="宋体" w:cs="Times New Roman"/>
                <w:color w:val="auto"/>
                <w:sz w:val="24"/>
                <w:highlight w:val="none"/>
              </w:rPr>
              <w:t>万元，属于环保工程，故全部为环保投资。</w:t>
            </w:r>
          </w:p>
          <w:p w14:paraId="2EE32983">
            <w:pPr>
              <w:spacing w:line="360" w:lineRule="auto"/>
              <w:rPr>
                <w:rFonts w:hint="default" w:ascii="Times New Roman" w:hAnsi="Times New Roman" w:eastAsia="宋体" w:cs="Times New Roman"/>
                <w:bCs/>
                <w:color w:val="auto"/>
                <w:sz w:val="24"/>
                <w:highlight w:val="none"/>
              </w:rPr>
            </w:pPr>
          </w:p>
        </w:tc>
      </w:tr>
    </w:tbl>
    <w:p w14:paraId="01185D32">
      <w:pPr>
        <w:adjustRightInd w:val="0"/>
        <w:snapToGrid w:val="0"/>
        <w:spacing w:line="360" w:lineRule="auto"/>
        <w:rPr>
          <w:rFonts w:hint="default" w:ascii="Times New Roman" w:hAnsi="Times New Roman" w:eastAsia="宋体" w:cs="Times New Roman"/>
          <w:b/>
          <w:color w:val="auto"/>
          <w:kern w:val="0"/>
          <w:sz w:val="28"/>
          <w:szCs w:val="28"/>
          <w:highlight w:val="none"/>
        </w:rPr>
        <w:sectPr>
          <w:pgSz w:w="11907" w:h="16840"/>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2D98F993">
      <w:pPr>
        <w:pStyle w:val="8"/>
        <w:jc w:val="center"/>
        <w:outlineLvl w:val="0"/>
        <w:rPr>
          <w:rFonts w:hint="default" w:ascii="Times New Roman" w:hAnsi="Times New Roman" w:eastAsia="宋体" w:cs="Times New Roman"/>
          <w:b/>
          <w:bCs/>
          <w:snapToGrid w:val="0"/>
          <w:color w:val="auto"/>
          <w:sz w:val="30"/>
          <w:szCs w:val="30"/>
          <w:highlight w:val="none"/>
        </w:rPr>
      </w:pPr>
      <w:r>
        <w:rPr>
          <w:rFonts w:hint="default" w:ascii="Times New Roman" w:hAnsi="Times New Roman" w:eastAsia="宋体" w:cs="Times New Roman"/>
          <w:b/>
          <w:bCs/>
          <w:snapToGrid w:val="0"/>
          <w:color w:val="auto"/>
          <w:sz w:val="30"/>
          <w:szCs w:val="30"/>
          <w:highlight w:val="none"/>
        </w:rPr>
        <w:t>五、</w:t>
      </w:r>
      <w:bookmarkStart w:id="6" w:name="_Hlk54167917"/>
      <w:r>
        <w:rPr>
          <w:rFonts w:hint="default" w:ascii="Times New Roman" w:hAnsi="Times New Roman" w:eastAsia="宋体" w:cs="Times New Roman"/>
          <w:b/>
          <w:bCs/>
          <w:snapToGrid w:val="0"/>
          <w:color w:val="auto"/>
          <w:sz w:val="30"/>
          <w:szCs w:val="30"/>
          <w:highlight w:val="none"/>
        </w:rPr>
        <w:t>环境保护措施监督检查清单</w:t>
      </w:r>
      <w:bookmarkEnd w:id="6"/>
    </w:p>
    <w:tbl>
      <w:tblPr>
        <w:tblStyle w:val="10"/>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701"/>
        <w:gridCol w:w="1275"/>
        <w:gridCol w:w="1998"/>
        <w:gridCol w:w="2288"/>
      </w:tblGrid>
      <w:tr w14:paraId="7C90B4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tcBorders>
              <w:tl2br w:val="single" w:color="auto" w:sz="4" w:space="0"/>
            </w:tcBorders>
          </w:tcPr>
          <w:p w14:paraId="60AB4D9F">
            <w:pPr>
              <w:adjustRightInd w:val="0"/>
              <w:snapToGrid w:val="0"/>
              <w:ind w:firstLine="84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内容</w:t>
            </w:r>
          </w:p>
          <w:p w14:paraId="26CDC912">
            <w:pPr>
              <w:adjustRightInd w:val="0"/>
              <w:snapToGrid w:val="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要素</w:t>
            </w:r>
          </w:p>
        </w:tc>
        <w:tc>
          <w:tcPr>
            <w:tcW w:w="1701" w:type="dxa"/>
            <w:vAlign w:val="center"/>
          </w:tcPr>
          <w:p w14:paraId="3FA77821">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排放口</w:t>
            </w:r>
            <w:r>
              <w:rPr>
                <w:rFonts w:hint="eastAsia" w:cs="Times New Roman"/>
                <w:b/>
                <w:bCs/>
                <w:color w:val="auto"/>
                <w:sz w:val="24"/>
                <w:szCs w:val="24"/>
                <w:highlight w:val="none"/>
                <w:lang w:eastAsia="zh-CN"/>
              </w:rPr>
              <w:t>（</w:t>
            </w:r>
            <w:r>
              <w:rPr>
                <w:rFonts w:hint="default" w:ascii="Times New Roman" w:hAnsi="Times New Roman" w:eastAsia="宋体" w:cs="Times New Roman"/>
                <w:b/>
                <w:bCs/>
                <w:color w:val="auto"/>
                <w:sz w:val="24"/>
                <w:szCs w:val="24"/>
                <w:highlight w:val="none"/>
              </w:rPr>
              <w:t>编号、</w:t>
            </w:r>
          </w:p>
          <w:p w14:paraId="16B8537F">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名称</w:t>
            </w:r>
            <w:r>
              <w:rPr>
                <w:rFonts w:hint="eastAsia" w:cs="Times New Roman"/>
                <w:b/>
                <w:bCs/>
                <w:color w:val="auto"/>
                <w:sz w:val="24"/>
                <w:szCs w:val="24"/>
                <w:highlight w:val="none"/>
                <w:lang w:eastAsia="zh-CN"/>
              </w:rPr>
              <w:t>）</w:t>
            </w:r>
            <w:r>
              <w:rPr>
                <w:rFonts w:hint="default" w:ascii="Times New Roman" w:hAnsi="Times New Roman" w:eastAsia="宋体" w:cs="Times New Roman"/>
                <w:b/>
                <w:bCs/>
                <w:color w:val="auto"/>
                <w:sz w:val="24"/>
                <w:szCs w:val="24"/>
                <w:highlight w:val="none"/>
              </w:rPr>
              <w:t>/污染源</w:t>
            </w:r>
          </w:p>
        </w:tc>
        <w:tc>
          <w:tcPr>
            <w:tcW w:w="1275" w:type="dxa"/>
            <w:vAlign w:val="center"/>
          </w:tcPr>
          <w:p w14:paraId="3867E9E2">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污染物项目</w:t>
            </w:r>
          </w:p>
        </w:tc>
        <w:tc>
          <w:tcPr>
            <w:tcW w:w="1998" w:type="dxa"/>
            <w:vAlign w:val="center"/>
          </w:tcPr>
          <w:p w14:paraId="0584462B">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环境保护措施</w:t>
            </w:r>
          </w:p>
        </w:tc>
        <w:tc>
          <w:tcPr>
            <w:tcW w:w="2288" w:type="dxa"/>
            <w:vAlign w:val="center"/>
          </w:tcPr>
          <w:p w14:paraId="3E84828A">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执行标准</w:t>
            </w:r>
          </w:p>
        </w:tc>
      </w:tr>
      <w:tr w14:paraId="252CAD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566316AA">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大气环境</w:t>
            </w:r>
          </w:p>
        </w:tc>
        <w:tc>
          <w:tcPr>
            <w:tcW w:w="1701" w:type="dxa"/>
            <w:shd w:val="clear" w:color="auto" w:fill="auto"/>
            <w:vAlign w:val="center"/>
          </w:tcPr>
          <w:p w14:paraId="32696647">
            <w:pPr>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无组织</w:t>
            </w:r>
          </w:p>
        </w:tc>
        <w:tc>
          <w:tcPr>
            <w:tcW w:w="1275" w:type="dxa"/>
            <w:vAlign w:val="center"/>
          </w:tcPr>
          <w:p w14:paraId="212387D6">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N</w:t>
            </w:r>
            <w:r>
              <w:rPr>
                <w:rFonts w:hint="default" w:ascii="Times New Roman" w:hAnsi="Times New Roman" w:eastAsia="宋体" w:cs="Times New Roman"/>
                <w:color w:val="auto"/>
                <w:sz w:val="24"/>
                <w:szCs w:val="24"/>
                <w:highlight w:val="none"/>
                <w:vertAlign w:val="baseline"/>
                <w:lang w:val="en-US" w:eastAsia="zh-CN"/>
              </w:rPr>
              <w:t>H</w:t>
            </w:r>
            <w:r>
              <w:rPr>
                <w:rFonts w:hint="default" w:ascii="Times New Roman" w:hAnsi="Times New Roman" w:eastAsia="宋体" w:cs="Times New Roman"/>
                <w:color w:val="auto"/>
                <w:sz w:val="24"/>
                <w:szCs w:val="24"/>
                <w:highlight w:val="none"/>
                <w:vertAlign w:val="subscript"/>
                <w:lang w:val="en-US" w:eastAsia="zh-CN"/>
              </w:rPr>
              <w:t>3</w:t>
            </w:r>
          </w:p>
          <w:p w14:paraId="2C0340FB">
            <w:pPr>
              <w:adjustRightInd w:val="0"/>
              <w:snapToGrid w:val="0"/>
              <w:jc w:val="center"/>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highlight w:val="none"/>
                <w:vertAlign w:val="baseline"/>
                <w:lang w:eastAsia="zh-CN"/>
              </w:rPr>
              <w:t>H</w:t>
            </w:r>
            <w:r>
              <w:rPr>
                <w:rFonts w:hint="default" w:ascii="Times New Roman" w:hAnsi="Times New Roman" w:eastAsia="宋体" w:cs="Times New Roman"/>
                <w:color w:val="auto"/>
                <w:sz w:val="24"/>
                <w:szCs w:val="24"/>
                <w:highlight w:val="none"/>
                <w:vertAlign w:val="subscript"/>
                <w:lang w:eastAsia="zh-CN"/>
              </w:rPr>
              <w:t>2</w:t>
            </w:r>
            <w:r>
              <w:rPr>
                <w:rFonts w:hint="default" w:ascii="Times New Roman" w:hAnsi="Times New Roman" w:eastAsia="宋体" w:cs="Times New Roman"/>
                <w:color w:val="auto"/>
                <w:sz w:val="24"/>
                <w:szCs w:val="24"/>
                <w:highlight w:val="none"/>
              </w:rPr>
              <w:t>S</w:t>
            </w:r>
          </w:p>
          <w:p w14:paraId="0CA3F427">
            <w:pPr>
              <w:adjustRightInd w:val="0"/>
              <w:snapToGrid w:val="0"/>
              <w:jc w:val="center"/>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臭气浓度</w:t>
            </w:r>
          </w:p>
          <w:p w14:paraId="61628BBA">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甲烷</w:t>
            </w:r>
          </w:p>
        </w:tc>
        <w:tc>
          <w:tcPr>
            <w:tcW w:w="1998" w:type="dxa"/>
            <w:shd w:val="clear" w:color="auto" w:fill="auto"/>
            <w:vAlign w:val="center"/>
          </w:tcPr>
          <w:p w14:paraId="6DD4BCD3">
            <w:pPr>
              <w:adjustRightInd w:val="0"/>
              <w:snapToGrid w:val="0"/>
              <w:jc w:val="center"/>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Cs/>
                <w:color w:val="auto"/>
                <w:sz w:val="24"/>
                <w:szCs w:val="24"/>
                <w:lang w:val="en-US" w:eastAsia="zh-CN"/>
              </w:rPr>
              <w:t>全封闭厂房+高效除臭微生物全过程除臭</w:t>
            </w:r>
            <w:r>
              <w:rPr>
                <w:rFonts w:hint="eastAsia" w:cs="Times New Roman"/>
                <w:bCs/>
                <w:color w:val="auto"/>
                <w:sz w:val="24"/>
                <w:szCs w:val="24"/>
                <w:lang w:val="en-US" w:eastAsia="zh-CN"/>
              </w:rPr>
              <w:t>。</w:t>
            </w:r>
          </w:p>
        </w:tc>
        <w:tc>
          <w:tcPr>
            <w:tcW w:w="2288" w:type="dxa"/>
            <w:vAlign w:val="center"/>
          </w:tcPr>
          <w:p w14:paraId="155CD38E">
            <w:pPr>
              <w:adjustRightInd w:val="0"/>
              <w:snapToGrid w:val="0"/>
              <w:jc w:val="center"/>
              <w:rPr>
                <w:rFonts w:hint="default" w:ascii="Times New Roman" w:hAnsi="Times New Roman" w:eastAsia="宋体" w:cs="Times New Roman"/>
                <w:color w:val="auto"/>
                <w:sz w:val="24"/>
                <w:szCs w:val="24"/>
                <w:highlight w:val="none"/>
                <w:lang w:eastAsia="zh-CN"/>
              </w:rPr>
            </w:pP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城镇污水处理厂污染物排放标准》（GB18918-2002）及其修改单表4中二级标准</w:t>
            </w:r>
            <w:r>
              <w:rPr>
                <w:rFonts w:hint="eastAsia" w:cs="Times New Roman"/>
                <w:color w:val="auto"/>
                <w:sz w:val="24"/>
                <w:szCs w:val="24"/>
                <w:highlight w:val="none"/>
                <w:lang w:val="en-US" w:eastAsia="zh-CN"/>
              </w:rPr>
              <w:t>。</w:t>
            </w:r>
          </w:p>
        </w:tc>
      </w:tr>
      <w:tr w14:paraId="198780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01F1B711">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地表水环境</w:t>
            </w:r>
          </w:p>
        </w:tc>
        <w:tc>
          <w:tcPr>
            <w:tcW w:w="1701" w:type="dxa"/>
            <w:vAlign w:val="center"/>
          </w:tcPr>
          <w:p w14:paraId="3108A779">
            <w:pPr>
              <w:adjustRightInd w:val="0"/>
              <w:snapToGrid w:val="0"/>
              <w:jc w:val="center"/>
              <w:rPr>
                <w:rFonts w:hint="default"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bidi="ar"/>
              </w:rPr>
              <w:t>处理后的中水</w:t>
            </w:r>
          </w:p>
        </w:tc>
        <w:tc>
          <w:tcPr>
            <w:tcW w:w="1275" w:type="dxa"/>
            <w:vAlign w:val="center"/>
          </w:tcPr>
          <w:p w14:paraId="340D8B73">
            <w:pPr>
              <w:adjustRightInd w:val="0"/>
              <w:snapToGrid w:val="0"/>
              <w:jc w:val="center"/>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lang w:val="en-US" w:eastAsia="zh-CN"/>
              </w:rPr>
              <w:t>CODcr、</w:t>
            </w:r>
            <w:r>
              <w:rPr>
                <w:rFonts w:hint="default" w:ascii="Times New Roman" w:hAnsi="Times New Roman" w:eastAsia="宋体" w:cs="Times New Roman"/>
                <w:color w:val="auto"/>
                <w:sz w:val="24"/>
                <w:szCs w:val="24"/>
                <w:highlight w:val="none"/>
                <w:vertAlign w:val="baseline"/>
                <w:lang w:val="en-US" w:eastAsia="zh-CN"/>
              </w:rPr>
              <w:t>BOD</w:t>
            </w:r>
            <w:r>
              <w:rPr>
                <w:rFonts w:hint="default" w:ascii="Times New Roman" w:hAnsi="Times New Roman" w:eastAsia="宋体" w:cs="Times New Roman"/>
                <w:color w:val="auto"/>
                <w:sz w:val="24"/>
                <w:szCs w:val="24"/>
                <w:highlight w:val="none"/>
                <w:vertAlign w:val="subscript"/>
                <w:lang w:val="en-US" w:eastAsia="zh-CN"/>
              </w:rPr>
              <w:t>5</w:t>
            </w:r>
            <w:r>
              <w:rPr>
                <w:rFonts w:hint="default" w:ascii="Times New Roman" w:hAnsi="Times New Roman" w:eastAsia="宋体" w:cs="Times New Roman"/>
                <w:color w:val="auto"/>
                <w:sz w:val="24"/>
                <w:szCs w:val="24"/>
                <w:highlight w:val="none"/>
                <w:lang w:val="en-US" w:eastAsia="zh-CN"/>
              </w:rPr>
              <w:t>、SS、N</w:t>
            </w:r>
            <w:r>
              <w:rPr>
                <w:rFonts w:hint="default" w:ascii="Times New Roman" w:hAnsi="Times New Roman" w:eastAsia="宋体" w:cs="Times New Roman"/>
                <w:color w:val="auto"/>
                <w:sz w:val="24"/>
                <w:szCs w:val="24"/>
                <w:highlight w:val="none"/>
                <w:vertAlign w:val="baseline"/>
                <w:lang w:val="en-US" w:eastAsia="zh-CN"/>
              </w:rPr>
              <w:t>H</w:t>
            </w:r>
            <w:r>
              <w:rPr>
                <w:rFonts w:hint="default" w:ascii="Times New Roman" w:hAnsi="Times New Roman" w:eastAsia="宋体" w:cs="Times New Roman"/>
                <w:color w:val="auto"/>
                <w:sz w:val="24"/>
                <w:szCs w:val="24"/>
                <w:highlight w:val="none"/>
                <w:vertAlign w:val="subscript"/>
                <w:lang w:val="en-US" w:eastAsia="zh-CN"/>
              </w:rPr>
              <w:t>3</w:t>
            </w:r>
            <w:r>
              <w:rPr>
                <w:rFonts w:hint="default" w:ascii="Times New Roman" w:hAnsi="Times New Roman" w:eastAsia="宋体" w:cs="Times New Roman"/>
                <w:color w:val="auto"/>
                <w:sz w:val="24"/>
                <w:szCs w:val="24"/>
                <w:highlight w:val="none"/>
                <w:lang w:val="en-US" w:eastAsia="zh-CN"/>
              </w:rPr>
              <w:t>-N、TN、TP</w:t>
            </w:r>
          </w:p>
        </w:tc>
        <w:tc>
          <w:tcPr>
            <w:tcW w:w="1998" w:type="dxa"/>
            <w:vAlign w:val="center"/>
          </w:tcPr>
          <w:p w14:paraId="06AB97FE">
            <w:pPr>
              <w:adjustRightInd w:val="0"/>
              <w:snapToGrid w:val="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一期更新改造后，污水处理厂全厂日处理中水能力为11500t/d，其中8500t/d排入杭锦旗锡尼镇污水处理厂尾水水质净化工程进行深度处理，处理达标后用于周边企业回用及陶赖沟生态补水。其余部分统筹用于园林绿化、鄂尔多斯市新能源产业示范区企业及内蒙古能源发电杭锦发电有限公司工业用水，</w:t>
            </w:r>
            <w:r>
              <w:rPr>
                <w:rFonts w:hint="eastAsia" w:cs="Times New Roman"/>
                <w:color w:val="auto"/>
                <w:sz w:val="24"/>
                <w:szCs w:val="24"/>
                <w:highlight w:val="none"/>
                <w:lang w:val="en-US" w:eastAsia="zh-CN"/>
              </w:rPr>
              <w:t>不外排。</w:t>
            </w:r>
          </w:p>
        </w:tc>
        <w:tc>
          <w:tcPr>
            <w:tcW w:w="2288" w:type="dxa"/>
            <w:vAlign w:val="center"/>
          </w:tcPr>
          <w:p w14:paraId="7FF29D3F">
            <w:pPr>
              <w:adjustRightInd w:val="0"/>
              <w:snapToGrid w:val="0"/>
              <w:jc w:val="center"/>
              <w:rPr>
                <w:rFonts w:hint="default" w:ascii="Times New Roman" w:hAnsi="Times New Roman" w:eastAsia="宋体" w:cs="Times New Roman"/>
                <w:color w:val="auto"/>
                <w:sz w:val="24"/>
                <w:szCs w:val="24"/>
                <w:highlight w:val="none"/>
                <w:lang w:eastAsia="zh-CN"/>
              </w:rPr>
            </w:pP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城镇污水处理厂污染物排放标准》（GB18918-2002）及其修改单中一级A标准、《城市污水再生利用 工业用水水质》（GB/T19923-2024）、《城市污水再生利用 城市杂用水水质》（GB/T18920-2020）</w:t>
            </w:r>
            <w:r>
              <w:rPr>
                <w:rFonts w:hint="eastAsia" w:cs="Times New Roman"/>
                <w:color w:val="auto"/>
                <w:sz w:val="24"/>
                <w:szCs w:val="24"/>
                <w:highlight w:val="none"/>
                <w:lang w:val="en-US" w:eastAsia="zh-CN"/>
              </w:rPr>
              <w:t>。</w:t>
            </w:r>
          </w:p>
        </w:tc>
      </w:tr>
      <w:tr w14:paraId="360A1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2C1FB206">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声环境</w:t>
            </w:r>
          </w:p>
        </w:tc>
        <w:tc>
          <w:tcPr>
            <w:tcW w:w="1701" w:type="dxa"/>
            <w:vAlign w:val="center"/>
          </w:tcPr>
          <w:p w14:paraId="56FD5F87">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bidi="ar"/>
              </w:rPr>
              <w:t>生产</w:t>
            </w:r>
            <w:r>
              <w:rPr>
                <w:rFonts w:hint="default" w:ascii="Times New Roman" w:hAnsi="Times New Roman" w:eastAsia="宋体" w:cs="Times New Roman"/>
                <w:color w:val="auto"/>
                <w:sz w:val="24"/>
                <w:szCs w:val="24"/>
                <w:highlight w:val="none"/>
                <w:lang w:bidi="ar"/>
              </w:rPr>
              <w:t>设备</w:t>
            </w:r>
          </w:p>
        </w:tc>
        <w:tc>
          <w:tcPr>
            <w:tcW w:w="1275" w:type="dxa"/>
            <w:vAlign w:val="center"/>
          </w:tcPr>
          <w:p w14:paraId="5146A598">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等效连续A声级</w:t>
            </w:r>
          </w:p>
        </w:tc>
        <w:tc>
          <w:tcPr>
            <w:tcW w:w="1998" w:type="dxa"/>
            <w:vAlign w:val="center"/>
          </w:tcPr>
          <w:p w14:paraId="1E4B931C">
            <w:pPr>
              <w:adjustRightInd w:val="0"/>
              <w:snapToGrid w:val="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选用低噪声设备</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设备安装减振垫，并加强维护</w:t>
            </w:r>
            <w:r>
              <w:rPr>
                <w:rFonts w:hint="default" w:ascii="Times New Roman" w:hAnsi="Times New Roman" w:eastAsia="宋体" w:cs="Times New Roman"/>
                <w:color w:val="auto"/>
                <w:sz w:val="24"/>
                <w:szCs w:val="24"/>
                <w:highlight w:val="none"/>
                <w:lang w:eastAsia="zh-CN"/>
              </w:rPr>
              <w:t>。</w:t>
            </w:r>
          </w:p>
        </w:tc>
        <w:tc>
          <w:tcPr>
            <w:tcW w:w="2288" w:type="dxa"/>
            <w:vAlign w:val="center"/>
          </w:tcPr>
          <w:p w14:paraId="5457594F">
            <w:pPr>
              <w:adjustRightInd w:val="0"/>
              <w:snapToGrid w:val="0"/>
              <w:jc w:val="center"/>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《工业企业厂界环境噪声排放标准》（GB12348-2008）</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类标准要求</w:t>
            </w:r>
            <w:r>
              <w:rPr>
                <w:rFonts w:hint="eastAsia" w:cs="Times New Roman"/>
                <w:color w:val="auto"/>
                <w:sz w:val="24"/>
                <w:szCs w:val="24"/>
                <w:highlight w:val="none"/>
                <w:lang w:eastAsia="zh-CN"/>
              </w:rPr>
              <w:t>。</w:t>
            </w:r>
          </w:p>
        </w:tc>
      </w:tr>
      <w:tr w14:paraId="735ED9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538" w:type="dxa"/>
            <w:vAlign w:val="center"/>
          </w:tcPr>
          <w:p w14:paraId="3C4C30BB">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固体废物</w:t>
            </w:r>
          </w:p>
        </w:tc>
        <w:tc>
          <w:tcPr>
            <w:tcW w:w="7262" w:type="dxa"/>
            <w:gridSpan w:val="4"/>
            <w:vAlign w:val="center"/>
          </w:tcPr>
          <w:p w14:paraId="51F65D1C">
            <w:pPr>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项目运行过程中产生的</w:t>
            </w:r>
            <w:r>
              <w:rPr>
                <w:rFonts w:hint="default" w:ascii="Times New Roman" w:hAnsi="Times New Roman" w:eastAsia="宋体" w:cs="Times New Roman"/>
                <w:color w:val="auto"/>
                <w:sz w:val="24"/>
                <w:szCs w:val="24"/>
                <w:highlight w:val="none"/>
                <w:lang w:eastAsia="zh-CN"/>
              </w:rPr>
              <w:t>栅渣、沉砂、</w:t>
            </w:r>
            <w:r>
              <w:rPr>
                <w:rFonts w:hint="default" w:ascii="Times New Roman" w:hAnsi="Times New Roman" w:eastAsia="宋体" w:cs="Times New Roman"/>
                <w:color w:val="auto"/>
                <w:sz w:val="24"/>
                <w:szCs w:val="24"/>
                <w:highlight w:val="none"/>
                <w:lang w:val="en-US" w:eastAsia="zh-CN"/>
              </w:rPr>
              <w:t>脱水污泥</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eastAsia="zh-CN"/>
              </w:rPr>
              <w:t>集中收集</w:t>
            </w:r>
            <w:r>
              <w:rPr>
                <w:rFonts w:hint="default" w:ascii="Times New Roman" w:hAnsi="Times New Roman" w:eastAsia="宋体" w:cs="Times New Roman"/>
                <w:color w:val="auto"/>
                <w:sz w:val="24"/>
                <w:szCs w:val="24"/>
                <w:highlight w:val="none"/>
                <w:lang w:val="en-US" w:eastAsia="zh-CN"/>
              </w:rPr>
              <w:t>后</w:t>
            </w:r>
            <w:r>
              <w:rPr>
                <w:rFonts w:hint="default" w:ascii="Times New Roman" w:hAnsi="Times New Roman" w:eastAsia="宋体" w:cs="Times New Roman"/>
                <w:color w:val="auto"/>
                <w:sz w:val="24"/>
                <w:szCs w:val="24"/>
                <w:highlight w:val="none"/>
                <w:lang w:eastAsia="zh-CN"/>
              </w:rPr>
              <w:t>委托市政环卫部门送锡尼镇垃圾填埋场处理</w:t>
            </w:r>
            <w:r>
              <w:rPr>
                <w:rFonts w:hint="default" w:ascii="Times New Roman" w:hAnsi="Times New Roman" w:eastAsia="宋体" w:cs="Times New Roman"/>
                <w:color w:val="auto"/>
                <w:sz w:val="24"/>
                <w:szCs w:val="24"/>
                <w:highlight w:val="none"/>
              </w:rPr>
              <w:t>。</w:t>
            </w:r>
          </w:p>
        </w:tc>
      </w:tr>
      <w:tr w14:paraId="64EE26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538" w:type="dxa"/>
            <w:vAlign w:val="center"/>
          </w:tcPr>
          <w:p w14:paraId="31913EA3">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土壤及地下水污染防治措施</w:t>
            </w:r>
          </w:p>
        </w:tc>
        <w:tc>
          <w:tcPr>
            <w:tcW w:w="7262" w:type="dxa"/>
            <w:gridSpan w:val="4"/>
            <w:vAlign w:val="center"/>
          </w:tcPr>
          <w:p w14:paraId="2C1CB8E6">
            <w:pPr>
              <w:adjustRightInd w:val="0"/>
              <w:snapToGrid w:val="0"/>
              <w:ind w:firstLine="480" w:firstLineChars="200"/>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bidi="ar"/>
              </w:rPr>
              <w:t>建构筑物、路面必须落实底部硬底化、防漏防渗措施，所有水池构筑物均进行防渗处理。厂内埋地管道需做好防漏防渗措施。做好分区防控工作，定期检查项目废水管道和池体，加强管理</w:t>
            </w:r>
            <w:r>
              <w:rPr>
                <w:rFonts w:hint="eastAsia" w:cs="Times New Roman"/>
                <w:color w:val="auto"/>
                <w:sz w:val="24"/>
                <w:szCs w:val="24"/>
                <w:highlight w:val="none"/>
                <w:lang w:val="en-US" w:eastAsia="zh-CN" w:bidi="ar"/>
              </w:rPr>
              <w:t>。</w:t>
            </w:r>
          </w:p>
        </w:tc>
      </w:tr>
      <w:tr w14:paraId="3C160A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1F499E48">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生态保护措施</w:t>
            </w:r>
          </w:p>
        </w:tc>
        <w:tc>
          <w:tcPr>
            <w:tcW w:w="7262" w:type="dxa"/>
            <w:gridSpan w:val="4"/>
            <w:vAlign w:val="center"/>
          </w:tcPr>
          <w:p w14:paraId="6649E654">
            <w:pPr>
              <w:adjustRightInd w:val="0"/>
              <w:snapToGrid w:val="0"/>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无</w:t>
            </w:r>
            <w:r>
              <w:rPr>
                <w:rFonts w:hint="default" w:ascii="Times New Roman" w:hAnsi="Times New Roman" w:eastAsia="宋体" w:cs="Times New Roman"/>
                <w:color w:val="auto"/>
                <w:sz w:val="24"/>
                <w:szCs w:val="24"/>
                <w:highlight w:val="none"/>
              </w:rPr>
              <w:t>。</w:t>
            </w:r>
          </w:p>
        </w:tc>
      </w:tr>
      <w:tr w14:paraId="5B6C12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538" w:type="dxa"/>
            <w:vAlign w:val="center"/>
          </w:tcPr>
          <w:p w14:paraId="34ABC522">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环境风险</w:t>
            </w:r>
          </w:p>
          <w:p w14:paraId="3CB68510">
            <w:pPr>
              <w:adjustRightInd w:val="0"/>
              <w:snapToGrid w:val="0"/>
              <w:jc w:val="center"/>
              <w:rPr>
                <w:rFonts w:hint="default" w:ascii="Times New Roman" w:hAnsi="Times New Roman" w:eastAsia="宋体" w:cs="Times New Roman"/>
                <w:b/>
                <w:bCs/>
                <w:color w:val="auto"/>
                <w:spacing w:val="-8"/>
                <w:sz w:val="24"/>
                <w:szCs w:val="24"/>
                <w:highlight w:val="none"/>
              </w:rPr>
            </w:pPr>
            <w:r>
              <w:rPr>
                <w:rFonts w:hint="default" w:ascii="Times New Roman" w:hAnsi="Times New Roman" w:eastAsia="宋体" w:cs="Times New Roman"/>
                <w:b/>
                <w:bCs/>
                <w:color w:val="auto"/>
                <w:sz w:val="24"/>
                <w:szCs w:val="24"/>
                <w:highlight w:val="none"/>
              </w:rPr>
              <w:t>防范措施</w:t>
            </w:r>
          </w:p>
        </w:tc>
        <w:tc>
          <w:tcPr>
            <w:tcW w:w="7262" w:type="dxa"/>
            <w:gridSpan w:val="4"/>
            <w:vAlign w:val="center"/>
          </w:tcPr>
          <w:p w14:paraId="2C01E9CA">
            <w:pPr>
              <w:adjustRightInd w:val="0"/>
              <w:snapToGrid w:val="0"/>
              <w:ind w:firstLine="480" w:firstLineChars="200"/>
              <w:jc w:val="left"/>
              <w:rPr>
                <w:rFonts w:hint="default"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bidi="ar"/>
              </w:rPr>
              <w:t>（1）重视维护及管理厂内污水管道，防止</w:t>
            </w:r>
            <w:r>
              <w:rPr>
                <w:rFonts w:hint="eastAsia" w:cs="Times New Roman"/>
                <w:color w:val="auto"/>
                <w:sz w:val="24"/>
                <w:szCs w:val="24"/>
                <w:highlight w:val="none"/>
                <w:lang w:val="en-US" w:eastAsia="zh-CN" w:bidi="ar"/>
              </w:rPr>
              <w:t>因</w:t>
            </w:r>
            <w:r>
              <w:rPr>
                <w:rFonts w:hint="default" w:ascii="Times New Roman" w:hAnsi="Times New Roman" w:eastAsia="宋体" w:cs="Times New Roman"/>
                <w:color w:val="auto"/>
                <w:sz w:val="24"/>
                <w:szCs w:val="24"/>
                <w:highlight w:val="none"/>
                <w:lang w:val="en-US" w:eastAsia="zh-CN" w:bidi="ar"/>
              </w:rPr>
              <w:t xml:space="preserve">泥沙沉积堵塞而影响管道的过水能力。 </w:t>
            </w:r>
          </w:p>
          <w:p w14:paraId="0CA18EFE">
            <w:pPr>
              <w:adjustRightInd w:val="0"/>
              <w:snapToGrid w:val="0"/>
              <w:ind w:firstLine="480" w:firstLineChars="200"/>
              <w:jc w:val="left"/>
              <w:rPr>
                <w:rFonts w:hint="default"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bidi="ar"/>
              </w:rPr>
              <w:t>（2）在主要</w:t>
            </w:r>
            <w:r>
              <w:rPr>
                <w:rFonts w:hint="eastAsia" w:cs="Times New Roman"/>
                <w:color w:val="auto"/>
                <w:sz w:val="24"/>
                <w:szCs w:val="24"/>
                <w:highlight w:val="none"/>
                <w:lang w:val="en-US" w:eastAsia="zh-CN" w:bidi="ar"/>
              </w:rPr>
              <w:t>建筑物和</w:t>
            </w:r>
            <w:r>
              <w:rPr>
                <w:rFonts w:hint="default" w:ascii="Times New Roman" w:hAnsi="Times New Roman" w:eastAsia="宋体" w:cs="Times New Roman"/>
                <w:color w:val="auto"/>
                <w:sz w:val="24"/>
                <w:szCs w:val="24"/>
                <w:highlight w:val="none"/>
                <w:lang w:val="en-US" w:eastAsia="zh-CN" w:bidi="ar"/>
              </w:rPr>
              <w:t>构筑物预留缓冲空间，</w:t>
            </w:r>
            <w:r>
              <w:rPr>
                <w:rFonts w:hint="eastAsia" w:cs="Times New Roman"/>
                <w:color w:val="auto"/>
                <w:sz w:val="24"/>
                <w:szCs w:val="24"/>
                <w:highlight w:val="none"/>
                <w:lang w:val="en-US" w:eastAsia="zh-CN" w:bidi="ar"/>
              </w:rPr>
              <w:t>以便</w:t>
            </w:r>
            <w:r>
              <w:rPr>
                <w:rFonts w:hint="default" w:ascii="Times New Roman" w:hAnsi="Times New Roman" w:eastAsia="宋体" w:cs="Times New Roman"/>
                <w:color w:val="auto"/>
                <w:sz w:val="24"/>
                <w:szCs w:val="24"/>
                <w:highlight w:val="none"/>
                <w:lang w:val="en-US" w:eastAsia="zh-CN" w:bidi="ar"/>
              </w:rPr>
              <w:t xml:space="preserve">在非正常工况下污水处理厂能够迅速恢复正常运行。 </w:t>
            </w:r>
          </w:p>
          <w:p w14:paraId="01BB6A36">
            <w:pPr>
              <w:adjustRightInd w:val="0"/>
              <w:snapToGrid w:val="0"/>
              <w:ind w:firstLine="480" w:firstLineChars="200"/>
              <w:jc w:val="left"/>
              <w:rPr>
                <w:rFonts w:hint="default"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bidi="ar"/>
              </w:rPr>
              <w:t>（3）严格控制处理单元的水量、水质、停留时间、负荷强度等，确保处理效果的稳定性。定期采样监测。操作人员及时调整</w:t>
            </w:r>
            <w:r>
              <w:rPr>
                <w:rFonts w:hint="eastAsia" w:cs="Times New Roman"/>
                <w:color w:val="auto"/>
                <w:sz w:val="24"/>
                <w:szCs w:val="24"/>
                <w:highlight w:val="none"/>
                <w:lang w:val="en-US" w:eastAsia="zh-CN" w:bidi="ar"/>
              </w:rPr>
              <w:t>设备</w:t>
            </w:r>
            <w:r>
              <w:rPr>
                <w:rFonts w:hint="default" w:ascii="Times New Roman" w:hAnsi="Times New Roman" w:eastAsia="宋体" w:cs="Times New Roman"/>
                <w:color w:val="auto"/>
                <w:sz w:val="24"/>
                <w:szCs w:val="24"/>
                <w:highlight w:val="none"/>
                <w:lang w:val="en-US" w:eastAsia="zh-CN" w:bidi="ar"/>
              </w:rPr>
              <w:t xml:space="preserve">，使设备处于最佳工况。 </w:t>
            </w:r>
          </w:p>
          <w:p w14:paraId="264E8190">
            <w:pPr>
              <w:adjustRightInd w:val="0"/>
              <w:snapToGrid w:val="0"/>
              <w:ind w:firstLine="480" w:firstLineChars="200"/>
              <w:jc w:val="left"/>
              <w:rPr>
                <w:rFonts w:hint="default"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bidi="ar"/>
              </w:rPr>
              <w:t xml:space="preserve">（4）加强污水处理厂人员的操作技能的培训，提高工作人员的应变能力，及时有效处理意外情况。 </w:t>
            </w:r>
          </w:p>
          <w:p w14:paraId="52911D6A">
            <w:pPr>
              <w:adjustRightInd w:val="0"/>
              <w:snapToGrid w:val="0"/>
              <w:ind w:firstLine="480" w:firstLineChars="200"/>
              <w:jc w:val="left"/>
              <w:rPr>
                <w:rFonts w:hint="default"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bidi="ar"/>
              </w:rPr>
              <w:t>（5）加强运行管理和进出水水质的监测工作，配备流量、水质自动分析控制仪器，定期取样监测，并</w:t>
            </w:r>
            <w:r>
              <w:rPr>
                <w:rFonts w:hint="eastAsia" w:cs="Times New Roman"/>
                <w:color w:val="auto"/>
                <w:sz w:val="24"/>
                <w:szCs w:val="24"/>
                <w:highlight w:val="none"/>
                <w:lang w:val="en-US" w:eastAsia="zh-CN" w:bidi="ar"/>
              </w:rPr>
              <w:t>做好</w:t>
            </w:r>
            <w:r>
              <w:rPr>
                <w:rFonts w:hint="default" w:ascii="Times New Roman" w:hAnsi="Times New Roman" w:eastAsia="宋体" w:cs="Times New Roman"/>
                <w:color w:val="auto"/>
                <w:sz w:val="24"/>
                <w:szCs w:val="24"/>
                <w:highlight w:val="none"/>
                <w:lang w:val="en-US" w:eastAsia="zh-CN" w:bidi="ar"/>
              </w:rPr>
              <w:t xml:space="preserve">消毒工作，未经处理达标的污水严禁外排。 </w:t>
            </w:r>
          </w:p>
          <w:p w14:paraId="008107FA">
            <w:pPr>
              <w:adjustRightInd w:val="0"/>
              <w:snapToGrid w:val="0"/>
              <w:ind w:firstLine="480" w:firstLineChars="200"/>
              <w:jc w:val="left"/>
              <w:rPr>
                <w:rFonts w:hint="default"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val="en-US" w:eastAsia="zh-CN" w:bidi="ar"/>
              </w:rPr>
              <w:t>（6）制定风险事故应急预案。在发生风险事故时，能以最快速度发挥最大的效能，有序地实施救援，减少</w:t>
            </w:r>
            <w:r>
              <w:rPr>
                <w:rFonts w:hint="eastAsia" w:cs="Times New Roman"/>
                <w:color w:val="auto"/>
                <w:sz w:val="24"/>
                <w:szCs w:val="24"/>
                <w:highlight w:val="none"/>
                <w:lang w:val="en-US" w:eastAsia="zh-CN" w:bidi="ar"/>
              </w:rPr>
              <w:t>因</w:t>
            </w:r>
            <w:r>
              <w:rPr>
                <w:rFonts w:hint="default" w:ascii="Times New Roman" w:hAnsi="Times New Roman" w:eastAsia="宋体" w:cs="Times New Roman"/>
                <w:color w:val="auto"/>
                <w:sz w:val="24"/>
                <w:szCs w:val="24"/>
                <w:highlight w:val="none"/>
                <w:lang w:val="en-US" w:eastAsia="zh-CN" w:bidi="ar"/>
              </w:rPr>
              <w:t xml:space="preserve">事故造成的损失。 </w:t>
            </w:r>
          </w:p>
          <w:p w14:paraId="411B9D3D">
            <w:pPr>
              <w:adjustRightInd w:val="0"/>
              <w:snapToGrid w:val="0"/>
              <w:ind w:firstLine="480" w:firstLineChars="200"/>
              <w:jc w:val="left"/>
              <w:rPr>
                <w:rFonts w:hint="default" w:ascii="Times New Roman" w:hAnsi="Times New Roman" w:eastAsia="宋体" w:cs="Times New Roman"/>
                <w:color w:val="auto"/>
                <w:sz w:val="24"/>
                <w:szCs w:val="24"/>
                <w:highlight w:val="none"/>
                <w:lang w:bidi="zh-CN"/>
              </w:rPr>
            </w:pPr>
            <w:r>
              <w:rPr>
                <w:rFonts w:hint="default" w:ascii="Times New Roman" w:hAnsi="Times New Roman" w:eastAsia="宋体" w:cs="Times New Roman"/>
                <w:color w:val="auto"/>
                <w:sz w:val="24"/>
                <w:szCs w:val="24"/>
                <w:highlight w:val="none"/>
                <w:lang w:val="en-US" w:eastAsia="zh-CN" w:bidi="ar"/>
              </w:rPr>
              <w:t>（7）本厂危险品由专人运输，不可在阳光下暴晒，远离热源、火种，与自燃物、易燃物隔离储运，隔离存放。</w:t>
            </w:r>
          </w:p>
        </w:tc>
      </w:tr>
      <w:tr w14:paraId="391A8D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538" w:type="dxa"/>
            <w:vAlign w:val="center"/>
          </w:tcPr>
          <w:p w14:paraId="5C12E8A0">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其他环境</w:t>
            </w:r>
          </w:p>
          <w:p w14:paraId="5C7328ED">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管理要求</w:t>
            </w:r>
          </w:p>
        </w:tc>
        <w:tc>
          <w:tcPr>
            <w:tcW w:w="7262" w:type="dxa"/>
            <w:gridSpan w:val="4"/>
            <w:vAlign w:val="center"/>
          </w:tcPr>
          <w:p w14:paraId="48F5EE07">
            <w:pPr>
              <w:adjustRightInd w:val="0"/>
              <w:snapToGrid w:val="0"/>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1.环境保护管理</w:t>
            </w:r>
          </w:p>
          <w:p w14:paraId="1DB96BE5">
            <w:pPr>
              <w:adjustRightInd w:val="0"/>
              <w:snapToGrid w:val="0"/>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加强管理，保证污染防治设施的正常运行，最大限度地减少污染排放给环境造成的影响。</w:t>
            </w:r>
            <w:r>
              <w:rPr>
                <w:rFonts w:hint="eastAsia" w:cs="Times New Roman"/>
                <w:color w:val="auto"/>
                <w:sz w:val="24"/>
                <w:szCs w:val="24"/>
                <w:lang w:eastAsia="zh-CN"/>
              </w:rPr>
              <w:t>加强</w:t>
            </w:r>
            <w:r>
              <w:rPr>
                <w:rFonts w:hint="default" w:ascii="Times New Roman" w:hAnsi="Times New Roman" w:cs="Times New Roman"/>
                <w:color w:val="auto"/>
                <w:sz w:val="24"/>
                <w:szCs w:val="24"/>
              </w:rPr>
              <w:t>环保设</w:t>
            </w:r>
            <w:bookmarkStart w:id="7" w:name="_GoBack"/>
            <w:bookmarkEnd w:id="7"/>
            <w:r>
              <w:rPr>
                <w:rFonts w:hint="default" w:ascii="Times New Roman" w:hAnsi="Times New Roman" w:cs="Times New Roman"/>
                <w:color w:val="auto"/>
                <w:sz w:val="24"/>
                <w:szCs w:val="24"/>
              </w:rPr>
              <w:t>施的日常管理和维护保养</w:t>
            </w:r>
            <w:r>
              <w:rPr>
                <w:rFonts w:hint="eastAsia" w:cs="Times New Roman"/>
                <w:color w:val="auto"/>
                <w:sz w:val="24"/>
                <w:szCs w:val="24"/>
                <w:lang w:eastAsia="zh-CN"/>
              </w:rPr>
              <w:t>，保障</w:t>
            </w:r>
            <w:r>
              <w:rPr>
                <w:rFonts w:hint="default" w:ascii="Times New Roman" w:hAnsi="Times New Roman" w:cs="Times New Roman"/>
                <w:color w:val="auto"/>
                <w:sz w:val="24"/>
                <w:szCs w:val="24"/>
              </w:rPr>
              <w:t>其长期稳定运行。通过宣传、学习，增强职工的环保意识，将生产管理和环保管理有机结合起来。</w:t>
            </w:r>
          </w:p>
          <w:p w14:paraId="6D6CF280">
            <w:pPr>
              <w:adjustRightInd w:val="0"/>
              <w:snapToGrid w:val="0"/>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2.与排污许可证制度的衔接</w:t>
            </w:r>
          </w:p>
          <w:p w14:paraId="07A00F31">
            <w:pPr>
              <w:adjustRightInd w:val="0"/>
              <w:snapToGrid w:val="0"/>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根据《关于做好环境影响评价制度与排污许可制度衔接相关工作的通知》（环办环评〔2017〕84号）及《固定污染源排污许可分类管理名录（2019年版）》（生态环境部令第11号），本项目属于</w:t>
            </w:r>
            <w:r>
              <w:rPr>
                <w:rFonts w:hint="eastAsia" w:ascii="Times New Roman" w:hAnsi="Times New Roman" w:eastAsia="宋体" w:cs="Times New Roman"/>
                <w:color w:val="auto"/>
                <w:sz w:val="24"/>
                <w:szCs w:val="24"/>
                <w:lang w:eastAsia="zh-CN"/>
              </w:rPr>
              <w:t>“</w:t>
            </w:r>
            <w:r>
              <w:rPr>
                <w:rFonts w:hint="default" w:ascii="Times New Roman" w:hAnsi="Times New Roman" w:cs="Times New Roman"/>
                <w:color w:val="auto"/>
                <w:sz w:val="24"/>
                <w:szCs w:val="24"/>
              </w:rPr>
              <w:t>四十一、水的生产和供应业46—99、污水处理及其再生利用462—日处理能力500吨及以上2万吨以下的城乡污水集中处理场所</w:t>
            </w:r>
            <w:r>
              <w:rPr>
                <w:rFonts w:hint="eastAsia" w:ascii="Times New Roman" w:hAnsi="Times New Roman" w:eastAsia="宋体" w:cs="Times New Roman"/>
                <w:color w:val="auto"/>
                <w:sz w:val="24"/>
                <w:szCs w:val="24"/>
                <w:lang w:eastAsia="zh-CN"/>
              </w:rPr>
              <w:t>”</w:t>
            </w:r>
            <w:r>
              <w:rPr>
                <w:rFonts w:hint="default" w:ascii="Times New Roman" w:hAnsi="Times New Roman" w:cs="Times New Roman"/>
                <w:color w:val="auto"/>
                <w:sz w:val="24"/>
                <w:szCs w:val="24"/>
              </w:rPr>
              <w:t>，属于排污简化管理类别。</w:t>
            </w:r>
            <w:r>
              <w:rPr>
                <w:rFonts w:hint="default" w:ascii="Times New Roman" w:hAnsi="Times New Roman" w:cs="Times New Roman"/>
                <w:color w:val="auto"/>
                <w:sz w:val="24"/>
                <w:szCs w:val="24"/>
                <w:lang w:val="en-US" w:eastAsia="zh-CN"/>
              </w:rPr>
              <w:t>本项目扩建完成后</w:t>
            </w:r>
            <w:r>
              <w:rPr>
                <w:rFonts w:hint="default" w:ascii="Times New Roman" w:hAnsi="Times New Roman" w:cs="Times New Roman"/>
                <w:color w:val="auto"/>
                <w:sz w:val="24"/>
                <w:szCs w:val="24"/>
              </w:rPr>
              <w:t>需重新申请取得排污许可证。</w:t>
            </w:r>
          </w:p>
          <w:p w14:paraId="2273737D">
            <w:pPr>
              <w:adjustRightInd w:val="0"/>
              <w:snapToGrid w:val="0"/>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3.竣工环保验收要求</w:t>
            </w:r>
          </w:p>
          <w:p w14:paraId="3D1C3D8D">
            <w:pPr>
              <w:adjustRightInd w:val="0"/>
              <w:snapToGrid w:val="0"/>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根据《建设项目竣工环境保护验收暂行办法》的规定，建设项目竣工后，建设单位应当如实查验、监测、记载建设项目环境保护设施的建设和调试情况，并编制验收监测报告。</w:t>
            </w:r>
          </w:p>
          <w:p w14:paraId="4A025374">
            <w:pPr>
              <w:adjustRightInd w:val="0"/>
              <w:snapToGrid w:val="0"/>
              <w:ind w:firstLine="480" w:firstLineChars="200"/>
              <w:jc w:val="left"/>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4.自行监测</w:t>
            </w:r>
          </w:p>
          <w:p w14:paraId="4E0627C4">
            <w:pPr>
              <w:adjustRightInd w:val="0"/>
              <w:snapToGrid w:val="0"/>
              <w:ind w:firstLine="480" w:firstLineChars="200"/>
              <w:jc w:val="left"/>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根据《排污单位自行监测技术指南总则》（HJ819-2017）、《排污单位自行监测技术指南 水处理》（HJ 1083-2020）要求，定期进行排污监测。</w:t>
            </w:r>
          </w:p>
        </w:tc>
      </w:tr>
    </w:tbl>
    <w:p w14:paraId="4AAE0DCA">
      <w:pPr>
        <w:pStyle w:val="8"/>
        <w:jc w:val="center"/>
        <w:outlineLvl w:val="0"/>
        <w:rPr>
          <w:rFonts w:hint="default" w:ascii="Times New Roman" w:hAnsi="Times New Roman" w:eastAsia="宋体" w:cs="Times New Roman"/>
          <w:b/>
          <w:bCs/>
          <w:snapToGrid w:val="0"/>
          <w:color w:val="auto"/>
          <w:sz w:val="30"/>
          <w:szCs w:val="30"/>
          <w:highlight w:val="none"/>
        </w:rPr>
      </w:pPr>
      <w:r>
        <w:rPr>
          <w:rFonts w:hint="default" w:ascii="Times New Roman" w:hAnsi="Times New Roman" w:eastAsia="宋体" w:cs="Times New Roman"/>
          <w:snapToGrid w:val="0"/>
          <w:color w:val="auto"/>
          <w:highlight w:val="none"/>
        </w:rPr>
        <w:br w:type="page"/>
      </w:r>
      <w:r>
        <w:rPr>
          <w:rFonts w:hint="default" w:ascii="Times New Roman" w:hAnsi="Times New Roman" w:eastAsia="宋体" w:cs="Times New Roman"/>
          <w:b/>
          <w:bCs/>
          <w:snapToGrid w:val="0"/>
          <w:color w:val="auto"/>
          <w:sz w:val="30"/>
          <w:szCs w:val="30"/>
          <w:highlight w:val="none"/>
        </w:rPr>
        <w:t>六、结论</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56A6D4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1253D288">
            <w:pPr>
              <w:spacing w:line="360" w:lineRule="auto"/>
              <w:ind w:firstLine="480" w:firstLineChars="200"/>
              <w:rPr>
                <w:rFonts w:hint="default" w:ascii="Times New Roman" w:hAnsi="Times New Roman" w:eastAsia="宋体" w:cs="Times New Roman"/>
                <w:bCs/>
                <w:color w:val="auto"/>
                <w:szCs w:val="21"/>
                <w:highlight w:val="none"/>
              </w:rPr>
            </w:pPr>
          </w:p>
          <w:p w14:paraId="34C05E35">
            <w:pPr>
              <w:spacing w:line="360" w:lineRule="auto"/>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本项目符合产业政策、选址合理，项目的建设</w:t>
            </w:r>
            <w:r>
              <w:rPr>
                <w:rFonts w:hint="eastAsia" w:cs="Times New Roman"/>
                <w:bCs/>
                <w:color w:val="auto"/>
                <w:sz w:val="24"/>
                <w:szCs w:val="24"/>
                <w:highlight w:val="none"/>
                <w:lang w:eastAsia="zh-CN"/>
              </w:rPr>
              <w:t>会</w:t>
            </w:r>
            <w:r>
              <w:rPr>
                <w:rFonts w:hint="default" w:ascii="Times New Roman" w:hAnsi="Times New Roman" w:eastAsia="宋体" w:cs="Times New Roman"/>
                <w:bCs/>
                <w:color w:val="auto"/>
                <w:sz w:val="24"/>
                <w:szCs w:val="24"/>
                <w:highlight w:val="none"/>
              </w:rPr>
              <w:t>对周围环境产生一定影响。在认真落实本报告中提出的各项污染防治措施及建议的前提下，加强环境管理，</w:t>
            </w:r>
            <w:r>
              <w:rPr>
                <w:rFonts w:hint="default" w:ascii="Times New Roman" w:hAnsi="Times New Roman" w:eastAsia="宋体" w:cs="Times New Roman"/>
                <w:bCs/>
                <w:color w:val="auto"/>
                <w:sz w:val="24"/>
                <w:szCs w:val="24"/>
                <w:highlight w:val="none"/>
                <w:lang w:eastAsia="zh-CN"/>
              </w:rPr>
              <w:t>其</w:t>
            </w:r>
            <w:r>
              <w:rPr>
                <w:rFonts w:hint="default" w:ascii="Times New Roman" w:hAnsi="Times New Roman" w:eastAsia="宋体" w:cs="Times New Roman"/>
                <w:bCs/>
                <w:color w:val="auto"/>
                <w:sz w:val="24"/>
                <w:szCs w:val="24"/>
                <w:highlight w:val="none"/>
              </w:rPr>
              <w:t xml:space="preserve">废气、废水、噪声、固体废物等对周围环境的影响控制在可接受范围内。项目建设对周边生态影响较小。从环境保护角度分析，该项目建设可行。 </w:t>
            </w:r>
          </w:p>
          <w:p w14:paraId="52EAF6F0">
            <w:pPr>
              <w:spacing w:line="360" w:lineRule="auto"/>
              <w:ind w:firstLine="480" w:firstLineChars="200"/>
              <w:rPr>
                <w:rFonts w:hint="default" w:ascii="Times New Roman" w:hAnsi="Times New Roman" w:eastAsia="宋体" w:cs="Times New Roman"/>
                <w:bCs/>
                <w:color w:val="auto"/>
                <w:szCs w:val="21"/>
                <w:highlight w:val="none"/>
              </w:rPr>
            </w:pPr>
          </w:p>
          <w:p w14:paraId="1B102D4E">
            <w:pPr>
              <w:spacing w:line="360" w:lineRule="auto"/>
              <w:ind w:firstLine="480" w:firstLineChars="200"/>
              <w:rPr>
                <w:rFonts w:hint="default" w:ascii="Times New Roman" w:hAnsi="Times New Roman" w:eastAsia="宋体" w:cs="Times New Roman"/>
                <w:color w:val="auto"/>
                <w:szCs w:val="21"/>
                <w:highlight w:val="none"/>
              </w:rPr>
            </w:pPr>
          </w:p>
        </w:tc>
      </w:tr>
    </w:tbl>
    <w:p w14:paraId="685A85B1">
      <w:pPr>
        <w:rPr>
          <w:rFonts w:hint="default" w:ascii="Times New Roman" w:hAnsi="Times New Roman" w:eastAsia="宋体" w:cs="Times New Roman"/>
          <w:color w:val="auto"/>
          <w:highlight w:val="none"/>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4D256A13">
      <w:pPr>
        <w:pStyle w:val="8"/>
        <w:adjustRightInd w:val="0"/>
        <w:snapToGrid w:val="0"/>
        <w:spacing w:before="0" w:beforeAutospacing="0" w:after="0" w:afterAutospacing="0"/>
        <w:outlineLvl w:val="0"/>
        <w:rPr>
          <w:rFonts w:hint="default" w:ascii="Times New Roman" w:hAnsi="Times New Roman" w:eastAsia="宋体" w:cs="Times New Roman"/>
          <w:b/>
          <w:bCs/>
          <w:snapToGrid w:val="0"/>
          <w:color w:val="auto"/>
          <w:sz w:val="32"/>
          <w:szCs w:val="32"/>
          <w:highlight w:val="none"/>
        </w:rPr>
      </w:pPr>
      <w:r>
        <w:rPr>
          <w:rFonts w:hint="default" w:ascii="Times New Roman" w:hAnsi="Times New Roman" w:eastAsia="宋体" w:cs="Times New Roman"/>
          <w:b/>
          <w:bCs/>
          <w:snapToGrid w:val="0"/>
          <w:color w:val="auto"/>
          <w:sz w:val="32"/>
          <w:szCs w:val="32"/>
          <w:highlight w:val="none"/>
        </w:rPr>
        <w:t>附表</w:t>
      </w:r>
    </w:p>
    <w:p w14:paraId="2F632AED">
      <w:pPr>
        <w:pStyle w:val="8"/>
        <w:adjustRightInd w:val="0"/>
        <w:snapToGrid w:val="0"/>
        <w:spacing w:before="0" w:beforeAutospacing="0" w:after="0" w:afterAutospacing="0"/>
        <w:jc w:val="right"/>
        <w:rPr>
          <w:rFonts w:hint="default" w:ascii="Times New Roman" w:hAnsi="Times New Roman" w:eastAsia="宋体" w:cs="Times New Roman"/>
          <w:b/>
          <w:bCs/>
          <w:snapToGrid w:val="0"/>
          <w:color w:val="auto"/>
          <w:sz w:val="38"/>
          <w:szCs w:val="38"/>
          <w:highlight w:val="none"/>
          <w:lang w:eastAsia="zh-CN"/>
        </w:rPr>
      </w:pPr>
      <w:r>
        <w:rPr>
          <w:rFonts w:hint="default" w:ascii="Times New Roman" w:hAnsi="Times New Roman" w:eastAsia="宋体" w:cs="Times New Roman"/>
          <w:b/>
          <w:bCs/>
          <w:snapToGrid w:val="0"/>
          <w:color w:val="auto"/>
          <w:sz w:val="38"/>
          <w:szCs w:val="38"/>
          <w:highlight w:val="none"/>
        </w:rPr>
        <w:t>建设项目污染物排放量汇总表</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单位：t/a</w:t>
      </w:r>
      <w:r>
        <w:rPr>
          <w:rFonts w:hint="default" w:ascii="Times New Roman" w:hAnsi="Times New Roman" w:cs="Times New Roman"/>
          <w:color w:val="auto"/>
          <w:lang w:eastAsia="zh-CN"/>
        </w:rPr>
        <w:t>）</w:t>
      </w:r>
    </w:p>
    <w:tbl>
      <w:tblPr>
        <w:tblStyle w:val="10"/>
        <w:tblW w:w="139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641"/>
        <w:gridCol w:w="1276"/>
      </w:tblGrid>
      <w:tr w14:paraId="351492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88" w:type="dxa"/>
            <w:tcBorders>
              <w:tl2br w:val="single" w:color="auto" w:sz="4" w:space="0"/>
            </w:tcBorders>
            <w:tcMar>
              <w:left w:w="28" w:type="dxa"/>
              <w:right w:w="28" w:type="dxa"/>
            </w:tcMar>
            <w:vAlign w:val="center"/>
          </w:tcPr>
          <w:p w14:paraId="0A729FA4">
            <w:pPr>
              <w:pStyle w:val="15"/>
              <w:spacing w:beforeLines="0" w:afterLines="0" w:line="240" w:lineRule="auto"/>
              <w:jc w:val="right"/>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项目</w:t>
            </w:r>
          </w:p>
          <w:p w14:paraId="6A630C60">
            <w:pPr>
              <w:pStyle w:val="15"/>
              <w:spacing w:beforeLines="0" w:afterLines="0" w:line="240" w:lineRule="auto"/>
              <w:jc w:val="left"/>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分类</w:t>
            </w:r>
          </w:p>
        </w:tc>
        <w:tc>
          <w:tcPr>
            <w:tcW w:w="1417" w:type="dxa"/>
            <w:tcMar>
              <w:left w:w="28" w:type="dxa"/>
              <w:right w:w="28" w:type="dxa"/>
            </w:tcMar>
            <w:vAlign w:val="center"/>
          </w:tcPr>
          <w:p w14:paraId="74DEA8BF">
            <w:pPr>
              <w:pStyle w:val="15"/>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污染物名称</w:t>
            </w:r>
          </w:p>
        </w:tc>
        <w:tc>
          <w:tcPr>
            <w:tcW w:w="1701" w:type="dxa"/>
            <w:tcMar>
              <w:left w:w="28" w:type="dxa"/>
              <w:right w:w="28" w:type="dxa"/>
            </w:tcMar>
            <w:vAlign w:val="center"/>
          </w:tcPr>
          <w:p w14:paraId="1CFC9A7B">
            <w:pPr>
              <w:pStyle w:val="15"/>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现有工程</w:t>
            </w:r>
          </w:p>
          <w:p w14:paraId="21BF1429">
            <w:pPr>
              <w:pStyle w:val="15"/>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排放量（固体废物产生量）</w:t>
            </w:r>
            <w:r>
              <w:rPr>
                <w:rFonts w:hint="default" w:ascii="Times New Roman" w:hAnsi="Times New Roman" w:eastAsia="宋体" w:cs="Times New Roman"/>
                <w:b/>
                <w:bCs/>
                <w:snapToGrid w:val="0"/>
                <w:color w:val="auto"/>
                <w:spacing w:val="-6"/>
                <w:kern w:val="21"/>
                <w:sz w:val="24"/>
                <w:szCs w:val="24"/>
                <w:highlight w:val="none"/>
              </w:rPr>
              <w:fldChar w:fldCharType="begin"/>
            </w:r>
            <w:r>
              <w:rPr>
                <w:rFonts w:hint="default" w:ascii="Times New Roman" w:hAnsi="Times New Roman" w:eastAsia="宋体" w:cs="Times New Roman"/>
                <w:b/>
                <w:bCs/>
                <w:snapToGrid w:val="0"/>
                <w:color w:val="auto"/>
                <w:spacing w:val="-6"/>
                <w:kern w:val="21"/>
                <w:sz w:val="24"/>
                <w:szCs w:val="24"/>
                <w:highlight w:val="none"/>
              </w:rPr>
              <w:instrText xml:space="preserve"> = 1 \* GB3 \* MERGEFORMAT </w:instrText>
            </w:r>
            <w:r>
              <w:rPr>
                <w:rFonts w:hint="default" w:ascii="Times New Roman" w:hAnsi="Times New Roman" w:eastAsia="宋体" w:cs="Times New Roman"/>
                <w:b/>
                <w:bCs/>
                <w:snapToGrid w:val="0"/>
                <w:color w:val="auto"/>
                <w:spacing w:val="-6"/>
                <w:kern w:val="21"/>
                <w:sz w:val="24"/>
                <w:szCs w:val="24"/>
                <w:highlight w:val="none"/>
              </w:rPr>
              <w:fldChar w:fldCharType="separate"/>
            </w:r>
            <w:r>
              <w:rPr>
                <w:rFonts w:hint="default" w:ascii="Times New Roman" w:hAnsi="Times New Roman" w:eastAsia="宋体" w:cs="Times New Roman"/>
                <w:b/>
                <w:bCs/>
                <w:color w:val="auto"/>
                <w:kern w:val="2"/>
                <w:sz w:val="24"/>
                <w:szCs w:val="24"/>
                <w:highlight w:val="none"/>
              </w:rPr>
              <w:t>①</w:t>
            </w:r>
            <w:r>
              <w:rPr>
                <w:rFonts w:hint="default" w:ascii="Times New Roman" w:hAnsi="Times New Roman" w:eastAsia="宋体" w:cs="Times New Roman"/>
                <w:b/>
                <w:bCs/>
                <w:snapToGrid w:val="0"/>
                <w:color w:val="auto"/>
                <w:spacing w:val="-6"/>
                <w:kern w:val="21"/>
                <w:sz w:val="24"/>
                <w:szCs w:val="24"/>
                <w:highlight w:val="none"/>
              </w:rPr>
              <w:fldChar w:fldCharType="end"/>
            </w:r>
          </w:p>
        </w:tc>
        <w:tc>
          <w:tcPr>
            <w:tcW w:w="1276" w:type="dxa"/>
            <w:tcMar>
              <w:left w:w="28" w:type="dxa"/>
              <w:right w:w="28" w:type="dxa"/>
            </w:tcMar>
            <w:vAlign w:val="center"/>
          </w:tcPr>
          <w:p w14:paraId="3A753A91">
            <w:pPr>
              <w:pStyle w:val="15"/>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现有工程</w:t>
            </w:r>
          </w:p>
          <w:p w14:paraId="3E54A611">
            <w:pPr>
              <w:pStyle w:val="15"/>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许可排放量</w:t>
            </w:r>
          </w:p>
          <w:p w14:paraId="5073A866">
            <w:pPr>
              <w:pStyle w:val="15"/>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fldChar w:fldCharType="begin"/>
            </w:r>
            <w:r>
              <w:rPr>
                <w:rFonts w:hint="default" w:ascii="Times New Roman" w:hAnsi="Times New Roman" w:eastAsia="宋体" w:cs="Times New Roman"/>
                <w:b/>
                <w:bCs/>
                <w:snapToGrid w:val="0"/>
                <w:color w:val="auto"/>
                <w:spacing w:val="-6"/>
                <w:kern w:val="21"/>
                <w:sz w:val="24"/>
                <w:szCs w:val="24"/>
                <w:highlight w:val="none"/>
              </w:rPr>
              <w:instrText xml:space="preserve"> = 2 \* GB3 \* MERGEFORMAT </w:instrText>
            </w:r>
            <w:r>
              <w:rPr>
                <w:rFonts w:hint="default" w:ascii="Times New Roman" w:hAnsi="Times New Roman" w:eastAsia="宋体" w:cs="Times New Roman"/>
                <w:b/>
                <w:bCs/>
                <w:snapToGrid w:val="0"/>
                <w:color w:val="auto"/>
                <w:spacing w:val="-6"/>
                <w:kern w:val="21"/>
                <w:sz w:val="24"/>
                <w:szCs w:val="24"/>
                <w:highlight w:val="none"/>
              </w:rPr>
              <w:fldChar w:fldCharType="separate"/>
            </w:r>
            <w:r>
              <w:rPr>
                <w:rFonts w:hint="default" w:ascii="Times New Roman" w:hAnsi="Times New Roman" w:eastAsia="宋体" w:cs="Times New Roman"/>
                <w:b/>
                <w:bCs/>
                <w:snapToGrid w:val="0"/>
                <w:color w:val="auto"/>
                <w:spacing w:val="-6"/>
                <w:kern w:val="21"/>
                <w:sz w:val="24"/>
                <w:szCs w:val="24"/>
                <w:highlight w:val="none"/>
              </w:rPr>
              <w:t>②</w:t>
            </w:r>
            <w:r>
              <w:rPr>
                <w:rFonts w:hint="default" w:ascii="Times New Roman" w:hAnsi="Times New Roman" w:eastAsia="宋体" w:cs="Times New Roman"/>
                <w:b/>
                <w:bCs/>
                <w:snapToGrid w:val="0"/>
                <w:color w:val="auto"/>
                <w:spacing w:val="-6"/>
                <w:kern w:val="21"/>
                <w:sz w:val="24"/>
                <w:szCs w:val="24"/>
                <w:highlight w:val="none"/>
              </w:rPr>
              <w:fldChar w:fldCharType="end"/>
            </w:r>
          </w:p>
        </w:tc>
        <w:tc>
          <w:tcPr>
            <w:tcW w:w="1701" w:type="dxa"/>
            <w:tcMar>
              <w:left w:w="28" w:type="dxa"/>
              <w:right w:w="28" w:type="dxa"/>
            </w:tcMar>
            <w:vAlign w:val="center"/>
          </w:tcPr>
          <w:p w14:paraId="0010432D">
            <w:pPr>
              <w:pStyle w:val="15"/>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在建工程</w:t>
            </w:r>
          </w:p>
          <w:p w14:paraId="0AEDBAF7">
            <w:pPr>
              <w:pStyle w:val="15"/>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排放量（固体废物产生量）</w:t>
            </w:r>
            <w:r>
              <w:rPr>
                <w:rFonts w:hint="default" w:ascii="Times New Roman" w:hAnsi="Times New Roman" w:eastAsia="宋体" w:cs="Times New Roman"/>
                <w:b/>
                <w:bCs/>
                <w:snapToGrid w:val="0"/>
                <w:color w:val="auto"/>
                <w:spacing w:val="-6"/>
                <w:kern w:val="21"/>
                <w:sz w:val="24"/>
                <w:szCs w:val="24"/>
                <w:highlight w:val="none"/>
              </w:rPr>
              <w:fldChar w:fldCharType="begin"/>
            </w:r>
            <w:r>
              <w:rPr>
                <w:rFonts w:hint="default" w:ascii="Times New Roman" w:hAnsi="Times New Roman" w:eastAsia="宋体" w:cs="Times New Roman"/>
                <w:b/>
                <w:bCs/>
                <w:snapToGrid w:val="0"/>
                <w:color w:val="auto"/>
                <w:spacing w:val="-6"/>
                <w:kern w:val="21"/>
                <w:sz w:val="24"/>
                <w:szCs w:val="24"/>
                <w:highlight w:val="none"/>
              </w:rPr>
              <w:instrText xml:space="preserve"> = 3 \* GB3 \* MERGEFORMAT </w:instrText>
            </w:r>
            <w:r>
              <w:rPr>
                <w:rFonts w:hint="default" w:ascii="Times New Roman" w:hAnsi="Times New Roman" w:eastAsia="宋体" w:cs="Times New Roman"/>
                <w:b/>
                <w:bCs/>
                <w:snapToGrid w:val="0"/>
                <w:color w:val="auto"/>
                <w:spacing w:val="-6"/>
                <w:kern w:val="21"/>
                <w:sz w:val="24"/>
                <w:szCs w:val="24"/>
                <w:highlight w:val="none"/>
              </w:rPr>
              <w:fldChar w:fldCharType="separate"/>
            </w:r>
            <w:r>
              <w:rPr>
                <w:rFonts w:hint="default" w:ascii="Times New Roman" w:hAnsi="Times New Roman" w:eastAsia="宋体" w:cs="Times New Roman"/>
                <w:b/>
                <w:bCs/>
                <w:color w:val="auto"/>
                <w:kern w:val="2"/>
                <w:sz w:val="24"/>
                <w:szCs w:val="24"/>
                <w:highlight w:val="none"/>
              </w:rPr>
              <w:t>③</w:t>
            </w:r>
            <w:r>
              <w:rPr>
                <w:rFonts w:hint="default" w:ascii="Times New Roman" w:hAnsi="Times New Roman" w:eastAsia="宋体" w:cs="Times New Roman"/>
                <w:b/>
                <w:bCs/>
                <w:snapToGrid w:val="0"/>
                <w:color w:val="auto"/>
                <w:spacing w:val="-6"/>
                <w:kern w:val="21"/>
                <w:sz w:val="24"/>
                <w:szCs w:val="24"/>
                <w:highlight w:val="none"/>
              </w:rPr>
              <w:fldChar w:fldCharType="end"/>
            </w:r>
          </w:p>
        </w:tc>
        <w:tc>
          <w:tcPr>
            <w:tcW w:w="1559" w:type="dxa"/>
            <w:tcMar>
              <w:left w:w="28" w:type="dxa"/>
              <w:right w:w="28" w:type="dxa"/>
            </w:tcMar>
            <w:vAlign w:val="center"/>
          </w:tcPr>
          <w:p w14:paraId="5D2A5040">
            <w:pPr>
              <w:pStyle w:val="15"/>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本项目</w:t>
            </w:r>
          </w:p>
          <w:p w14:paraId="3B55896D">
            <w:pPr>
              <w:pStyle w:val="15"/>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排放量（固体废物产生量）</w:t>
            </w:r>
            <w:r>
              <w:rPr>
                <w:rFonts w:hint="default" w:ascii="Times New Roman" w:hAnsi="Times New Roman" w:eastAsia="宋体" w:cs="Times New Roman"/>
                <w:b/>
                <w:bCs/>
                <w:snapToGrid w:val="0"/>
                <w:color w:val="auto"/>
                <w:spacing w:val="-6"/>
                <w:kern w:val="21"/>
                <w:sz w:val="24"/>
                <w:szCs w:val="24"/>
                <w:highlight w:val="none"/>
              </w:rPr>
              <w:fldChar w:fldCharType="begin"/>
            </w:r>
            <w:r>
              <w:rPr>
                <w:rFonts w:hint="default" w:ascii="Times New Roman" w:hAnsi="Times New Roman" w:eastAsia="宋体" w:cs="Times New Roman"/>
                <w:b/>
                <w:bCs/>
                <w:snapToGrid w:val="0"/>
                <w:color w:val="auto"/>
                <w:spacing w:val="-6"/>
                <w:kern w:val="21"/>
                <w:sz w:val="24"/>
                <w:szCs w:val="24"/>
                <w:highlight w:val="none"/>
              </w:rPr>
              <w:instrText xml:space="preserve"> = 4 \* GB3 \* MERGEFORMAT </w:instrText>
            </w:r>
            <w:r>
              <w:rPr>
                <w:rFonts w:hint="default" w:ascii="Times New Roman" w:hAnsi="Times New Roman" w:eastAsia="宋体" w:cs="Times New Roman"/>
                <w:b/>
                <w:bCs/>
                <w:snapToGrid w:val="0"/>
                <w:color w:val="auto"/>
                <w:spacing w:val="-6"/>
                <w:kern w:val="21"/>
                <w:sz w:val="24"/>
                <w:szCs w:val="24"/>
                <w:highlight w:val="none"/>
              </w:rPr>
              <w:fldChar w:fldCharType="separate"/>
            </w:r>
            <w:r>
              <w:rPr>
                <w:rFonts w:hint="default" w:ascii="Times New Roman" w:hAnsi="Times New Roman" w:eastAsia="宋体" w:cs="Times New Roman"/>
                <w:b/>
                <w:bCs/>
                <w:color w:val="auto"/>
                <w:kern w:val="2"/>
                <w:sz w:val="24"/>
                <w:szCs w:val="24"/>
                <w:highlight w:val="none"/>
              </w:rPr>
              <w:t>④</w:t>
            </w:r>
            <w:r>
              <w:rPr>
                <w:rFonts w:hint="default" w:ascii="Times New Roman" w:hAnsi="Times New Roman" w:eastAsia="宋体" w:cs="Times New Roman"/>
                <w:b/>
                <w:bCs/>
                <w:snapToGrid w:val="0"/>
                <w:color w:val="auto"/>
                <w:spacing w:val="-6"/>
                <w:kern w:val="21"/>
                <w:sz w:val="24"/>
                <w:szCs w:val="24"/>
                <w:highlight w:val="none"/>
              </w:rPr>
              <w:fldChar w:fldCharType="end"/>
            </w:r>
          </w:p>
        </w:tc>
        <w:tc>
          <w:tcPr>
            <w:tcW w:w="1761" w:type="dxa"/>
            <w:tcMar>
              <w:left w:w="28" w:type="dxa"/>
              <w:right w:w="28" w:type="dxa"/>
            </w:tcMar>
            <w:vAlign w:val="center"/>
          </w:tcPr>
          <w:p w14:paraId="5B85EA9F">
            <w:pPr>
              <w:pStyle w:val="15"/>
              <w:spacing w:beforeLines="0" w:afterLines="0" w:line="240" w:lineRule="auto"/>
              <w:jc w:val="center"/>
              <w:rPr>
                <w:rFonts w:hint="default" w:ascii="Times New Roman" w:hAnsi="Times New Roman" w:eastAsia="宋体" w:cs="Times New Roman"/>
                <w:b/>
                <w:bCs/>
                <w:snapToGrid w:val="0"/>
                <w:color w:val="auto"/>
                <w:spacing w:val="-16"/>
                <w:kern w:val="21"/>
                <w:sz w:val="24"/>
                <w:szCs w:val="24"/>
                <w:highlight w:val="none"/>
              </w:rPr>
            </w:pPr>
            <w:r>
              <w:rPr>
                <w:rFonts w:hint="default" w:ascii="Times New Roman" w:hAnsi="Times New Roman" w:eastAsia="宋体" w:cs="Times New Roman"/>
                <w:b/>
                <w:bCs/>
                <w:snapToGrid w:val="0"/>
                <w:color w:val="auto"/>
                <w:spacing w:val="-16"/>
                <w:kern w:val="21"/>
                <w:sz w:val="24"/>
                <w:szCs w:val="24"/>
                <w:highlight w:val="none"/>
              </w:rPr>
              <w:t>以新带老削减总量</w:t>
            </w:r>
          </w:p>
          <w:p w14:paraId="3B86AF4D">
            <w:pPr>
              <w:pStyle w:val="15"/>
              <w:spacing w:beforeLines="0" w:afterLines="0" w:line="240" w:lineRule="auto"/>
              <w:jc w:val="center"/>
              <w:rPr>
                <w:rFonts w:hint="default" w:ascii="Times New Roman" w:hAnsi="Times New Roman" w:eastAsia="宋体" w:cs="Times New Roman"/>
                <w:b/>
                <w:bCs/>
                <w:snapToGrid w:val="0"/>
                <w:color w:val="auto"/>
                <w:spacing w:val="-16"/>
                <w:kern w:val="21"/>
                <w:sz w:val="24"/>
                <w:szCs w:val="24"/>
                <w:highlight w:val="none"/>
              </w:rPr>
            </w:pPr>
            <w:r>
              <w:rPr>
                <w:rFonts w:hint="default" w:ascii="Times New Roman" w:hAnsi="Times New Roman" w:eastAsia="宋体" w:cs="Times New Roman"/>
                <w:b/>
                <w:bCs/>
                <w:snapToGrid w:val="0"/>
                <w:color w:val="auto"/>
                <w:spacing w:val="-16"/>
                <w:kern w:val="21"/>
                <w:sz w:val="24"/>
                <w:szCs w:val="24"/>
                <w:highlight w:val="none"/>
              </w:rPr>
              <w:t>（新建项目不填）</w:t>
            </w:r>
            <w:r>
              <w:rPr>
                <w:rFonts w:hint="default" w:ascii="Times New Roman" w:hAnsi="Times New Roman" w:eastAsia="宋体" w:cs="Times New Roman"/>
                <w:b/>
                <w:bCs/>
                <w:snapToGrid w:val="0"/>
                <w:color w:val="auto"/>
                <w:spacing w:val="-16"/>
                <w:kern w:val="21"/>
                <w:sz w:val="24"/>
                <w:szCs w:val="24"/>
                <w:highlight w:val="none"/>
              </w:rPr>
              <w:fldChar w:fldCharType="begin"/>
            </w:r>
            <w:r>
              <w:rPr>
                <w:rFonts w:hint="default" w:ascii="Times New Roman" w:hAnsi="Times New Roman" w:eastAsia="宋体" w:cs="Times New Roman"/>
                <w:b/>
                <w:bCs/>
                <w:snapToGrid w:val="0"/>
                <w:color w:val="auto"/>
                <w:spacing w:val="-16"/>
                <w:kern w:val="21"/>
                <w:sz w:val="24"/>
                <w:szCs w:val="24"/>
                <w:highlight w:val="none"/>
              </w:rPr>
              <w:instrText xml:space="preserve"> = 5 \* GB3 \* MERGEFORMAT </w:instrText>
            </w:r>
            <w:r>
              <w:rPr>
                <w:rFonts w:hint="default" w:ascii="Times New Roman" w:hAnsi="Times New Roman" w:eastAsia="宋体" w:cs="Times New Roman"/>
                <w:b/>
                <w:bCs/>
                <w:snapToGrid w:val="0"/>
                <w:color w:val="auto"/>
                <w:spacing w:val="-16"/>
                <w:kern w:val="21"/>
                <w:sz w:val="24"/>
                <w:szCs w:val="24"/>
                <w:highlight w:val="none"/>
              </w:rPr>
              <w:fldChar w:fldCharType="separate"/>
            </w:r>
            <w:r>
              <w:rPr>
                <w:rFonts w:hint="default" w:ascii="Times New Roman" w:hAnsi="Times New Roman" w:eastAsia="宋体" w:cs="Times New Roman"/>
                <w:b/>
                <w:bCs/>
                <w:color w:val="auto"/>
                <w:kern w:val="2"/>
                <w:sz w:val="24"/>
                <w:szCs w:val="24"/>
                <w:highlight w:val="none"/>
              </w:rPr>
              <w:t>⑤</w:t>
            </w:r>
            <w:r>
              <w:rPr>
                <w:rFonts w:hint="default" w:ascii="Times New Roman" w:hAnsi="Times New Roman" w:eastAsia="宋体" w:cs="Times New Roman"/>
                <w:b/>
                <w:bCs/>
                <w:snapToGrid w:val="0"/>
                <w:color w:val="auto"/>
                <w:spacing w:val="-16"/>
                <w:kern w:val="21"/>
                <w:sz w:val="24"/>
                <w:szCs w:val="24"/>
                <w:highlight w:val="none"/>
              </w:rPr>
              <w:fldChar w:fldCharType="end"/>
            </w:r>
          </w:p>
        </w:tc>
        <w:tc>
          <w:tcPr>
            <w:tcW w:w="1641" w:type="dxa"/>
            <w:tcMar>
              <w:left w:w="28" w:type="dxa"/>
              <w:right w:w="28" w:type="dxa"/>
            </w:tcMar>
            <w:vAlign w:val="center"/>
          </w:tcPr>
          <w:p w14:paraId="38FFF923">
            <w:pPr>
              <w:pStyle w:val="15"/>
              <w:spacing w:beforeLines="0" w:afterLines="0" w:line="240" w:lineRule="auto"/>
              <w:jc w:val="center"/>
              <w:rPr>
                <w:rFonts w:hint="default" w:ascii="Times New Roman" w:hAnsi="Times New Roman" w:eastAsia="宋体" w:cs="Times New Roman"/>
                <w:b/>
                <w:bCs/>
                <w:snapToGrid w:val="0"/>
                <w:color w:val="auto"/>
                <w:spacing w:val="-16"/>
                <w:kern w:val="21"/>
                <w:sz w:val="24"/>
                <w:szCs w:val="24"/>
                <w:highlight w:val="none"/>
              </w:rPr>
            </w:pPr>
            <w:r>
              <w:rPr>
                <w:rFonts w:hint="default" w:ascii="Times New Roman" w:hAnsi="Times New Roman" w:eastAsia="宋体" w:cs="Times New Roman"/>
                <w:b/>
                <w:bCs/>
                <w:snapToGrid w:val="0"/>
                <w:color w:val="auto"/>
                <w:spacing w:val="-16"/>
                <w:kern w:val="21"/>
                <w:sz w:val="24"/>
                <w:szCs w:val="24"/>
                <w:highlight w:val="none"/>
              </w:rPr>
              <w:t>本项目建成后</w:t>
            </w:r>
          </w:p>
          <w:p w14:paraId="4F05773A">
            <w:pPr>
              <w:pStyle w:val="15"/>
              <w:spacing w:beforeLines="0" w:afterLines="0" w:line="240" w:lineRule="auto"/>
              <w:jc w:val="center"/>
              <w:rPr>
                <w:rFonts w:hint="default" w:ascii="Times New Roman" w:hAnsi="Times New Roman" w:eastAsia="宋体" w:cs="Times New Roman"/>
                <w:b/>
                <w:bCs/>
                <w:snapToGrid w:val="0"/>
                <w:color w:val="auto"/>
                <w:spacing w:val="-16"/>
                <w:kern w:val="21"/>
                <w:sz w:val="24"/>
                <w:szCs w:val="24"/>
                <w:highlight w:val="none"/>
              </w:rPr>
            </w:pPr>
            <w:r>
              <w:rPr>
                <w:rFonts w:hint="default" w:ascii="Times New Roman" w:hAnsi="Times New Roman" w:eastAsia="宋体" w:cs="Times New Roman"/>
                <w:b/>
                <w:bCs/>
                <w:snapToGrid w:val="0"/>
                <w:color w:val="auto"/>
                <w:spacing w:val="-16"/>
                <w:kern w:val="21"/>
                <w:sz w:val="24"/>
                <w:szCs w:val="24"/>
                <w:highlight w:val="none"/>
              </w:rPr>
              <w:t>全厂排放量（固体废物产生量）</w:t>
            </w:r>
            <w:r>
              <w:rPr>
                <w:rFonts w:hint="default" w:ascii="Times New Roman" w:hAnsi="Times New Roman" w:eastAsia="宋体" w:cs="Times New Roman"/>
                <w:b/>
                <w:bCs/>
                <w:snapToGrid w:val="0"/>
                <w:color w:val="auto"/>
                <w:spacing w:val="-16"/>
                <w:kern w:val="21"/>
                <w:sz w:val="24"/>
                <w:szCs w:val="24"/>
                <w:highlight w:val="none"/>
              </w:rPr>
              <w:fldChar w:fldCharType="begin"/>
            </w:r>
            <w:r>
              <w:rPr>
                <w:rFonts w:hint="default" w:ascii="Times New Roman" w:hAnsi="Times New Roman" w:eastAsia="宋体" w:cs="Times New Roman"/>
                <w:b/>
                <w:bCs/>
                <w:snapToGrid w:val="0"/>
                <w:color w:val="auto"/>
                <w:spacing w:val="-16"/>
                <w:kern w:val="21"/>
                <w:sz w:val="24"/>
                <w:szCs w:val="24"/>
                <w:highlight w:val="none"/>
              </w:rPr>
              <w:instrText xml:space="preserve"> = 6 \* GB3 \* MERGEFORMAT </w:instrText>
            </w:r>
            <w:r>
              <w:rPr>
                <w:rFonts w:hint="default" w:ascii="Times New Roman" w:hAnsi="Times New Roman" w:eastAsia="宋体" w:cs="Times New Roman"/>
                <w:b/>
                <w:bCs/>
                <w:snapToGrid w:val="0"/>
                <w:color w:val="auto"/>
                <w:spacing w:val="-16"/>
                <w:kern w:val="21"/>
                <w:sz w:val="24"/>
                <w:szCs w:val="24"/>
                <w:highlight w:val="none"/>
              </w:rPr>
              <w:fldChar w:fldCharType="separate"/>
            </w:r>
            <w:r>
              <w:rPr>
                <w:rFonts w:hint="default" w:ascii="Times New Roman" w:hAnsi="Times New Roman" w:eastAsia="宋体" w:cs="Times New Roman"/>
                <w:b/>
                <w:bCs/>
                <w:color w:val="auto"/>
                <w:kern w:val="2"/>
                <w:sz w:val="24"/>
                <w:szCs w:val="24"/>
                <w:highlight w:val="none"/>
              </w:rPr>
              <w:t>⑥</w:t>
            </w:r>
            <w:r>
              <w:rPr>
                <w:rFonts w:hint="default" w:ascii="Times New Roman" w:hAnsi="Times New Roman" w:eastAsia="宋体" w:cs="Times New Roman"/>
                <w:b/>
                <w:bCs/>
                <w:snapToGrid w:val="0"/>
                <w:color w:val="auto"/>
                <w:spacing w:val="-16"/>
                <w:kern w:val="21"/>
                <w:sz w:val="24"/>
                <w:szCs w:val="24"/>
                <w:highlight w:val="none"/>
              </w:rPr>
              <w:fldChar w:fldCharType="end"/>
            </w:r>
          </w:p>
        </w:tc>
        <w:tc>
          <w:tcPr>
            <w:tcW w:w="1276" w:type="dxa"/>
            <w:tcMar>
              <w:left w:w="28" w:type="dxa"/>
              <w:right w:w="28" w:type="dxa"/>
            </w:tcMar>
            <w:vAlign w:val="center"/>
          </w:tcPr>
          <w:p w14:paraId="1FBBB8CD">
            <w:pPr>
              <w:pStyle w:val="15"/>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spacing w:val="-6"/>
                <w:kern w:val="21"/>
                <w:sz w:val="24"/>
                <w:szCs w:val="24"/>
                <w:highlight w:val="none"/>
              </w:rPr>
              <w:t>变化量</w:t>
            </w:r>
          </w:p>
          <w:p w14:paraId="7FAD43F2">
            <w:pPr>
              <w:pStyle w:val="15"/>
              <w:spacing w:beforeLines="0" w:afterLines="0" w:line="240" w:lineRule="auto"/>
              <w:jc w:val="center"/>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snapToGrid w:val="0"/>
                <w:color w:val="auto"/>
                <w:kern w:val="21"/>
                <w:sz w:val="24"/>
                <w:szCs w:val="24"/>
                <w:highlight w:val="none"/>
              </w:rPr>
              <w:fldChar w:fldCharType="begin"/>
            </w:r>
            <w:r>
              <w:rPr>
                <w:rFonts w:hint="default" w:ascii="Times New Roman" w:hAnsi="Times New Roman" w:eastAsia="宋体" w:cs="Times New Roman"/>
                <w:b/>
                <w:bCs/>
                <w:snapToGrid w:val="0"/>
                <w:color w:val="auto"/>
                <w:kern w:val="21"/>
                <w:sz w:val="24"/>
                <w:szCs w:val="24"/>
                <w:highlight w:val="none"/>
              </w:rPr>
              <w:instrText xml:space="preserve"> = 7 \* GB3 \* MERGEFORMAT </w:instrText>
            </w:r>
            <w:r>
              <w:rPr>
                <w:rFonts w:hint="default" w:ascii="Times New Roman" w:hAnsi="Times New Roman" w:eastAsia="宋体" w:cs="Times New Roman"/>
                <w:b/>
                <w:bCs/>
                <w:snapToGrid w:val="0"/>
                <w:color w:val="auto"/>
                <w:kern w:val="21"/>
                <w:sz w:val="24"/>
                <w:szCs w:val="24"/>
                <w:highlight w:val="none"/>
              </w:rPr>
              <w:fldChar w:fldCharType="separate"/>
            </w:r>
            <w:r>
              <w:rPr>
                <w:rFonts w:hint="default" w:ascii="Times New Roman" w:hAnsi="Times New Roman" w:eastAsia="宋体" w:cs="Times New Roman"/>
                <w:b/>
                <w:bCs/>
                <w:snapToGrid w:val="0"/>
                <w:color w:val="auto"/>
                <w:kern w:val="21"/>
                <w:sz w:val="24"/>
                <w:szCs w:val="24"/>
                <w:highlight w:val="none"/>
              </w:rPr>
              <w:t>⑦</w:t>
            </w:r>
            <w:r>
              <w:rPr>
                <w:rFonts w:hint="default" w:ascii="Times New Roman" w:hAnsi="Times New Roman" w:eastAsia="宋体" w:cs="Times New Roman"/>
                <w:b/>
                <w:bCs/>
                <w:snapToGrid w:val="0"/>
                <w:color w:val="auto"/>
                <w:kern w:val="21"/>
                <w:sz w:val="24"/>
                <w:szCs w:val="24"/>
                <w:highlight w:val="none"/>
              </w:rPr>
              <w:fldChar w:fldCharType="end"/>
            </w:r>
          </w:p>
        </w:tc>
      </w:tr>
      <w:tr w14:paraId="6A243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restart"/>
            <w:vAlign w:val="center"/>
          </w:tcPr>
          <w:p w14:paraId="71564DD0">
            <w:pPr>
              <w:pStyle w:val="15"/>
              <w:spacing w:beforeLines="0" w:afterLines="0" w:line="240" w:lineRule="auto"/>
              <w:jc w:val="center"/>
              <w:rPr>
                <w:rFonts w:hint="default" w:ascii="Times New Roman" w:hAnsi="Times New Roman" w:eastAsia="宋体" w:cs="Times New Roman"/>
                <w:b/>
                <w:bCs/>
                <w:snapToGrid w:val="0"/>
                <w:color w:val="auto"/>
                <w:kern w:val="21"/>
                <w:sz w:val="24"/>
                <w:szCs w:val="24"/>
                <w:highlight w:val="none"/>
              </w:rPr>
            </w:pPr>
            <w:r>
              <w:rPr>
                <w:rFonts w:hint="default" w:ascii="Times New Roman" w:hAnsi="Times New Roman" w:eastAsia="宋体" w:cs="Times New Roman"/>
                <w:b/>
                <w:bCs/>
                <w:snapToGrid w:val="0"/>
                <w:color w:val="auto"/>
                <w:kern w:val="21"/>
                <w:sz w:val="24"/>
                <w:szCs w:val="24"/>
                <w:highlight w:val="none"/>
              </w:rPr>
              <w:t>废气</w:t>
            </w:r>
          </w:p>
        </w:tc>
        <w:tc>
          <w:tcPr>
            <w:tcW w:w="1417" w:type="dxa"/>
            <w:shd w:val="clear" w:color="auto" w:fill="auto"/>
            <w:vAlign w:val="center"/>
          </w:tcPr>
          <w:p w14:paraId="16F42717">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N</w:t>
            </w:r>
            <w:r>
              <w:rPr>
                <w:rFonts w:hint="default" w:ascii="Times New Roman" w:hAnsi="Times New Roman" w:eastAsia="宋体" w:cs="Times New Roman"/>
                <w:i w:val="0"/>
                <w:iCs w:val="0"/>
                <w:color w:val="auto"/>
                <w:kern w:val="0"/>
                <w:sz w:val="24"/>
                <w:szCs w:val="24"/>
                <w:u w:val="none"/>
                <w:vertAlign w:val="baseline"/>
                <w:lang w:val="en-US" w:eastAsia="zh-CN" w:bidi="ar"/>
              </w:rPr>
              <w:t>H</w:t>
            </w:r>
            <w:r>
              <w:rPr>
                <w:rFonts w:hint="default" w:ascii="Times New Roman" w:hAnsi="Times New Roman" w:eastAsia="宋体" w:cs="Times New Roman"/>
                <w:i w:val="0"/>
                <w:iCs w:val="0"/>
                <w:color w:val="auto"/>
                <w:kern w:val="0"/>
                <w:sz w:val="24"/>
                <w:szCs w:val="24"/>
                <w:u w:val="none"/>
                <w:vertAlign w:val="subscript"/>
                <w:lang w:val="en-US" w:eastAsia="zh-CN" w:bidi="ar"/>
              </w:rPr>
              <w:t>3</w:t>
            </w:r>
          </w:p>
        </w:tc>
        <w:tc>
          <w:tcPr>
            <w:tcW w:w="1701" w:type="dxa"/>
            <w:shd w:val="clear" w:color="auto" w:fill="auto"/>
            <w:vAlign w:val="center"/>
          </w:tcPr>
          <w:p w14:paraId="2F8C610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0.183</w:t>
            </w:r>
          </w:p>
        </w:tc>
        <w:tc>
          <w:tcPr>
            <w:tcW w:w="1276" w:type="dxa"/>
            <w:shd w:val="clear" w:color="auto" w:fill="auto"/>
            <w:vAlign w:val="center"/>
          </w:tcPr>
          <w:p w14:paraId="3772B11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701" w:type="dxa"/>
            <w:shd w:val="clear" w:color="auto" w:fill="auto"/>
            <w:vAlign w:val="center"/>
          </w:tcPr>
          <w:p w14:paraId="46019D7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559" w:type="dxa"/>
            <w:shd w:val="clear" w:color="auto" w:fill="auto"/>
            <w:vAlign w:val="center"/>
          </w:tcPr>
          <w:p w14:paraId="4703E38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0.107</w:t>
            </w:r>
          </w:p>
        </w:tc>
        <w:tc>
          <w:tcPr>
            <w:tcW w:w="1761" w:type="dxa"/>
            <w:shd w:val="clear" w:color="auto" w:fill="auto"/>
            <w:vAlign w:val="center"/>
          </w:tcPr>
          <w:p w14:paraId="7B3DB74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0.043</w:t>
            </w:r>
          </w:p>
        </w:tc>
        <w:tc>
          <w:tcPr>
            <w:tcW w:w="1641" w:type="dxa"/>
            <w:shd w:val="clear" w:color="auto" w:fill="auto"/>
            <w:vAlign w:val="center"/>
          </w:tcPr>
          <w:p w14:paraId="09ADA9F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0.247</w:t>
            </w:r>
          </w:p>
        </w:tc>
        <w:tc>
          <w:tcPr>
            <w:tcW w:w="1276" w:type="dxa"/>
            <w:shd w:val="clear" w:color="auto" w:fill="auto"/>
            <w:vAlign w:val="center"/>
          </w:tcPr>
          <w:p w14:paraId="665F1E8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0.064</w:t>
            </w:r>
          </w:p>
        </w:tc>
      </w:tr>
      <w:tr w14:paraId="248C6F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vAlign w:val="center"/>
          </w:tcPr>
          <w:p w14:paraId="6F977D64">
            <w:pPr>
              <w:pStyle w:val="15"/>
              <w:spacing w:beforeLines="0" w:afterLines="0" w:line="240" w:lineRule="auto"/>
              <w:jc w:val="center"/>
              <w:rPr>
                <w:rFonts w:hint="default" w:ascii="Times New Roman" w:hAnsi="Times New Roman" w:eastAsia="宋体" w:cs="Times New Roman"/>
                <w:b/>
                <w:bCs/>
                <w:snapToGrid w:val="0"/>
                <w:color w:val="auto"/>
                <w:kern w:val="21"/>
                <w:sz w:val="24"/>
                <w:szCs w:val="24"/>
                <w:highlight w:val="none"/>
              </w:rPr>
            </w:pPr>
          </w:p>
        </w:tc>
        <w:tc>
          <w:tcPr>
            <w:tcW w:w="1417" w:type="dxa"/>
            <w:shd w:val="clear" w:color="auto" w:fill="auto"/>
            <w:vAlign w:val="center"/>
          </w:tcPr>
          <w:p w14:paraId="5E7DF81E">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i w:val="0"/>
                <w:iCs w:val="0"/>
                <w:color w:val="auto"/>
                <w:kern w:val="0"/>
                <w:sz w:val="24"/>
                <w:szCs w:val="24"/>
                <w:u w:val="none"/>
                <w:vertAlign w:val="baseline"/>
                <w:lang w:val="en-US" w:eastAsia="zh-CN" w:bidi="ar"/>
              </w:rPr>
              <w:t>H</w:t>
            </w:r>
            <w:r>
              <w:rPr>
                <w:rFonts w:hint="default" w:ascii="Times New Roman" w:hAnsi="Times New Roman" w:eastAsia="宋体" w:cs="Times New Roman"/>
                <w:i w:val="0"/>
                <w:iCs w:val="0"/>
                <w:color w:val="auto"/>
                <w:kern w:val="0"/>
                <w:sz w:val="24"/>
                <w:szCs w:val="24"/>
                <w:u w:val="none"/>
                <w:vertAlign w:val="subscript"/>
                <w:lang w:val="en-US" w:eastAsia="zh-CN" w:bidi="ar"/>
              </w:rPr>
              <w:t>2</w:t>
            </w:r>
            <w:r>
              <w:rPr>
                <w:rFonts w:hint="default" w:ascii="Times New Roman" w:hAnsi="Times New Roman" w:eastAsia="宋体" w:cs="Times New Roman"/>
                <w:i w:val="0"/>
                <w:iCs w:val="0"/>
                <w:color w:val="auto"/>
                <w:kern w:val="0"/>
                <w:sz w:val="24"/>
                <w:szCs w:val="24"/>
                <w:u w:val="none"/>
                <w:lang w:val="en-US" w:eastAsia="zh-CN" w:bidi="ar"/>
              </w:rPr>
              <w:t>S</w:t>
            </w:r>
          </w:p>
        </w:tc>
        <w:tc>
          <w:tcPr>
            <w:tcW w:w="1701" w:type="dxa"/>
            <w:shd w:val="clear" w:color="auto" w:fill="auto"/>
            <w:vAlign w:val="center"/>
          </w:tcPr>
          <w:p w14:paraId="39F3888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0.007</w:t>
            </w:r>
          </w:p>
        </w:tc>
        <w:tc>
          <w:tcPr>
            <w:tcW w:w="1276" w:type="dxa"/>
            <w:shd w:val="clear" w:color="auto" w:fill="auto"/>
            <w:vAlign w:val="center"/>
          </w:tcPr>
          <w:p w14:paraId="6541302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701" w:type="dxa"/>
            <w:shd w:val="clear" w:color="auto" w:fill="auto"/>
            <w:vAlign w:val="center"/>
          </w:tcPr>
          <w:p w14:paraId="6C476BA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559" w:type="dxa"/>
            <w:shd w:val="clear" w:color="auto" w:fill="auto"/>
            <w:vAlign w:val="center"/>
          </w:tcPr>
          <w:p w14:paraId="7968F3E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0.004</w:t>
            </w:r>
          </w:p>
        </w:tc>
        <w:tc>
          <w:tcPr>
            <w:tcW w:w="1761" w:type="dxa"/>
            <w:shd w:val="clear" w:color="auto" w:fill="auto"/>
            <w:vAlign w:val="center"/>
          </w:tcPr>
          <w:p w14:paraId="284772D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0.002</w:t>
            </w:r>
          </w:p>
        </w:tc>
        <w:tc>
          <w:tcPr>
            <w:tcW w:w="1641" w:type="dxa"/>
            <w:shd w:val="clear" w:color="auto" w:fill="auto"/>
            <w:vAlign w:val="center"/>
          </w:tcPr>
          <w:p w14:paraId="2CA1F34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0.010</w:t>
            </w:r>
          </w:p>
        </w:tc>
        <w:tc>
          <w:tcPr>
            <w:tcW w:w="1276" w:type="dxa"/>
            <w:shd w:val="clear" w:color="auto" w:fill="auto"/>
            <w:vAlign w:val="center"/>
          </w:tcPr>
          <w:p w14:paraId="468F82A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0.002</w:t>
            </w:r>
          </w:p>
        </w:tc>
      </w:tr>
      <w:tr w14:paraId="143834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restart"/>
            <w:vAlign w:val="center"/>
          </w:tcPr>
          <w:p w14:paraId="097AD9D9">
            <w:pPr>
              <w:pStyle w:val="15"/>
              <w:spacing w:beforeLines="0" w:afterLines="0" w:line="240" w:lineRule="auto"/>
              <w:jc w:val="center"/>
              <w:rPr>
                <w:rFonts w:hint="default" w:ascii="Times New Roman" w:hAnsi="Times New Roman" w:eastAsia="宋体" w:cs="Times New Roman"/>
                <w:b/>
                <w:bCs/>
                <w:snapToGrid w:val="0"/>
                <w:color w:val="auto"/>
                <w:kern w:val="21"/>
                <w:sz w:val="24"/>
                <w:szCs w:val="24"/>
                <w:highlight w:val="none"/>
              </w:rPr>
            </w:pPr>
            <w:r>
              <w:rPr>
                <w:rFonts w:hint="default" w:ascii="Times New Roman" w:hAnsi="Times New Roman" w:eastAsia="宋体" w:cs="Times New Roman"/>
                <w:b/>
                <w:bCs/>
                <w:snapToGrid w:val="0"/>
                <w:color w:val="auto"/>
                <w:kern w:val="21"/>
                <w:sz w:val="24"/>
                <w:szCs w:val="24"/>
                <w:highlight w:val="none"/>
              </w:rPr>
              <w:t>废水</w:t>
            </w:r>
          </w:p>
        </w:tc>
        <w:tc>
          <w:tcPr>
            <w:tcW w:w="1417" w:type="dxa"/>
            <w:shd w:val="clear" w:color="auto" w:fill="auto"/>
            <w:vAlign w:val="center"/>
          </w:tcPr>
          <w:p w14:paraId="49041433">
            <w:pPr>
              <w:pStyle w:val="15"/>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eastAsia="宋体" w:cs="Times New Roman"/>
                <w:snapToGrid w:val="0"/>
                <w:color w:val="auto"/>
                <w:kern w:val="21"/>
                <w:sz w:val="24"/>
                <w:szCs w:val="24"/>
                <w:highlight w:val="none"/>
                <w:lang w:val="en-US" w:eastAsia="zh-CN" w:bidi="ar-SA"/>
              </w:rPr>
              <w:t>水量</w:t>
            </w:r>
          </w:p>
        </w:tc>
        <w:tc>
          <w:tcPr>
            <w:tcW w:w="1701" w:type="dxa"/>
            <w:shd w:val="clear" w:color="auto" w:fill="auto"/>
            <w:vAlign w:val="center"/>
          </w:tcPr>
          <w:p w14:paraId="3C87D57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3102500</w:t>
            </w:r>
          </w:p>
        </w:tc>
        <w:tc>
          <w:tcPr>
            <w:tcW w:w="1276" w:type="dxa"/>
            <w:shd w:val="clear" w:color="auto" w:fill="auto"/>
            <w:vAlign w:val="center"/>
          </w:tcPr>
          <w:p w14:paraId="421560D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701" w:type="dxa"/>
            <w:shd w:val="clear" w:color="auto" w:fill="auto"/>
            <w:vAlign w:val="center"/>
          </w:tcPr>
          <w:p w14:paraId="493108C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559" w:type="dxa"/>
            <w:shd w:val="clear" w:color="auto" w:fill="auto"/>
            <w:vAlign w:val="center"/>
          </w:tcPr>
          <w:p w14:paraId="792B5B2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1825000</w:t>
            </w:r>
          </w:p>
        </w:tc>
        <w:tc>
          <w:tcPr>
            <w:tcW w:w="1761" w:type="dxa"/>
            <w:shd w:val="clear" w:color="auto" w:fill="auto"/>
            <w:vAlign w:val="center"/>
          </w:tcPr>
          <w:p w14:paraId="0F54568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730000</w:t>
            </w:r>
          </w:p>
        </w:tc>
        <w:tc>
          <w:tcPr>
            <w:tcW w:w="1641" w:type="dxa"/>
            <w:shd w:val="clear" w:color="auto" w:fill="auto"/>
            <w:vAlign w:val="center"/>
          </w:tcPr>
          <w:p w14:paraId="3188935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4197500</w:t>
            </w:r>
          </w:p>
        </w:tc>
        <w:tc>
          <w:tcPr>
            <w:tcW w:w="1276" w:type="dxa"/>
            <w:shd w:val="clear" w:color="auto" w:fill="auto"/>
            <w:vAlign w:val="center"/>
          </w:tcPr>
          <w:p w14:paraId="5F888A8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1095000</w:t>
            </w:r>
          </w:p>
        </w:tc>
      </w:tr>
      <w:tr w14:paraId="070CC3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vAlign w:val="center"/>
          </w:tcPr>
          <w:p w14:paraId="2A286E26">
            <w:pPr>
              <w:pStyle w:val="15"/>
              <w:spacing w:beforeLines="0" w:afterLines="0" w:line="240" w:lineRule="auto"/>
              <w:jc w:val="center"/>
              <w:rPr>
                <w:rFonts w:hint="default" w:ascii="Times New Roman" w:hAnsi="Times New Roman" w:eastAsia="宋体" w:cs="Times New Roman"/>
                <w:b/>
                <w:bCs/>
                <w:snapToGrid w:val="0"/>
                <w:color w:val="auto"/>
                <w:kern w:val="21"/>
                <w:sz w:val="24"/>
                <w:szCs w:val="24"/>
                <w:highlight w:val="none"/>
              </w:rPr>
            </w:pPr>
          </w:p>
        </w:tc>
        <w:tc>
          <w:tcPr>
            <w:tcW w:w="1417" w:type="dxa"/>
            <w:shd w:val="clear" w:color="auto" w:fill="auto"/>
            <w:vAlign w:val="center"/>
          </w:tcPr>
          <w:p w14:paraId="0AED752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CODCr</w:t>
            </w:r>
          </w:p>
        </w:tc>
        <w:tc>
          <w:tcPr>
            <w:tcW w:w="1701" w:type="dxa"/>
            <w:shd w:val="clear" w:color="auto" w:fill="auto"/>
            <w:vAlign w:val="center"/>
          </w:tcPr>
          <w:p w14:paraId="6E77988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77.56</w:t>
            </w:r>
          </w:p>
        </w:tc>
        <w:tc>
          <w:tcPr>
            <w:tcW w:w="1276" w:type="dxa"/>
            <w:shd w:val="clear" w:color="auto" w:fill="auto"/>
            <w:vAlign w:val="center"/>
          </w:tcPr>
          <w:p w14:paraId="2C92EE0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79.27</w:t>
            </w:r>
          </w:p>
        </w:tc>
        <w:tc>
          <w:tcPr>
            <w:tcW w:w="1701" w:type="dxa"/>
            <w:shd w:val="clear" w:color="auto" w:fill="auto"/>
            <w:vAlign w:val="center"/>
          </w:tcPr>
          <w:p w14:paraId="2A3179D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559" w:type="dxa"/>
            <w:shd w:val="clear" w:color="auto" w:fill="auto"/>
            <w:vAlign w:val="center"/>
          </w:tcPr>
          <w:p w14:paraId="11AE13C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45.63</w:t>
            </w:r>
          </w:p>
        </w:tc>
        <w:tc>
          <w:tcPr>
            <w:tcW w:w="1761" w:type="dxa"/>
            <w:shd w:val="clear" w:color="auto" w:fill="auto"/>
            <w:vAlign w:val="center"/>
          </w:tcPr>
          <w:p w14:paraId="517F514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18.25</w:t>
            </w:r>
          </w:p>
        </w:tc>
        <w:tc>
          <w:tcPr>
            <w:tcW w:w="1641" w:type="dxa"/>
            <w:shd w:val="clear" w:color="auto" w:fill="auto"/>
            <w:vAlign w:val="center"/>
          </w:tcPr>
          <w:p w14:paraId="0DC587A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104.94</w:t>
            </w:r>
          </w:p>
        </w:tc>
        <w:tc>
          <w:tcPr>
            <w:tcW w:w="1276" w:type="dxa"/>
            <w:shd w:val="clear" w:color="auto" w:fill="auto"/>
            <w:vAlign w:val="center"/>
          </w:tcPr>
          <w:p w14:paraId="376519D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27.38</w:t>
            </w:r>
          </w:p>
        </w:tc>
      </w:tr>
      <w:tr w14:paraId="18058A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vAlign w:val="center"/>
          </w:tcPr>
          <w:p w14:paraId="3C3EAC10">
            <w:pPr>
              <w:pStyle w:val="15"/>
              <w:spacing w:beforeLines="0" w:afterLines="0" w:line="240" w:lineRule="auto"/>
              <w:jc w:val="center"/>
              <w:rPr>
                <w:rFonts w:hint="default" w:ascii="Times New Roman" w:hAnsi="Times New Roman" w:eastAsia="宋体" w:cs="Times New Roman"/>
                <w:b/>
                <w:bCs/>
                <w:snapToGrid w:val="0"/>
                <w:color w:val="auto"/>
                <w:kern w:val="21"/>
                <w:sz w:val="24"/>
                <w:szCs w:val="24"/>
                <w:highlight w:val="none"/>
              </w:rPr>
            </w:pPr>
          </w:p>
        </w:tc>
        <w:tc>
          <w:tcPr>
            <w:tcW w:w="1417" w:type="dxa"/>
            <w:shd w:val="clear" w:color="auto" w:fill="auto"/>
            <w:vAlign w:val="center"/>
          </w:tcPr>
          <w:p w14:paraId="6FDAD11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氨氮</w:t>
            </w:r>
          </w:p>
        </w:tc>
        <w:tc>
          <w:tcPr>
            <w:tcW w:w="1701" w:type="dxa"/>
            <w:shd w:val="clear" w:color="auto" w:fill="auto"/>
            <w:vAlign w:val="center"/>
          </w:tcPr>
          <w:p w14:paraId="7E9DA78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9.31</w:t>
            </w:r>
          </w:p>
        </w:tc>
        <w:tc>
          <w:tcPr>
            <w:tcW w:w="1276" w:type="dxa"/>
            <w:shd w:val="clear" w:color="auto" w:fill="auto"/>
            <w:vAlign w:val="center"/>
          </w:tcPr>
          <w:p w14:paraId="727C992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10.3</w:t>
            </w:r>
          </w:p>
        </w:tc>
        <w:tc>
          <w:tcPr>
            <w:tcW w:w="1701" w:type="dxa"/>
            <w:shd w:val="clear" w:color="auto" w:fill="auto"/>
            <w:vAlign w:val="center"/>
          </w:tcPr>
          <w:p w14:paraId="244D9C4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559" w:type="dxa"/>
            <w:shd w:val="clear" w:color="auto" w:fill="auto"/>
            <w:vAlign w:val="center"/>
          </w:tcPr>
          <w:p w14:paraId="388F956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5.48</w:t>
            </w:r>
          </w:p>
        </w:tc>
        <w:tc>
          <w:tcPr>
            <w:tcW w:w="1761" w:type="dxa"/>
            <w:shd w:val="clear" w:color="auto" w:fill="auto"/>
            <w:vAlign w:val="center"/>
          </w:tcPr>
          <w:p w14:paraId="1571261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2.19</w:t>
            </w:r>
          </w:p>
        </w:tc>
        <w:tc>
          <w:tcPr>
            <w:tcW w:w="1641" w:type="dxa"/>
            <w:shd w:val="clear" w:color="auto" w:fill="auto"/>
            <w:vAlign w:val="center"/>
          </w:tcPr>
          <w:p w14:paraId="6061EA3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12.59</w:t>
            </w:r>
          </w:p>
        </w:tc>
        <w:tc>
          <w:tcPr>
            <w:tcW w:w="1276" w:type="dxa"/>
            <w:shd w:val="clear" w:color="auto" w:fill="auto"/>
            <w:vAlign w:val="center"/>
          </w:tcPr>
          <w:p w14:paraId="378488E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3.29</w:t>
            </w:r>
          </w:p>
        </w:tc>
      </w:tr>
      <w:tr w14:paraId="2D87C7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vAlign w:val="center"/>
          </w:tcPr>
          <w:p w14:paraId="34DF3C5C">
            <w:pPr>
              <w:pStyle w:val="15"/>
              <w:spacing w:beforeLines="0" w:afterLines="0" w:line="240" w:lineRule="auto"/>
              <w:jc w:val="center"/>
              <w:rPr>
                <w:rFonts w:hint="default" w:ascii="Times New Roman" w:hAnsi="Times New Roman" w:eastAsia="宋体" w:cs="Times New Roman"/>
                <w:b/>
                <w:bCs/>
                <w:snapToGrid w:val="0"/>
                <w:color w:val="auto"/>
                <w:kern w:val="21"/>
                <w:sz w:val="24"/>
                <w:szCs w:val="24"/>
                <w:highlight w:val="none"/>
              </w:rPr>
            </w:pPr>
          </w:p>
        </w:tc>
        <w:tc>
          <w:tcPr>
            <w:tcW w:w="1417" w:type="dxa"/>
            <w:shd w:val="clear" w:color="auto" w:fill="auto"/>
            <w:vAlign w:val="center"/>
          </w:tcPr>
          <w:p w14:paraId="09D95F2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总氮</w:t>
            </w:r>
          </w:p>
        </w:tc>
        <w:tc>
          <w:tcPr>
            <w:tcW w:w="1701" w:type="dxa"/>
            <w:shd w:val="clear" w:color="auto" w:fill="auto"/>
            <w:vAlign w:val="center"/>
          </w:tcPr>
          <w:p w14:paraId="7E3BEF3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31.03</w:t>
            </w:r>
          </w:p>
        </w:tc>
        <w:tc>
          <w:tcPr>
            <w:tcW w:w="1276" w:type="dxa"/>
            <w:shd w:val="clear" w:color="auto" w:fill="auto"/>
            <w:vAlign w:val="center"/>
          </w:tcPr>
          <w:p w14:paraId="0CD0952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23.77</w:t>
            </w:r>
          </w:p>
        </w:tc>
        <w:tc>
          <w:tcPr>
            <w:tcW w:w="1701" w:type="dxa"/>
            <w:shd w:val="clear" w:color="auto" w:fill="auto"/>
            <w:vAlign w:val="center"/>
          </w:tcPr>
          <w:p w14:paraId="6BCE0C4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559" w:type="dxa"/>
            <w:shd w:val="clear" w:color="auto" w:fill="auto"/>
            <w:vAlign w:val="center"/>
          </w:tcPr>
          <w:p w14:paraId="575D0E0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18.25</w:t>
            </w:r>
          </w:p>
        </w:tc>
        <w:tc>
          <w:tcPr>
            <w:tcW w:w="1761" w:type="dxa"/>
            <w:shd w:val="clear" w:color="auto" w:fill="auto"/>
            <w:vAlign w:val="center"/>
          </w:tcPr>
          <w:p w14:paraId="01F37E9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7.30</w:t>
            </w:r>
          </w:p>
        </w:tc>
        <w:tc>
          <w:tcPr>
            <w:tcW w:w="1641" w:type="dxa"/>
            <w:shd w:val="clear" w:color="auto" w:fill="auto"/>
            <w:vAlign w:val="center"/>
          </w:tcPr>
          <w:p w14:paraId="7341A68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41.98</w:t>
            </w:r>
          </w:p>
        </w:tc>
        <w:tc>
          <w:tcPr>
            <w:tcW w:w="1276" w:type="dxa"/>
            <w:shd w:val="clear" w:color="auto" w:fill="auto"/>
            <w:vAlign w:val="center"/>
          </w:tcPr>
          <w:p w14:paraId="31F8D60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10.95</w:t>
            </w:r>
          </w:p>
        </w:tc>
      </w:tr>
      <w:tr w14:paraId="372CA9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vAlign w:val="center"/>
          </w:tcPr>
          <w:p w14:paraId="3B86A392">
            <w:pPr>
              <w:pStyle w:val="15"/>
              <w:spacing w:beforeLines="0" w:afterLines="0" w:line="240" w:lineRule="auto"/>
              <w:jc w:val="center"/>
              <w:rPr>
                <w:rFonts w:hint="default" w:ascii="Times New Roman" w:hAnsi="Times New Roman" w:eastAsia="宋体" w:cs="Times New Roman"/>
                <w:b/>
                <w:bCs/>
                <w:snapToGrid w:val="0"/>
                <w:color w:val="auto"/>
                <w:kern w:val="21"/>
                <w:sz w:val="24"/>
                <w:szCs w:val="24"/>
                <w:highlight w:val="none"/>
              </w:rPr>
            </w:pPr>
          </w:p>
        </w:tc>
        <w:tc>
          <w:tcPr>
            <w:tcW w:w="1417" w:type="dxa"/>
            <w:shd w:val="clear" w:color="auto" w:fill="auto"/>
            <w:vAlign w:val="center"/>
          </w:tcPr>
          <w:p w14:paraId="36C67AD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总磷</w:t>
            </w:r>
          </w:p>
        </w:tc>
        <w:tc>
          <w:tcPr>
            <w:tcW w:w="1701" w:type="dxa"/>
            <w:shd w:val="clear" w:color="auto" w:fill="auto"/>
            <w:vAlign w:val="center"/>
          </w:tcPr>
          <w:p w14:paraId="33344BE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0.78</w:t>
            </w:r>
          </w:p>
        </w:tc>
        <w:tc>
          <w:tcPr>
            <w:tcW w:w="1276" w:type="dxa"/>
            <w:shd w:val="clear" w:color="auto" w:fill="auto"/>
            <w:vAlign w:val="center"/>
          </w:tcPr>
          <w:p w14:paraId="30D4051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0.79</w:t>
            </w:r>
          </w:p>
        </w:tc>
        <w:tc>
          <w:tcPr>
            <w:tcW w:w="1701" w:type="dxa"/>
            <w:shd w:val="clear" w:color="auto" w:fill="auto"/>
            <w:vAlign w:val="center"/>
          </w:tcPr>
          <w:p w14:paraId="2E9197F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559" w:type="dxa"/>
            <w:shd w:val="clear" w:color="auto" w:fill="auto"/>
            <w:vAlign w:val="center"/>
          </w:tcPr>
          <w:p w14:paraId="74AD912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0.46</w:t>
            </w:r>
          </w:p>
        </w:tc>
        <w:tc>
          <w:tcPr>
            <w:tcW w:w="1761" w:type="dxa"/>
            <w:shd w:val="clear" w:color="auto" w:fill="auto"/>
            <w:vAlign w:val="center"/>
          </w:tcPr>
          <w:p w14:paraId="6BE60DB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0.18</w:t>
            </w:r>
          </w:p>
        </w:tc>
        <w:tc>
          <w:tcPr>
            <w:tcW w:w="1641" w:type="dxa"/>
            <w:shd w:val="clear" w:color="auto" w:fill="auto"/>
            <w:vAlign w:val="center"/>
          </w:tcPr>
          <w:p w14:paraId="44D9134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1.05</w:t>
            </w:r>
          </w:p>
        </w:tc>
        <w:tc>
          <w:tcPr>
            <w:tcW w:w="1276" w:type="dxa"/>
            <w:shd w:val="clear" w:color="auto" w:fill="auto"/>
            <w:vAlign w:val="center"/>
          </w:tcPr>
          <w:p w14:paraId="647814F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0.27</w:t>
            </w:r>
          </w:p>
        </w:tc>
      </w:tr>
      <w:tr w14:paraId="1D5C2F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restart"/>
            <w:vAlign w:val="center"/>
          </w:tcPr>
          <w:p w14:paraId="7E52927C">
            <w:pPr>
              <w:pStyle w:val="15"/>
              <w:spacing w:beforeLines="0" w:afterLines="0" w:line="240" w:lineRule="auto"/>
              <w:jc w:val="center"/>
              <w:rPr>
                <w:rFonts w:hint="default" w:ascii="Times New Roman" w:hAnsi="Times New Roman" w:eastAsia="宋体" w:cs="Times New Roman"/>
                <w:b/>
                <w:bCs/>
                <w:snapToGrid w:val="0"/>
                <w:color w:val="auto"/>
                <w:kern w:val="21"/>
                <w:sz w:val="24"/>
                <w:szCs w:val="24"/>
                <w:highlight w:val="none"/>
              </w:rPr>
            </w:pPr>
            <w:r>
              <w:rPr>
                <w:rFonts w:hint="default" w:ascii="Times New Roman" w:hAnsi="Times New Roman" w:eastAsia="宋体" w:cs="Times New Roman"/>
                <w:b/>
                <w:bCs/>
                <w:snapToGrid w:val="0"/>
                <w:color w:val="auto"/>
                <w:kern w:val="21"/>
                <w:sz w:val="24"/>
                <w:szCs w:val="24"/>
                <w:highlight w:val="none"/>
              </w:rPr>
              <w:t>一般工业</w:t>
            </w:r>
          </w:p>
          <w:p w14:paraId="5603C1D2">
            <w:pPr>
              <w:pStyle w:val="15"/>
              <w:spacing w:beforeLines="0" w:afterLines="0" w:line="240" w:lineRule="auto"/>
              <w:jc w:val="center"/>
              <w:rPr>
                <w:rFonts w:hint="default" w:ascii="Times New Roman" w:hAnsi="Times New Roman" w:eastAsia="宋体" w:cs="Times New Roman"/>
                <w:b/>
                <w:bCs/>
                <w:snapToGrid w:val="0"/>
                <w:color w:val="auto"/>
                <w:kern w:val="21"/>
                <w:sz w:val="24"/>
                <w:szCs w:val="24"/>
                <w:highlight w:val="none"/>
              </w:rPr>
            </w:pPr>
            <w:r>
              <w:rPr>
                <w:rFonts w:hint="default" w:ascii="Times New Roman" w:hAnsi="Times New Roman" w:eastAsia="宋体" w:cs="Times New Roman"/>
                <w:b/>
                <w:bCs/>
                <w:snapToGrid w:val="0"/>
                <w:color w:val="auto"/>
                <w:kern w:val="21"/>
                <w:sz w:val="24"/>
                <w:szCs w:val="24"/>
                <w:highlight w:val="none"/>
              </w:rPr>
              <w:t>固体废物</w:t>
            </w:r>
          </w:p>
        </w:tc>
        <w:tc>
          <w:tcPr>
            <w:tcW w:w="1417" w:type="dxa"/>
            <w:tcBorders>
              <w:bottom w:val="single" w:color="auto" w:sz="4" w:space="0"/>
            </w:tcBorders>
            <w:shd w:val="clear" w:color="auto" w:fill="auto"/>
            <w:vAlign w:val="center"/>
          </w:tcPr>
          <w:p w14:paraId="44936BC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栅渣</w:t>
            </w:r>
          </w:p>
        </w:tc>
        <w:tc>
          <w:tcPr>
            <w:tcW w:w="1701" w:type="dxa"/>
            <w:shd w:val="clear" w:color="auto" w:fill="auto"/>
            <w:vAlign w:val="center"/>
          </w:tcPr>
          <w:p w14:paraId="669A452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50</w:t>
            </w:r>
          </w:p>
        </w:tc>
        <w:tc>
          <w:tcPr>
            <w:tcW w:w="1276" w:type="dxa"/>
            <w:shd w:val="clear" w:color="auto" w:fill="auto"/>
            <w:vAlign w:val="center"/>
          </w:tcPr>
          <w:p w14:paraId="475BA1D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701" w:type="dxa"/>
            <w:shd w:val="clear" w:color="auto" w:fill="auto"/>
            <w:vAlign w:val="center"/>
          </w:tcPr>
          <w:p w14:paraId="215B8EB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559" w:type="dxa"/>
            <w:shd w:val="clear" w:color="auto" w:fill="auto"/>
            <w:vAlign w:val="center"/>
          </w:tcPr>
          <w:p w14:paraId="507DE5E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30</w:t>
            </w:r>
          </w:p>
        </w:tc>
        <w:tc>
          <w:tcPr>
            <w:tcW w:w="1761" w:type="dxa"/>
            <w:shd w:val="clear" w:color="auto" w:fill="auto"/>
            <w:vAlign w:val="center"/>
          </w:tcPr>
          <w:p w14:paraId="08E8D0D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12</w:t>
            </w:r>
          </w:p>
        </w:tc>
        <w:tc>
          <w:tcPr>
            <w:tcW w:w="1641" w:type="dxa"/>
            <w:shd w:val="clear" w:color="auto" w:fill="auto"/>
            <w:vAlign w:val="center"/>
          </w:tcPr>
          <w:p w14:paraId="669FA0D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68</w:t>
            </w:r>
          </w:p>
        </w:tc>
        <w:tc>
          <w:tcPr>
            <w:tcW w:w="1276" w:type="dxa"/>
            <w:shd w:val="clear" w:color="auto" w:fill="auto"/>
            <w:vAlign w:val="center"/>
          </w:tcPr>
          <w:p w14:paraId="14EB2E4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18</w:t>
            </w:r>
          </w:p>
        </w:tc>
      </w:tr>
      <w:tr w14:paraId="015D39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vAlign w:val="center"/>
          </w:tcPr>
          <w:p w14:paraId="084B65B3">
            <w:pPr>
              <w:pStyle w:val="15"/>
              <w:spacing w:beforeLines="0" w:afterLines="0" w:line="240" w:lineRule="auto"/>
              <w:jc w:val="center"/>
              <w:rPr>
                <w:rFonts w:hint="default" w:ascii="Times New Roman" w:hAnsi="Times New Roman" w:eastAsia="宋体" w:cs="Times New Roman"/>
                <w:b/>
                <w:bCs/>
                <w:snapToGrid w:val="0"/>
                <w:color w:val="auto"/>
                <w:kern w:val="21"/>
                <w:sz w:val="24"/>
                <w:szCs w:val="24"/>
                <w:highlight w:val="none"/>
              </w:rPr>
            </w:pPr>
          </w:p>
        </w:tc>
        <w:tc>
          <w:tcPr>
            <w:tcW w:w="1417" w:type="dxa"/>
            <w:tcBorders>
              <w:bottom w:val="single" w:color="auto" w:sz="4" w:space="0"/>
            </w:tcBorders>
            <w:shd w:val="clear" w:color="auto" w:fill="auto"/>
            <w:vAlign w:val="center"/>
          </w:tcPr>
          <w:p w14:paraId="666527C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沉砂</w:t>
            </w:r>
          </w:p>
        </w:tc>
        <w:tc>
          <w:tcPr>
            <w:tcW w:w="1701" w:type="dxa"/>
            <w:shd w:val="clear" w:color="auto" w:fill="auto"/>
            <w:vAlign w:val="center"/>
          </w:tcPr>
          <w:p w14:paraId="2CD024A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50</w:t>
            </w:r>
          </w:p>
        </w:tc>
        <w:tc>
          <w:tcPr>
            <w:tcW w:w="1276" w:type="dxa"/>
            <w:shd w:val="clear" w:color="auto" w:fill="auto"/>
            <w:vAlign w:val="center"/>
          </w:tcPr>
          <w:p w14:paraId="6CF6FE2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701" w:type="dxa"/>
            <w:shd w:val="clear" w:color="auto" w:fill="auto"/>
            <w:vAlign w:val="center"/>
          </w:tcPr>
          <w:p w14:paraId="5551597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559" w:type="dxa"/>
            <w:shd w:val="clear" w:color="auto" w:fill="auto"/>
            <w:vAlign w:val="center"/>
          </w:tcPr>
          <w:p w14:paraId="7DD81D4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30</w:t>
            </w:r>
          </w:p>
        </w:tc>
        <w:tc>
          <w:tcPr>
            <w:tcW w:w="1761" w:type="dxa"/>
            <w:shd w:val="clear" w:color="auto" w:fill="auto"/>
            <w:vAlign w:val="center"/>
          </w:tcPr>
          <w:p w14:paraId="26642F0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12</w:t>
            </w:r>
          </w:p>
        </w:tc>
        <w:tc>
          <w:tcPr>
            <w:tcW w:w="1641" w:type="dxa"/>
            <w:shd w:val="clear" w:color="auto" w:fill="auto"/>
            <w:vAlign w:val="center"/>
          </w:tcPr>
          <w:p w14:paraId="2EA6999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68</w:t>
            </w:r>
          </w:p>
        </w:tc>
        <w:tc>
          <w:tcPr>
            <w:tcW w:w="1276" w:type="dxa"/>
            <w:shd w:val="clear" w:color="auto" w:fill="auto"/>
            <w:vAlign w:val="center"/>
          </w:tcPr>
          <w:p w14:paraId="327B1A2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18</w:t>
            </w:r>
          </w:p>
        </w:tc>
      </w:tr>
      <w:tr w14:paraId="3B2C33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Merge w:val="continue"/>
            <w:vAlign w:val="center"/>
          </w:tcPr>
          <w:p w14:paraId="65F4F2A8">
            <w:pPr>
              <w:pStyle w:val="15"/>
              <w:spacing w:beforeLines="0" w:afterLines="0" w:line="240" w:lineRule="auto"/>
              <w:jc w:val="center"/>
              <w:rPr>
                <w:rFonts w:hint="default" w:ascii="Times New Roman" w:hAnsi="Times New Roman" w:eastAsia="宋体" w:cs="Times New Roman"/>
                <w:b/>
                <w:bCs/>
                <w:snapToGrid w:val="0"/>
                <w:color w:val="auto"/>
                <w:kern w:val="21"/>
                <w:sz w:val="24"/>
                <w:szCs w:val="24"/>
                <w:highlight w:val="none"/>
              </w:rPr>
            </w:pPr>
          </w:p>
        </w:tc>
        <w:tc>
          <w:tcPr>
            <w:tcW w:w="1417" w:type="dxa"/>
            <w:tcBorders>
              <w:bottom w:val="single" w:color="auto" w:sz="4" w:space="0"/>
            </w:tcBorders>
            <w:shd w:val="clear" w:color="auto" w:fill="auto"/>
            <w:vAlign w:val="center"/>
          </w:tcPr>
          <w:p w14:paraId="564823E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污泥</w:t>
            </w:r>
          </w:p>
        </w:tc>
        <w:tc>
          <w:tcPr>
            <w:tcW w:w="1701" w:type="dxa"/>
            <w:shd w:val="clear" w:color="auto" w:fill="auto"/>
            <w:vAlign w:val="center"/>
          </w:tcPr>
          <w:p w14:paraId="0471448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2725</w:t>
            </w:r>
          </w:p>
        </w:tc>
        <w:tc>
          <w:tcPr>
            <w:tcW w:w="1276" w:type="dxa"/>
            <w:shd w:val="clear" w:color="auto" w:fill="auto"/>
            <w:vAlign w:val="center"/>
          </w:tcPr>
          <w:p w14:paraId="2D1D986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701" w:type="dxa"/>
            <w:shd w:val="clear" w:color="auto" w:fill="auto"/>
            <w:vAlign w:val="center"/>
          </w:tcPr>
          <w:p w14:paraId="23D5A58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559" w:type="dxa"/>
            <w:shd w:val="clear" w:color="auto" w:fill="auto"/>
            <w:vAlign w:val="center"/>
          </w:tcPr>
          <w:p w14:paraId="0859154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1330</w:t>
            </w:r>
          </w:p>
        </w:tc>
        <w:tc>
          <w:tcPr>
            <w:tcW w:w="1761" w:type="dxa"/>
            <w:shd w:val="clear" w:color="auto" w:fill="auto"/>
            <w:vAlign w:val="center"/>
          </w:tcPr>
          <w:p w14:paraId="0E0E53F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530</w:t>
            </w:r>
          </w:p>
        </w:tc>
        <w:tc>
          <w:tcPr>
            <w:tcW w:w="1641" w:type="dxa"/>
            <w:shd w:val="clear" w:color="auto" w:fill="auto"/>
            <w:vAlign w:val="center"/>
          </w:tcPr>
          <w:p w14:paraId="7779BBE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3525</w:t>
            </w:r>
          </w:p>
        </w:tc>
        <w:tc>
          <w:tcPr>
            <w:tcW w:w="1276" w:type="dxa"/>
            <w:shd w:val="clear" w:color="auto" w:fill="auto"/>
            <w:vAlign w:val="center"/>
          </w:tcPr>
          <w:p w14:paraId="447975F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800</w:t>
            </w:r>
          </w:p>
        </w:tc>
      </w:tr>
      <w:tr w14:paraId="37DD8E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vAlign w:val="center"/>
          </w:tcPr>
          <w:p w14:paraId="20160435">
            <w:pPr>
              <w:pStyle w:val="15"/>
              <w:spacing w:beforeLines="0" w:afterLines="0" w:line="240" w:lineRule="auto"/>
              <w:jc w:val="center"/>
              <w:rPr>
                <w:rFonts w:hint="default" w:ascii="Times New Roman" w:hAnsi="Times New Roman" w:eastAsia="宋体" w:cs="Times New Roman"/>
                <w:b/>
                <w:bCs/>
                <w:snapToGrid w:val="0"/>
                <w:color w:val="auto"/>
                <w:kern w:val="21"/>
                <w:sz w:val="24"/>
                <w:szCs w:val="24"/>
                <w:highlight w:val="none"/>
              </w:rPr>
            </w:pPr>
            <w:r>
              <w:rPr>
                <w:rFonts w:hint="default" w:ascii="Times New Roman" w:hAnsi="Times New Roman" w:eastAsia="宋体" w:cs="Times New Roman"/>
                <w:b/>
                <w:bCs/>
                <w:snapToGrid w:val="0"/>
                <w:color w:val="auto"/>
                <w:kern w:val="21"/>
                <w:sz w:val="24"/>
                <w:szCs w:val="24"/>
                <w:highlight w:val="none"/>
              </w:rPr>
              <w:t>危险废物</w:t>
            </w:r>
          </w:p>
        </w:tc>
        <w:tc>
          <w:tcPr>
            <w:tcW w:w="1417" w:type="dxa"/>
            <w:vAlign w:val="center"/>
          </w:tcPr>
          <w:p w14:paraId="07AC38CD">
            <w:pPr>
              <w:pStyle w:val="15"/>
              <w:spacing w:beforeLines="0" w:afterLines="0" w:line="240" w:lineRule="auto"/>
              <w:jc w:val="center"/>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snapToGrid w:val="0"/>
                <w:color w:val="auto"/>
                <w:kern w:val="21"/>
                <w:sz w:val="24"/>
                <w:szCs w:val="24"/>
                <w:highlight w:val="none"/>
              </w:rPr>
              <w:t>/</w:t>
            </w:r>
          </w:p>
        </w:tc>
        <w:tc>
          <w:tcPr>
            <w:tcW w:w="1701" w:type="dxa"/>
            <w:shd w:val="clear" w:color="auto" w:fill="auto"/>
            <w:vAlign w:val="center"/>
          </w:tcPr>
          <w:p w14:paraId="750BD84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276" w:type="dxa"/>
            <w:shd w:val="clear" w:color="auto" w:fill="auto"/>
            <w:vAlign w:val="center"/>
          </w:tcPr>
          <w:p w14:paraId="62740FE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701" w:type="dxa"/>
            <w:shd w:val="clear" w:color="auto" w:fill="auto"/>
            <w:vAlign w:val="center"/>
          </w:tcPr>
          <w:p w14:paraId="1992E61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559" w:type="dxa"/>
            <w:shd w:val="clear" w:color="auto" w:fill="auto"/>
            <w:vAlign w:val="center"/>
          </w:tcPr>
          <w:p w14:paraId="3392AE2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761" w:type="dxa"/>
            <w:shd w:val="clear" w:color="auto" w:fill="auto"/>
            <w:vAlign w:val="center"/>
          </w:tcPr>
          <w:p w14:paraId="1D3073F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641" w:type="dxa"/>
            <w:shd w:val="clear" w:color="auto" w:fill="auto"/>
            <w:vAlign w:val="center"/>
          </w:tcPr>
          <w:p w14:paraId="66DDF4D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c>
          <w:tcPr>
            <w:tcW w:w="1276" w:type="dxa"/>
            <w:shd w:val="clear" w:color="auto" w:fill="auto"/>
            <w:vAlign w:val="center"/>
          </w:tcPr>
          <w:p w14:paraId="6C05DC3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4"/>
                <w:szCs w:val="24"/>
                <w:u w:val="none"/>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w:t>
            </w:r>
          </w:p>
        </w:tc>
      </w:tr>
    </w:tbl>
    <w:p w14:paraId="49AD0B9D">
      <w:pPr>
        <w:pStyle w:val="15"/>
        <w:spacing w:before="192" w:beforeLines="80" w:after="24"/>
        <w:jc w:val="left"/>
        <w:rPr>
          <w:rFonts w:hint="default" w:ascii="Times New Roman" w:hAnsi="Times New Roman" w:eastAsia="宋体" w:cs="Times New Roman"/>
          <w:snapToGrid w:val="0"/>
          <w:color w:val="auto"/>
          <w:spacing w:val="-6"/>
          <w:kern w:val="21"/>
          <w:szCs w:val="21"/>
          <w:highlight w:val="none"/>
        </w:rPr>
      </w:pPr>
      <w:r>
        <w:rPr>
          <w:rFonts w:hint="default" w:ascii="Times New Roman" w:hAnsi="Times New Roman" w:eastAsia="宋体" w:cs="Times New Roman"/>
          <w:snapToGrid w:val="0"/>
          <w:color w:val="auto"/>
          <w:kern w:val="21"/>
          <w:szCs w:val="21"/>
          <w:highlight w:val="none"/>
        </w:rPr>
        <w:t>注：</w:t>
      </w:r>
      <w:r>
        <w:rPr>
          <w:rFonts w:hint="default" w:ascii="Times New Roman" w:hAnsi="Times New Roman" w:eastAsia="宋体" w:cs="Times New Roman"/>
          <w:snapToGrid w:val="0"/>
          <w:color w:val="auto"/>
          <w:spacing w:val="-16"/>
          <w:kern w:val="21"/>
          <w:szCs w:val="21"/>
          <w:highlight w:val="none"/>
        </w:rPr>
        <w:fldChar w:fldCharType="begin"/>
      </w:r>
      <w:r>
        <w:rPr>
          <w:rFonts w:hint="default" w:ascii="Times New Roman" w:hAnsi="Times New Roman" w:eastAsia="宋体" w:cs="Times New Roman"/>
          <w:snapToGrid w:val="0"/>
          <w:color w:val="auto"/>
          <w:spacing w:val="-16"/>
          <w:kern w:val="21"/>
          <w:szCs w:val="21"/>
          <w:highlight w:val="none"/>
        </w:rPr>
        <w:instrText xml:space="preserve"> = 6 \* GB3 \* MERGEFORMAT </w:instrText>
      </w:r>
      <w:r>
        <w:rPr>
          <w:rFonts w:hint="default" w:ascii="Times New Roman" w:hAnsi="Times New Roman" w:eastAsia="宋体" w:cs="Times New Roman"/>
          <w:snapToGrid w:val="0"/>
          <w:color w:val="auto"/>
          <w:spacing w:val="-16"/>
          <w:kern w:val="21"/>
          <w:szCs w:val="21"/>
          <w:highlight w:val="none"/>
        </w:rPr>
        <w:fldChar w:fldCharType="separate"/>
      </w:r>
      <w:r>
        <w:rPr>
          <w:rFonts w:hint="default" w:ascii="Times New Roman" w:hAnsi="Times New Roman" w:eastAsia="宋体" w:cs="Times New Roman"/>
          <w:color w:val="auto"/>
          <w:szCs w:val="21"/>
          <w:highlight w:val="none"/>
        </w:rPr>
        <w:t>⑥</w:t>
      </w:r>
      <w:r>
        <w:rPr>
          <w:rFonts w:hint="default" w:ascii="Times New Roman" w:hAnsi="Times New Roman" w:eastAsia="宋体" w:cs="Times New Roman"/>
          <w:snapToGrid w:val="0"/>
          <w:color w:val="auto"/>
          <w:spacing w:val="-16"/>
          <w:kern w:val="21"/>
          <w:szCs w:val="21"/>
          <w:highlight w:val="none"/>
        </w:rPr>
        <w:fldChar w:fldCharType="end"/>
      </w:r>
      <w:r>
        <w:rPr>
          <w:rFonts w:hint="default" w:ascii="Times New Roman" w:hAnsi="Times New Roman" w:eastAsia="宋体" w:cs="Times New Roman"/>
          <w:snapToGrid w:val="0"/>
          <w:color w:val="auto"/>
          <w:spacing w:val="-16"/>
          <w:kern w:val="21"/>
          <w:szCs w:val="21"/>
          <w:highlight w:val="none"/>
        </w:rPr>
        <w:t>=</w:t>
      </w:r>
      <w:r>
        <w:rPr>
          <w:rFonts w:hint="default" w:ascii="Times New Roman" w:hAnsi="Times New Roman" w:eastAsia="宋体" w:cs="Times New Roman"/>
          <w:snapToGrid w:val="0"/>
          <w:color w:val="auto"/>
          <w:spacing w:val="-6"/>
          <w:kern w:val="21"/>
          <w:szCs w:val="21"/>
          <w:highlight w:val="none"/>
        </w:rPr>
        <w:fldChar w:fldCharType="begin"/>
      </w:r>
      <w:r>
        <w:rPr>
          <w:rFonts w:hint="default" w:ascii="Times New Roman" w:hAnsi="Times New Roman" w:eastAsia="宋体" w:cs="Times New Roman"/>
          <w:snapToGrid w:val="0"/>
          <w:color w:val="auto"/>
          <w:spacing w:val="-6"/>
          <w:kern w:val="21"/>
          <w:szCs w:val="21"/>
          <w:highlight w:val="none"/>
        </w:rPr>
        <w:instrText xml:space="preserve"> = 1 \* GB3 \* MERGEFORMAT </w:instrText>
      </w:r>
      <w:r>
        <w:rPr>
          <w:rFonts w:hint="default" w:ascii="Times New Roman" w:hAnsi="Times New Roman" w:eastAsia="宋体" w:cs="Times New Roman"/>
          <w:snapToGrid w:val="0"/>
          <w:color w:val="auto"/>
          <w:spacing w:val="-6"/>
          <w:kern w:val="21"/>
          <w:szCs w:val="21"/>
          <w:highlight w:val="none"/>
        </w:rPr>
        <w:fldChar w:fldCharType="separate"/>
      </w:r>
      <w:r>
        <w:rPr>
          <w:rFonts w:hint="default" w:ascii="Times New Roman" w:hAnsi="Times New Roman" w:eastAsia="宋体" w:cs="Times New Roman"/>
          <w:color w:val="auto"/>
          <w:szCs w:val="21"/>
          <w:highlight w:val="none"/>
        </w:rPr>
        <w:t>①</w:t>
      </w:r>
      <w:r>
        <w:rPr>
          <w:rFonts w:hint="default" w:ascii="Times New Roman" w:hAnsi="Times New Roman" w:eastAsia="宋体" w:cs="Times New Roman"/>
          <w:snapToGrid w:val="0"/>
          <w:color w:val="auto"/>
          <w:spacing w:val="-6"/>
          <w:kern w:val="21"/>
          <w:szCs w:val="21"/>
          <w:highlight w:val="none"/>
        </w:rPr>
        <w:fldChar w:fldCharType="end"/>
      </w:r>
      <w:r>
        <w:rPr>
          <w:rFonts w:hint="default" w:ascii="Times New Roman" w:hAnsi="Times New Roman" w:eastAsia="宋体" w:cs="Times New Roman"/>
          <w:snapToGrid w:val="0"/>
          <w:color w:val="auto"/>
          <w:spacing w:val="-6"/>
          <w:kern w:val="21"/>
          <w:szCs w:val="21"/>
          <w:highlight w:val="none"/>
        </w:rPr>
        <w:t>+</w:t>
      </w:r>
      <w:r>
        <w:rPr>
          <w:rFonts w:hint="default" w:ascii="Times New Roman" w:hAnsi="Times New Roman" w:eastAsia="宋体" w:cs="Times New Roman"/>
          <w:snapToGrid w:val="0"/>
          <w:color w:val="auto"/>
          <w:spacing w:val="-6"/>
          <w:kern w:val="21"/>
          <w:szCs w:val="21"/>
          <w:highlight w:val="none"/>
        </w:rPr>
        <w:fldChar w:fldCharType="begin"/>
      </w:r>
      <w:r>
        <w:rPr>
          <w:rFonts w:hint="default" w:ascii="Times New Roman" w:hAnsi="Times New Roman" w:eastAsia="宋体" w:cs="Times New Roman"/>
          <w:snapToGrid w:val="0"/>
          <w:color w:val="auto"/>
          <w:spacing w:val="-6"/>
          <w:kern w:val="21"/>
          <w:szCs w:val="21"/>
          <w:highlight w:val="none"/>
        </w:rPr>
        <w:instrText xml:space="preserve"> = 3 \* GB3 \* MERGEFORMAT </w:instrText>
      </w:r>
      <w:r>
        <w:rPr>
          <w:rFonts w:hint="default" w:ascii="Times New Roman" w:hAnsi="Times New Roman" w:eastAsia="宋体" w:cs="Times New Roman"/>
          <w:snapToGrid w:val="0"/>
          <w:color w:val="auto"/>
          <w:spacing w:val="-6"/>
          <w:kern w:val="21"/>
          <w:szCs w:val="21"/>
          <w:highlight w:val="none"/>
        </w:rPr>
        <w:fldChar w:fldCharType="separate"/>
      </w:r>
      <w:r>
        <w:rPr>
          <w:rFonts w:hint="default" w:ascii="Times New Roman" w:hAnsi="Times New Roman" w:eastAsia="宋体" w:cs="Times New Roman"/>
          <w:color w:val="auto"/>
          <w:szCs w:val="21"/>
          <w:highlight w:val="none"/>
        </w:rPr>
        <w:t>③</w:t>
      </w:r>
      <w:r>
        <w:rPr>
          <w:rFonts w:hint="default" w:ascii="Times New Roman" w:hAnsi="Times New Roman" w:eastAsia="宋体" w:cs="Times New Roman"/>
          <w:snapToGrid w:val="0"/>
          <w:color w:val="auto"/>
          <w:spacing w:val="-6"/>
          <w:kern w:val="21"/>
          <w:szCs w:val="21"/>
          <w:highlight w:val="none"/>
        </w:rPr>
        <w:fldChar w:fldCharType="end"/>
      </w:r>
      <w:r>
        <w:rPr>
          <w:rFonts w:hint="default" w:ascii="Times New Roman" w:hAnsi="Times New Roman" w:eastAsia="宋体" w:cs="Times New Roman"/>
          <w:snapToGrid w:val="0"/>
          <w:color w:val="auto"/>
          <w:spacing w:val="-6"/>
          <w:kern w:val="21"/>
          <w:szCs w:val="21"/>
          <w:highlight w:val="none"/>
        </w:rPr>
        <w:t>+</w:t>
      </w:r>
      <w:r>
        <w:rPr>
          <w:rFonts w:hint="default" w:ascii="Times New Roman" w:hAnsi="Times New Roman" w:eastAsia="宋体" w:cs="Times New Roman"/>
          <w:snapToGrid w:val="0"/>
          <w:color w:val="auto"/>
          <w:spacing w:val="-6"/>
          <w:kern w:val="21"/>
          <w:szCs w:val="21"/>
          <w:highlight w:val="none"/>
        </w:rPr>
        <w:fldChar w:fldCharType="begin"/>
      </w:r>
      <w:r>
        <w:rPr>
          <w:rFonts w:hint="default" w:ascii="Times New Roman" w:hAnsi="Times New Roman" w:eastAsia="宋体" w:cs="Times New Roman"/>
          <w:snapToGrid w:val="0"/>
          <w:color w:val="auto"/>
          <w:spacing w:val="-6"/>
          <w:kern w:val="21"/>
          <w:szCs w:val="21"/>
          <w:highlight w:val="none"/>
        </w:rPr>
        <w:instrText xml:space="preserve"> = 4 \* GB3 \* MERGEFORMAT </w:instrText>
      </w:r>
      <w:r>
        <w:rPr>
          <w:rFonts w:hint="default" w:ascii="Times New Roman" w:hAnsi="Times New Roman" w:eastAsia="宋体" w:cs="Times New Roman"/>
          <w:snapToGrid w:val="0"/>
          <w:color w:val="auto"/>
          <w:spacing w:val="-6"/>
          <w:kern w:val="21"/>
          <w:szCs w:val="21"/>
          <w:highlight w:val="none"/>
        </w:rPr>
        <w:fldChar w:fldCharType="separate"/>
      </w:r>
      <w:r>
        <w:rPr>
          <w:rFonts w:hint="default" w:ascii="Times New Roman" w:hAnsi="Times New Roman" w:eastAsia="宋体" w:cs="Times New Roman"/>
          <w:color w:val="auto"/>
          <w:szCs w:val="21"/>
          <w:highlight w:val="none"/>
        </w:rPr>
        <w:t>④</w:t>
      </w:r>
      <w:r>
        <w:rPr>
          <w:rFonts w:hint="default" w:ascii="Times New Roman" w:hAnsi="Times New Roman" w:eastAsia="宋体" w:cs="Times New Roman"/>
          <w:snapToGrid w:val="0"/>
          <w:color w:val="auto"/>
          <w:spacing w:val="-6"/>
          <w:kern w:val="21"/>
          <w:szCs w:val="21"/>
          <w:highlight w:val="none"/>
        </w:rPr>
        <w:fldChar w:fldCharType="end"/>
      </w:r>
      <w:r>
        <w:rPr>
          <w:rFonts w:hint="default" w:ascii="Times New Roman" w:hAnsi="Times New Roman" w:eastAsia="宋体" w:cs="Times New Roman"/>
          <w:snapToGrid w:val="0"/>
          <w:color w:val="auto"/>
          <w:spacing w:val="-6"/>
          <w:kern w:val="21"/>
          <w:szCs w:val="21"/>
          <w:highlight w:val="none"/>
        </w:rPr>
        <w:t>-</w:t>
      </w:r>
      <w:r>
        <w:rPr>
          <w:rFonts w:hint="default" w:ascii="Times New Roman" w:hAnsi="Times New Roman" w:eastAsia="宋体" w:cs="Times New Roman"/>
          <w:snapToGrid w:val="0"/>
          <w:color w:val="auto"/>
          <w:spacing w:val="-16"/>
          <w:kern w:val="21"/>
          <w:szCs w:val="21"/>
          <w:highlight w:val="none"/>
        </w:rPr>
        <w:fldChar w:fldCharType="begin"/>
      </w:r>
      <w:r>
        <w:rPr>
          <w:rFonts w:hint="default" w:ascii="Times New Roman" w:hAnsi="Times New Roman" w:eastAsia="宋体" w:cs="Times New Roman"/>
          <w:snapToGrid w:val="0"/>
          <w:color w:val="auto"/>
          <w:spacing w:val="-16"/>
          <w:kern w:val="21"/>
          <w:szCs w:val="21"/>
          <w:highlight w:val="none"/>
        </w:rPr>
        <w:instrText xml:space="preserve"> = 5 \* GB3 \* MERGEFORMAT </w:instrText>
      </w:r>
      <w:r>
        <w:rPr>
          <w:rFonts w:hint="default" w:ascii="Times New Roman" w:hAnsi="Times New Roman" w:eastAsia="宋体" w:cs="Times New Roman"/>
          <w:snapToGrid w:val="0"/>
          <w:color w:val="auto"/>
          <w:spacing w:val="-16"/>
          <w:kern w:val="21"/>
          <w:szCs w:val="21"/>
          <w:highlight w:val="none"/>
        </w:rPr>
        <w:fldChar w:fldCharType="separate"/>
      </w:r>
      <w:r>
        <w:rPr>
          <w:rFonts w:hint="default" w:ascii="Times New Roman" w:hAnsi="Times New Roman" w:eastAsia="宋体" w:cs="Times New Roman"/>
          <w:color w:val="auto"/>
          <w:szCs w:val="21"/>
          <w:highlight w:val="none"/>
        </w:rPr>
        <w:t>⑤</w:t>
      </w:r>
      <w:r>
        <w:rPr>
          <w:rFonts w:hint="default" w:ascii="Times New Roman" w:hAnsi="Times New Roman" w:eastAsia="宋体" w:cs="Times New Roman"/>
          <w:snapToGrid w:val="0"/>
          <w:color w:val="auto"/>
          <w:spacing w:val="-16"/>
          <w:kern w:val="21"/>
          <w:szCs w:val="21"/>
          <w:highlight w:val="none"/>
        </w:rPr>
        <w:fldChar w:fldCharType="end"/>
      </w:r>
      <w:r>
        <w:rPr>
          <w:rFonts w:hint="default" w:ascii="Times New Roman" w:hAnsi="Times New Roman" w:eastAsia="宋体" w:cs="Times New Roman"/>
          <w:snapToGrid w:val="0"/>
          <w:color w:val="auto"/>
          <w:spacing w:val="-16"/>
          <w:kern w:val="21"/>
          <w:szCs w:val="21"/>
          <w:highlight w:val="none"/>
        </w:rPr>
        <w:t>；</w:t>
      </w:r>
      <w:r>
        <w:rPr>
          <w:rFonts w:hint="default" w:ascii="Times New Roman" w:hAnsi="Times New Roman" w:eastAsia="宋体" w:cs="Times New Roman"/>
          <w:snapToGrid w:val="0"/>
          <w:color w:val="auto"/>
          <w:spacing w:val="-6"/>
          <w:kern w:val="21"/>
          <w:szCs w:val="21"/>
          <w:highlight w:val="none"/>
        </w:rPr>
        <w:fldChar w:fldCharType="begin"/>
      </w:r>
      <w:r>
        <w:rPr>
          <w:rFonts w:hint="default" w:ascii="Times New Roman" w:hAnsi="Times New Roman" w:eastAsia="宋体" w:cs="Times New Roman"/>
          <w:snapToGrid w:val="0"/>
          <w:color w:val="auto"/>
          <w:spacing w:val="-6"/>
          <w:kern w:val="21"/>
          <w:szCs w:val="21"/>
          <w:highlight w:val="none"/>
        </w:rPr>
        <w:instrText xml:space="preserve"> = 7 \* GB3 \* MERGEFORMAT </w:instrText>
      </w:r>
      <w:r>
        <w:rPr>
          <w:rFonts w:hint="default" w:ascii="Times New Roman" w:hAnsi="Times New Roman" w:eastAsia="宋体" w:cs="Times New Roman"/>
          <w:snapToGrid w:val="0"/>
          <w:color w:val="auto"/>
          <w:spacing w:val="-6"/>
          <w:kern w:val="21"/>
          <w:szCs w:val="21"/>
          <w:highlight w:val="none"/>
        </w:rPr>
        <w:fldChar w:fldCharType="separate"/>
      </w:r>
      <w:r>
        <w:rPr>
          <w:rFonts w:hint="default" w:ascii="Times New Roman" w:hAnsi="Times New Roman" w:eastAsia="宋体" w:cs="Times New Roman"/>
          <w:color w:val="auto"/>
          <w:szCs w:val="21"/>
          <w:highlight w:val="none"/>
        </w:rPr>
        <w:t>⑦</w:t>
      </w:r>
      <w:r>
        <w:rPr>
          <w:rFonts w:hint="default" w:ascii="Times New Roman" w:hAnsi="Times New Roman" w:eastAsia="宋体" w:cs="Times New Roman"/>
          <w:snapToGrid w:val="0"/>
          <w:color w:val="auto"/>
          <w:spacing w:val="-6"/>
          <w:kern w:val="21"/>
          <w:szCs w:val="21"/>
          <w:highlight w:val="none"/>
        </w:rPr>
        <w:fldChar w:fldCharType="end"/>
      </w:r>
      <w:r>
        <w:rPr>
          <w:rFonts w:hint="default" w:ascii="Times New Roman" w:hAnsi="Times New Roman" w:eastAsia="宋体" w:cs="Times New Roman"/>
          <w:snapToGrid w:val="0"/>
          <w:color w:val="auto"/>
          <w:spacing w:val="-6"/>
          <w:kern w:val="21"/>
          <w:szCs w:val="21"/>
          <w:highlight w:val="none"/>
        </w:rPr>
        <w:t>=</w:t>
      </w:r>
      <w:r>
        <w:rPr>
          <w:rFonts w:hint="default" w:ascii="Times New Roman" w:hAnsi="Times New Roman" w:eastAsia="宋体" w:cs="Times New Roman"/>
          <w:snapToGrid w:val="0"/>
          <w:color w:val="auto"/>
          <w:spacing w:val="-16"/>
          <w:kern w:val="21"/>
          <w:szCs w:val="21"/>
          <w:highlight w:val="none"/>
        </w:rPr>
        <w:fldChar w:fldCharType="begin"/>
      </w:r>
      <w:r>
        <w:rPr>
          <w:rFonts w:hint="default" w:ascii="Times New Roman" w:hAnsi="Times New Roman" w:eastAsia="宋体" w:cs="Times New Roman"/>
          <w:snapToGrid w:val="0"/>
          <w:color w:val="auto"/>
          <w:spacing w:val="-16"/>
          <w:kern w:val="21"/>
          <w:szCs w:val="21"/>
          <w:highlight w:val="none"/>
        </w:rPr>
        <w:instrText xml:space="preserve"> = 6 \* GB3 \* MERGEFORMAT </w:instrText>
      </w:r>
      <w:r>
        <w:rPr>
          <w:rFonts w:hint="default" w:ascii="Times New Roman" w:hAnsi="Times New Roman" w:eastAsia="宋体" w:cs="Times New Roman"/>
          <w:snapToGrid w:val="0"/>
          <w:color w:val="auto"/>
          <w:spacing w:val="-16"/>
          <w:kern w:val="21"/>
          <w:szCs w:val="21"/>
          <w:highlight w:val="none"/>
        </w:rPr>
        <w:fldChar w:fldCharType="separate"/>
      </w:r>
      <w:r>
        <w:rPr>
          <w:rFonts w:hint="default" w:ascii="Times New Roman" w:hAnsi="Times New Roman" w:eastAsia="宋体" w:cs="Times New Roman"/>
          <w:color w:val="auto"/>
          <w:szCs w:val="21"/>
          <w:highlight w:val="none"/>
        </w:rPr>
        <w:t>⑥</w:t>
      </w:r>
      <w:r>
        <w:rPr>
          <w:rFonts w:hint="default" w:ascii="Times New Roman" w:hAnsi="Times New Roman" w:eastAsia="宋体" w:cs="Times New Roman"/>
          <w:snapToGrid w:val="0"/>
          <w:color w:val="auto"/>
          <w:spacing w:val="-16"/>
          <w:kern w:val="21"/>
          <w:szCs w:val="21"/>
          <w:highlight w:val="none"/>
        </w:rPr>
        <w:fldChar w:fldCharType="end"/>
      </w:r>
      <w:r>
        <w:rPr>
          <w:rFonts w:hint="default" w:ascii="Times New Roman" w:hAnsi="Times New Roman" w:eastAsia="宋体" w:cs="Times New Roman"/>
          <w:snapToGrid w:val="0"/>
          <w:color w:val="auto"/>
          <w:spacing w:val="-16"/>
          <w:kern w:val="21"/>
          <w:szCs w:val="21"/>
          <w:highlight w:val="none"/>
        </w:rPr>
        <w:t>-</w:t>
      </w:r>
      <w:r>
        <w:rPr>
          <w:rFonts w:hint="default" w:ascii="Times New Roman" w:hAnsi="Times New Roman" w:eastAsia="宋体" w:cs="Times New Roman"/>
          <w:snapToGrid w:val="0"/>
          <w:color w:val="auto"/>
          <w:spacing w:val="-6"/>
          <w:kern w:val="21"/>
          <w:szCs w:val="21"/>
          <w:highlight w:val="none"/>
        </w:rPr>
        <w:fldChar w:fldCharType="begin"/>
      </w:r>
      <w:r>
        <w:rPr>
          <w:rFonts w:hint="default" w:ascii="Times New Roman" w:hAnsi="Times New Roman" w:eastAsia="宋体" w:cs="Times New Roman"/>
          <w:snapToGrid w:val="0"/>
          <w:color w:val="auto"/>
          <w:spacing w:val="-6"/>
          <w:kern w:val="21"/>
          <w:szCs w:val="21"/>
          <w:highlight w:val="none"/>
        </w:rPr>
        <w:instrText xml:space="preserve"> = 1 \* GB3 \* MERGEFORMAT </w:instrText>
      </w:r>
      <w:r>
        <w:rPr>
          <w:rFonts w:hint="default" w:ascii="Times New Roman" w:hAnsi="Times New Roman" w:eastAsia="宋体" w:cs="Times New Roman"/>
          <w:snapToGrid w:val="0"/>
          <w:color w:val="auto"/>
          <w:spacing w:val="-6"/>
          <w:kern w:val="21"/>
          <w:szCs w:val="21"/>
          <w:highlight w:val="none"/>
        </w:rPr>
        <w:fldChar w:fldCharType="separate"/>
      </w:r>
      <w:r>
        <w:rPr>
          <w:rFonts w:hint="default" w:ascii="Times New Roman" w:hAnsi="Times New Roman" w:eastAsia="宋体" w:cs="Times New Roman"/>
          <w:color w:val="auto"/>
          <w:szCs w:val="21"/>
          <w:highlight w:val="none"/>
        </w:rPr>
        <w:t>①</w:t>
      </w:r>
      <w:r>
        <w:rPr>
          <w:rFonts w:hint="default" w:ascii="Times New Roman" w:hAnsi="Times New Roman" w:eastAsia="宋体" w:cs="Times New Roman"/>
          <w:snapToGrid w:val="0"/>
          <w:color w:val="auto"/>
          <w:spacing w:val="-6"/>
          <w:kern w:val="21"/>
          <w:szCs w:val="21"/>
          <w:highlight w:val="none"/>
        </w:rPr>
        <w:fldChar w:fldCharType="end"/>
      </w:r>
    </w:p>
    <w:p w14:paraId="0EA36C17">
      <w:pPr>
        <w:rPr>
          <w:rFonts w:hint="default" w:ascii="Times New Roman" w:hAnsi="Times New Roman" w:eastAsia="宋体" w:cs="Times New Roman"/>
          <w:color w:val="auto"/>
          <w:highlight w:val="none"/>
        </w:rPr>
      </w:pPr>
    </w:p>
    <w:p w14:paraId="133A3CDD">
      <w:pPr>
        <w:rPr>
          <w:rFonts w:hint="default" w:ascii="Times New Roman" w:hAnsi="Times New Roman" w:eastAsia="宋体" w:cs="Times New Roman"/>
          <w:color w:val="auto"/>
          <w:highlight w:val="none"/>
          <w:lang w:eastAsia="zh-CN"/>
        </w:rPr>
      </w:pPr>
    </w:p>
    <w:sectPr>
      <w:footerReference r:id="rId4" w:type="default"/>
      <w:pgSz w:w="16838" w:h="11906" w:orient="landscape"/>
      <w:pgMar w:top="1134" w:right="1276" w:bottom="991" w:left="1062"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5B42C">
    <w:pPr>
      <w:pStyle w:val="6"/>
      <w:jc w:val="center"/>
    </w:pPr>
    <w:r>
      <w:fldChar w:fldCharType="begin"/>
    </w:r>
    <w:r>
      <w:instrText xml:space="preserve">PAGE   \* MERGEFORMAT</w:instrText>
    </w:r>
    <w:r>
      <w:fldChar w:fldCharType="separate"/>
    </w:r>
    <w:r>
      <w:rPr>
        <w:lang w:val="zh-CN"/>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A82FA">
    <w:pPr>
      <w:pStyle w:val="6"/>
      <w:ind w:right="360" w:firstLine="360"/>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wMTk2ZGY0YzRkZmExZTFhNjFkOWVhYTgyNGZiNjAifQ=="/>
  </w:docVars>
  <w:rsids>
    <w:rsidRoot w:val="37FD1ED2"/>
    <w:rsid w:val="00002B95"/>
    <w:rsid w:val="00004541"/>
    <w:rsid w:val="0000467E"/>
    <w:rsid w:val="000074C8"/>
    <w:rsid w:val="000122F6"/>
    <w:rsid w:val="000155E0"/>
    <w:rsid w:val="00024163"/>
    <w:rsid w:val="00030AAA"/>
    <w:rsid w:val="000442C6"/>
    <w:rsid w:val="00045695"/>
    <w:rsid w:val="00050EFD"/>
    <w:rsid w:val="000537B3"/>
    <w:rsid w:val="00070A1A"/>
    <w:rsid w:val="0007210A"/>
    <w:rsid w:val="00095186"/>
    <w:rsid w:val="000A5C60"/>
    <w:rsid w:val="000B6F8F"/>
    <w:rsid w:val="000C59BD"/>
    <w:rsid w:val="000C6B10"/>
    <w:rsid w:val="000D4FE2"/>
    <w:rsid w:val="000E1E4C"/>
    <w:rsid w:val="000F0E7F"/>
    <w:rsid w:val="000F14A4"/>
    <w:rsid w:val="000F2EFD"/>
    <w:rsid w:val="000F723D"/>
    <w:rsid w:val="001011B2"/>
    <w:rsid w:val="001015A1"/>
    <w:rsid w:val="001128FE"/>
    <w:rsid w:val="001138AD"/>
    <w:rsid w:val="00116B80"/>
    <w:rsid w:val="00121B1D"/>
    <w:rsid w:val="0012390D"/>
    <w:rsid w:val="0013603E"/>
    <w:rsid w:val="00136F0C"/>
    <w:rsid w:val="001441E3"/>
    <w:rsid w:val="0015460F"/>
    <w:rsid w:val="001642C1"/>
    <w:rsid w:val="00167C6C"/>
    <w:rsid w:val="00174A8D"/>
    <w:rsid w:val="00176352"/>
    <w:rsid w:val="00185081"/>
    <w:rsid w:val="0018617B"/>
    <w:rsid w:val="00187925"/>
    <w:rsid w:val="0019059F"/>
    <w:rsid w:val="0019112D"/>
    <w:rsid w:val="00191ECA"/>
    <w:rsid w:val="0019469A"/>
    <w:rsid w:val="001A0C8C"/>
    <w:rsid w:val="001A3342"/>
    <w:rsid w:val="001B12FB"/>
    <w:rsid w:val="001B6B31"/>
    <w:rsid w:val="001D6532"/>
    <w:rsid w:val="001E489E"/>
    <w:rsid w:val="001E7E93"/>
    <w:rsid w:val="001F1A0A"/>
    <w:rsid w:val="001F3741"/>
    <w:rsid w:val="001F5C85"/>
    <w:rsid w:val="002012D6"/>
    <w:rsid w:val="0020215E"/>
    <w:rsid w:val="00234292"/>
    <w:rsid w:val="002452B8"/>
    <w:rsid w:val="00245CCA"/>
    <w:rsid w:val="00252502"/>
    <w:rsid w:val="00270AC3"/>
    <w:rsid w:val="00276C09"/>
    <w:rsid w:val="0028686D"/>
    <w:rsid w:val="00286ECA"/>
    <w:rsid w:val="0029527D"/>
    <w:rsid w:val="002A0C0D"/>
    <w:rsid w:val="002B4F07"/>
    <w:rsid w:val="002C3FA4"/>
    <w:rsid w:val="002C45BF"/>
    <w:rsid w:val="002D225B"/>
    <w:rsid w:val="002D5C4D"/>
    <w:rsid w:val="002E1465"/>
    <w:rsid w:val="002E33D5"/>
    <w:rsid w:val="002F40AE"/>
    <w:rsid w:val="003052FA"/>
    <w:rsid w:val="00311049"/>
    <w:rsid w:val="00312DBA"/>
    <w:rsid w:val="003142D3"/>
    <w:rsid w:val="003164D1"/>
    <w:rsid w:val="00317843"/>
    <w:rsid w:val="00320B5B"/>
    <w:rsid w:val="00321F61"/>
    <w:rsid w:val="00322632"/>
    <w:rsid w:val="003456B0"/>
    <w:rsid w:val="00350A10"/>
    <w:rsid w:val="003550A8"/>
    <w:rsid w:val="00355CC2"/>
    <w:rsid w:val="0037360D"/>
    <w:rsid w:val="0037628B"/>
    <w:rsid w:val="00396A8B"/>
    <w:rsid w:val="003A7914"/>
    <w:rsid w:val="003B25C0"/>
    <w:rsid w:val="003B436D"/>
    <w:rsid w:val="003C44B8"/>
    <w:rsid w:val="003C4DFF"/>
    <w:rsid w:val="003D0DEE"/>
    <w:rsid w:val="003D119D"/>
    <w:rsid w:val="003E654E"/>
    <w:rsid w:val="003E708F"/>
    <w:rsid w:val="003F05C1"/>
    <w:rsid w:val="003F06F0"/>
    <w:rsid w:val="003F7EF6"/>
    <w:rsid w:val="004056F9"/>
    <w:rsid w:val="00406810"/>
    <w:rsid w:val="004068E3"/>
    <w:rsid w:val="004243FB"/>
    <w:rsid w:val="00440872"/>
    <w:rsid w:val="00441472"/>
    <w:rsid w:val="004447B4"/>
    <w:rsid w:val="00447980"/>
    <w:rsid w:val="00452B45"/>
    <w:rsid w:val="004636FB"/>
    <w:rsid w:val="00467DF9"/>
    <w:rsid w:val="00471D88"/>
    <w:rsid w:val="00472650"/>
    <w:rsid w:val="00475713"/>
    <w:rsid w:val="00487F21"/>
    <w:rsid w:val="0049667B"/>
    <w:rsid w:val="004A31EA"/>
    <w:rsid w:val="004A4245"/>
    <w:rsid w:val="004B5178"/>
    <w:rsid w:val="004C149C"/>
    <w:rsid w:val="004F1759"/>
    <w:rsid w:val="0050090A"/>
    <w:rsid w:val="00516A3C"/>
    <w:rsid w:val="005174A3"/>
    <w:rsid w:val="00517CE7"/>
    <w:rsid w:val="00521E7D"/>
    <w:rsid w:val="005351F9"/>
    <w:rsid w:val="00537B3E"/>
    <w:rsid w:val="00537E7E"/>
    <w:rsid w:val="0054239B"/>
    <w:rsid w:val="00545B10"/>
    <w:rsid w:val="00545CC8"/>
    <w:rsid w:val="005530EB"/>
    <w:rsid w:val="005539EB"/>
    <w:rsid w:val="00554FE6"/>
    <w:rsid w:val="005674FE"/>
    <w:rsid w:val="00577D25"/>
    <w:rsid w:val="005907EC"/>
    <w:rsid w:val="005964CA"/>
    <w:rsid w:val="005A02FA"/>
    <w:rsid w:val="005A37F1"/>
    <w:rsid w:val="005A6EE5"/>
    <w:rsid w:val="005A725B"/>
    <w:rsid w:val="005B2B16"/>
    <w:rsid w:val="005B3776"/>
    <w:rsid w:val="005B44F1"/>
    <w:rsid w:val="005B6791"/>
    <w:rsid w:val="005C37F4"/>
    <w:rsid w:val="005C383E"/>
    <w:rsid w:val="005C661A"/>
    <w:rsid w:val="005C71B2"/>
    <w:rsid w:val="005D1FCC"/>
    <w:rsid w:val="005D2ABA"/>
    <w:rsid w:val="005D54CF"/>
    <w:rsid w:val="005D6010"/>
    <w:rsid w:val="005E2D01"/>
    <w:rsid w:val="005E2D0D"/>
    <w:rsid w:val="005E48F1"/>
    <w:rsid w:val="005E5CB8"/>
    <w:rsid w:val="005F7649"/>
    <w:rsid w:val="00600A33"/>
    <w:rsid w:val="00602959"/>
    <w:rsid w:val="00603B77"/>
    <w:rsid w:val="00625B6E"/>
    <w:rsid w:val="006453C7"/>
    <w:rsid w:val="00645715"/>
    <w:rsid w:val="00652CE7"/>
    <w:rsid w:val="00657C8F"/>
    <w:rsid w:val="0066189E"/>
    <w:rsid w:val="00663E7C"/>
    <w:rsid w:val="00673EF8"/>
    <w:rsid w:val="00675C56"/>
    <w:rsid w:val="00676A0A"/>
    <w:rsid w:val="00683AA5"/>
    <w:rsid w:val="00687D61"/>
    <w:rsid w:val="0069069D"/>
    <w:rsid w:val="006A5DF5"/>
    <w:rsid w:val="006B12E7"/>
    <w:rsid w:val="006B1C77"/>
    <w:rsid w:val="006C1A55"/>
    <w:rsid w:val="006C2CE8"/>
    <w:rsid w:val="006C2ED2"/>
    <w:rsid w:val="006C7282"/>
    <w:rsid w:val="006D7301"/>
    <w:rsid w:val="006D7836"/>
    <w:rsid w:val="006D7C1F"/>
    <w:rsid w:val="006F0AEC"/>
    <w:rsid w:val="006F1A08"/>
    <w:rsid w:val="006F2861"/>
    <w:rsid w:val="007107D8"/>
    <w:rsid w:val="00713B5B"/>
    <w:rsid w:val="00723EB8"/>
    <w:rsid w:val="007258C9"/>
    <w:rsid w:val="007321F3"/>
    <w:rsid w:val="0073672E"/>
    <w:rsid w:val="00737ED8"/>
    <w:rsid w:val="0074063E"/>
    <w:rsid w:val="00743763"/>
    <w:rsid w:val="00743BE6"/>
    <w:rsid w:val="00743C07"/>
    <w:rsid w:val="007446DE"/>
    <w:rsid w:val="00744818"/>
    <w:rsid w:val="00745961"/>
    <w:rsid w:val="00763B7D"/>
    <w:rsid w:val="00771254"/>
    <w:rsid w:val="00771829"/>
    <w:rsid w:val="00781EEE"/>
    <w:rsid w:val="007A08E0"/>
    <w:rsid w:val="007A0FB5"/>
    <w:rsid w:val="007A15C7"/>
    <w:rsid w:val="007A175A"/>
    <w:rsid w:val="007A7627"/>
    <w:rsid w:val="007A7D27"/>
    <w:rsid w:val="007C027D"/>
    <w:rsid w:val="007C47D8"/>
    <w:rsid w:val="007C6A31"/>
    <w:rsid w:val="007D4AD6"/>
    <w:rsid w:val="007E1E9D"/>
    <w:rsid w:val="007E2459"/>
    <w:rsid w:val="007E41B1"/>
    <w:rsid w:val="007F0238"/>
    <w:rsid w:val="007F1729"/>
    <w:rsid w:val="007F54A4"/>
    <w:rsid w:val="008001C9"/>
    <w:rsid w:val="00801C75"/>
    <w:rsid w:val="0080405E"/>
    <w:rsid w:val="0081089A"/>
    <w:rsid w:val="008350F4"/>
    <w:rsid w:val="00842232"/>
    <w:rsid w:val="008511C5"/>
    <w:rsid w:val="00851A8C"/>
    <w:rsid w:val="00860E75"/>
    <w:rsid w:val="00872C0D"/>
    <w:rsid w:val="00884D95"/>
    <w:rsid w:val="00890F55"/>
    <w:rsid w:val="00896C4A"/>
    <w:rsid w:val="008A22CF"/>
    <w:rsid w:val="008B2E76"/>
    <w:rsid w:val="008C059B"/>
    <w:rsid w:val="008C69AF"/>
    <w:rsid w:val="00905E60"/>
    <w:rsid w:val="00916EE1"/>
    <w:rsid w:val="0093701F"/>
    <w:rsid w:val="00940FAD"/>
    <w:rsid w:val="00944F40"/>
    <w:rsid w:val="00946BA1"/>
    <w:rsid w:val="00960078"/>
    <w:rsid w:val="0097279A"/>
    <w:rsid w:val="00982A9B"/>
    <w:rsid w:val="00985583"/>
    <w:rsid w:val="009A2242"/>
    <w:rsid w:val="009A2380"/>
    <w:rsid w:val="009B346E"/>
    <w:rsid w:val="009B7836"/>
    <w:rsid w:val="009C17E8"/>
    <w:rsid w:val="009D7A4F"/>
    <w:rsid w:val="009E4211"/>
    <w:rsid w:val="009E7834"/>
    <w:rsid w:val="00A0248E"/>
    <w:rsid w:val="00A037AE"/>
    <w:rsid w:val="00A134C9"/>
    <w:rsid w:val="00A51829"/>
    <w:rsid w:val="00A5702D"/>
    <w:rsid w:val="00A710A3"/>
    <w:rsid w:val="00A75302"/>
    <w:rsid w:val="00AA0F48"/>
    <w:rsid w:val="00AA4088"/>
    <w:rsid w:val="00AB1892"/>
    <w:rsid w:val="00AB36DD"/>
    <w:rsid w:val="00AB5DB9"/>
    <w:rsid w:val="00AB6DA8"/>
    <w:rsid w:val="00AD508B"/>
    <w:rsid w:val="00AD60FC"/>
    <w:rsid w:val="00AD7D86"/>
    <w:rsid w:val="00AF08AF"/>
    <w:rsid w:val="00B07AAF"/>
    <w:rsid w:val="00B135FF"/>
    <w:rsid w:val="00B22D11"/>
    <w:rsid w:val="00B26AC1"/>
    <w:rsid w:val="00B3351B"/>
    <w:rsid w:val="00B34734"/>
    <w:rsid w:val="00B45F20"/>
    <w:rsid w:val="00B50C8E"/>
    <w:rsid w:val="00B5578A"/>
    <w:rsid w:val="00B623C3"/>
    <w:rsid w:val="00B658AF"/>
    <w:rsid w:val="00B775FE"/>
    <w:rsid w:val="00BA2517"/>
    <w:rsid w:val="00BB4737"/>
    <w:rsid w:val="00BC1324"/>
    <w:rsid w:val="00BC5FE0"/>
    <w:rsid w:val="00BC7B50"/>
    <w:rsid w:val="00BE43DE"/>
    <w:rsid w:val="00BE6BD8"/>
    <w:rsid w:val="00BE6FE8"/>
    <w:rsid w:val="00BF2B5B"/>
    <w:rsid w:val="00C05055"/>
    <w:rsid w:val="00C06E6A"/>
    <w:rsid w:val="00C245E3"/>
    <w:rsid w:val="00C36C9C"/>
    <w:rsid w:val="00C429E1"/>
    <w:rsid w:val="00C47A66"/>
    <w:rsid w:val="00C514F0"/>
    <w:rsid w:val="00C5152E"/>
    <w:rsid w:val="00C52ACC"/>
    <w:rsid w:val="00C52FD0"/>
    <w:rsid w:val="00C65787"/>
    <w:rsid w:val="00C710CC"/>
    <w:rsid w:val="00C75A05"/>
    <w:rsid w:val="00C75E83"/>
    <w:rsid w:val="00C83131"/>
    <w:rsid w:val="00C8515B"/>
    <w:rsid w:val="00C85A81"/>
    <w:rsid w:val="00C90939"/>
    <w:rsid w:val="00C93A62"/>
    <w:rsid w:val="00CA7A5C"/>
    <w:rsid w:val="00CB00F2"/>
    <w:rsid w:val="00CB1995"/>
    <w:rsid w:val="00CC26D3"/>
    <w:rsid w:val="00CE0AAE"/>
    <w:rsid w:val="00CE1ED2"/>
    <w:rsid w:val="00CF18E6"/>
    <w:rsid w:val="00D05EEE"/>
    <w:rsid w:val="00D15161"/>
    <w:rsid w:val="00D20E6D"/>
    <w:rsid w:val="00D220DE"/>
    <w:rsid w:val="00D22E2D"/>
    <w:rsid w:val="00D2367D"/>
    <w:rsid w:val="00D24C8C"/>
    <w:rsid w:val="00D27A2B"/>
    <w:rsid w:val="00D51E67"/>
    <w:rsid w:val="00D52CE4"/>
    <w:rsid w:val="00D564AD"/>
    <w:rsid w:val="00D56B58"/>
    <w:rsid w:val="00D65203"/>
    <w:rsid w:val="00D71651"/>
    <w:rsid w:val="00D74D44"/>
    <w:rsid w:val="00D801E0"/>
    <w:rsid w:val="00D81474"/>
    <w:rsid w:val="00D847E8"/>
    <w:rsid w:val="00DA67FF"/>
    <w:rsid w:val="00DA7E8D"/>
    <w:rsid w:val="00DB1AEA"/>
    <w:rsid w:val="00DB5391"/>
    <w:rsid w:val="00DC6A47"/>
    <w:rsid w:val="00DD1EF5"/>
    <w:rsid w:val="00DD3842"/>
    <w:rsid w:val="00DD70D8"/>
    <w:rsid w:val="00DE1BDC"/>
    <w:rsid w:val="00DF011F"/>
    <w:rsid w:val="00DF2CE6"/>
    <w:rsid w:val="00DF46AF"/>
    <w:rsid w:val="00E06479"/>
    <w:rsid w:val="00E06FA3"/>
    <w:rsid w:val="00E1013D"/>
    <w:rsid w:val="00E2063C"/>
    <w:rsid w:val="00E225E5"/>
    <w:rsid w:val="00E24D9F"/>
    <w:rsid w:val="00E3356C"/>
    <w:rsid w:val="00E36D90"/>
    <w:rsid w:val="00E50441"/>
    <w:rsid w:val="00E5069F"/>
    <w:rsid w:val="00E550D3"/>
    <w:rsid w:val="00E60652"/>
    <w:rsid w:val="00E65D0C"/>
    <w:rsid w:val="00E65F91"/>
    <w:rsid w:val="00E777E2"/>
    <w:rsid w:val="00E9025C"/>
    <w:rsid w:val="00E90EEE"/>
    <w:rsid w:val="00E95AF3"/>
    <w:rsid w:val="00EB3C1B"/>
    <w:rsid w:val="00EB3FD6"/>
    <w:rsid w:val="00EB5EA4"/>
    <w:rsid w:val="00EB6832"/>
    <w:rsid w:val="00EB6995"/>
    <w:rsid w:val="00EB7A24"/>
    <w:rsid w:val="00EC33C9"/>
    <w:rsid w:val="00EC34D1"/>
    <w:rsid w:val="00EC583F"/>
    <w:rsid w:val="00ED098D"/>
    <w:rsid w:val="00ED1629"/>
    <w:rsid w:val="00ED21F1"/>
    <w:rsid w:val="00ED331E"/>
    <w:rsid w:val="00EE5F55"/>
    <w:rsid w:val="00EF2A16"/>
    <w:rsid w:val="00F02153"/>
    <w:rsid w:val="00F0668E"/>
    <w:rsid w:val="00F213A7"/>
    <w:rsid w:val="00F24610"/>
    <w:rsid w:val="00F248C9"/>
    <w:rsid w:val="00F252AD"/>
    <w:rsid w:val="00F26E40"/>
    <w:rsid w:val="00F3099C"/>
    <w:rsid w:val="00F350BE"/>
    <w:rsid w:val="00F53F97"/>
    <w:rsid w:val="00F60705"/>
    <w:rsid w:val="00F6339B"/>
    <w:rsid w:val="00F7000F"/>
    <w:rsid w:val="00F76F8C"/>
    <w:rsid w:val="00F77083"/>
    <w:rsid w:val="00F82145"/>
    <w:rsid w:val="00F82B0B"/>
    <w:rsid w:val="00FA588B"/>
    <w:rsid w:val="00FB64A8"/>
    <w:rsid w:val="00FC2FB8"/>
    <w:rsid w:val="00FC3A04"/>
    <w:rsid w:val="00FD5D4B"/>
    <w:rsid w:val="00FE300E"/>
    <w:rsid w:val="00FE5758"/>
    <w:rsid w:val="00FF0D01"/>
    <w:rsid w:val="00FF0D02"/>
    <w:rsid w:val="030D582D"/>
    <w:rsid w:val="033E0386"/>
    <w:rsid w:val="037E6D6A"/>
    <w:rsid w:val="041727B2"/>
    <w:rsid w:val="04BD38C2"/>
    <w:rsid w:val="05215B1B"/>
    <w:rsid w:val="059565ED"/>
    <w:rsid w:val="05C6785F"/>
    <w:rsid w:val="06761402"/>
    <w:rsid w:val="074B3407"/>
    <w:rsid w:val="075B5D40"/>
    <w:rsid w:val="08252B72"/>
    <w:rsid w:val="08BB636A"/>
    <w:rsid w:val="09293304"/>
    <w:rsid w:val="09DF42DA"/>
    <w:rsid w:val="0A664845"/>
    <w:rsid w:val="0B024724"/>
    <w:rsid w:val="0B8B007F"/>
    <w:rsid w:val="0CA05FA3"/>
    <w:rsid w:val="0CE15C60"/>
    <w:rsid w:val="0E211365"/>
    <w:rsid w:val="0E3F3599"/>
    <w:rsid w:val="0E7121DC"/>
    <w:rsid w:val="0EB36461"/>
    <w:rsid w:val="0F1111AF"/>
    <w:rsid w:val="0F64775C"/>
    <w:rsid w:val="0FFC564D"/>
    <w:rsid w:val="1050688C"/>
    <w:rsid w:val="10F16B5E"/>
    <w:rsid w:val="115E01DA"/>
    <w:rsid w:val="12301B77"/>
    <w:rsid w:val="125C6E10"/>
    <w:rsid w:val="12C32D62"/>
    <w:rsid w:val="132C1FB2"/>
    <w:rsid w:val="134A6C68"/>
    <w:rsid w:val="13D2289B"/>
    <w:rsid w:val="15F829AC"/>
    <w:rsid w:val="16B12AAB"/>
    <w:rsid w:val="17305017"/>
    <w:rsid w:val="178720F0"/>
    <w:rsid w:val="183D4A90"/>
    <w:rsid w:val="185D2F9A"/>
    <w:rsid w:val="1890336F"/>
    <w:rsid w:val="18DA45EA"/>
    <w:rsid w:val="18E84F59"/>
    <w:rsid w:val="19372DD5"/>
    <w:rsid w:val="19941750"/>
    <w:rsid w:val="19D84FCE"/>
    <w:rsid w:val="1A481C3E"/>
    <w:rsid w:val="1A5F75D3"/>
    <w:rsid w:val="1AA93F5F"/>
    <w:rsid w:val="1BEA548C"/>
    <w:rsid w:val="1BFA35F5"/>
    <w:rsid w:val="1C550B58"/>
    <w:rsid w:val="1C9A6AD6"/>
    <w:rsid w:val="1D1A7A3A"/>
    <w:rsid w:val="1D2305AB"/>
    <w:rsid w:val="1D3D1123"/>
    <w:rsid w:val="1D4017BF"/>
    <w:rsid w:val="1E373AB0"/>
    <w:rsid w:val="1E7E3139"/>
    <w:rsid w:val="1EC87D5A"/>
    <w:rsid w:val="211E5AAE"/>
    <w:rsid w:val="220903C1"/>
    <w:rsid w:val="22475AC6"/>
    <w:rsid w:val="22725764"/>
    <w:rsid w:val="24690EA8"/>
    <w:rsid w:val="24A1247D"/>
    <w:rsid w:val="24A70634"/>
    <w:rsid w:val="25E10D70"/>
    <w:rsid w:val="264668B0"/>
    <w:rsid w:val="272A633C"/>
    <w:rsid w:val="275C2D28"/>
    <w:rsid w:val="279938C3"/>
    <w:rsid w:val="27BD3A55"/>
    <w:rsid w:val="27FD667E"/>
    <w:rsid w:val="283C2BCC"/>
    <w:rsid w:val="28E079FB"/>
    <w:rsid w:val="29631412"/>
    <w:rsid w:val="2A435709"/>
    <w:rsid w:val="2A9D36CA"/>
    <w:rsid w:val="2B7B131F"/>
    <w:rsid w:val="2B8D2153"/>
    <w:rsid w:val="2B8F30BA"/>
    <w:rsid w:val="2BA271EA"/>
    <w:rsid w:val="2BB77950"/>
    <w:rsid w:val="2BC71186"/>
    <w:rsid w:val="2CFD4D1B"/>
    <w:rsid w:val="2E734E6D"/>
    <w:rsid w:val="2E7D7A9A"/>
    <w:rsid w:val="2EEE2746"/>
    <w:rsid w:val="2F1D0548"/>
    <w:rsid w:val="2F5702EB"/>
    <w:rsid w:val="2F642A08"/>
    <w:rsid w:val="2FC16DE4"/>
    <w:rsid w:val="2FE156A9"/>
    <w:rsid w:val="303F5B52"/>
    <w:rsid w:val="30815AC1"/>
    <w:rsid w:val="310260A8"/>
    <w:rsid w:val="3117336A"/>
    <w:rsid w:val="31964F30"/>
    <w:rsid w:val="31CA60F3"/>
    <w:rsid w:val="32455894"/>
    <w:rsid w:val="32587458"/>
    <w:rsid w:val="3293788C"/>
    <w:rsid w:val="333706DA"/>
    <w:rsid w:val="33455810"/>
    <w:rsid w:val="33552D94"/>
    <w:rsid w:val="33AD46D4"/>
    <w:rsid w:val="33CC25A8"/>
    <w:rsid w:val="33ED121E"/>
    <w:rsid w:val="34DF3720"/>
    <w:rsid w:val="355157DD"/>
    <w:rsid w:val="355F614C"/>
    <w:rsid w:val="35727C2D"/>
    <w:rsid w:val="36070CBD"/>
    <w:rsid w:val="36716510"/>
    <w:rsid w:val="36910587"/>
    <w:rsid w:val="36B56AC9"/>
    <w:rsid w:val="36DD557A"/>
    <w:rsid w:val="37056C92"/>
    <w:rsid w:val="37066109"/>
    <w:rsid w:val="373A48BE"/>
    <w:rsid w:val="3757357E"/>
    <w:rsid w:val="37DE5801"/>
    <w:rsid w:val="37FD1ED2"/>
    <w:rsid w:val="384A3F9B"/>
    <w:rsid w:val="385C4BC4"/>
    <w:rsid w:val="39180AEB"/>
    <w:rsid w:val="3AA34435"/>
    <w:rsid w:val="3AD82C28"/>
    <w:rsid w:val="3B1F6622"/>
    <w:rsid w:val="3B3F60CE"/>
    <w:rsid w:val="3B716BD9"/>
    <w:rsid w:val="3C130F7E"/>
    <w:rsid w:val="3C4A353A"/>
    <w:rsid w:val="3CF861D7"/>
    <w:rsid w:val="3D00417F"/>
    <w:rsid w:val="3D6764E5"/>
    <w:rsid w:val="3D93286E"/>
    <w:rsid w:val="3E706080"/>
    <w:rsid w:val="3E8B55CC"/>
    <w:rsid w:val="3F06144F"/>
    <w:rsid w:val="3F214472"/>
    <w:rsid w:val="3FA13A1C"/>
    <w:rsid w:val="40552625"/>
    <w:rsid w:val="40FB7670"/>
    <w:rsid w:val="41E30365"/>
    <w:rsid w:val="41F0672D"/>
    <w:rsid w:val="41FD1F91"/>
    <w:rsid w:val="42543B0A"/>
    <w:rsid w:val="42985647"/>
    <w:rsid w:val="42BC4BDD"/>
    <w:rsid w:val="42C76054"/>
    <w:rsid w:val="4300794B"/>
    <w:rsid w:val="43E51F12"/>
    <w:rsid w:val="443E4864"/>
    <w:rsid w:val="44840E86"/>
    <w:rsid w:val="44FB7C59"/>
    <w:rsid w:val="450F36EA"/>
    <w:rsid w:val="453717E2"/>
    <w:rsid w:val="45EA75D4"/>
    <w:rsid w:val="46092A54"/>
    <w:rsid w:val="46845A12"/>
    <w:rsid w:val="47484C91"/>
    <w:rsid w:val="475C24EB"/>
    <w:rsid w:val="47AD2D46"/>
    <w:rsid w:val="48262027"/>
    <w:rsid w:val="48341DE7"/>
    <w:rsid w:val="48463978"/>
    <w:rsid w:val="486C2C02"/>
    <w:rsid w:val="48B907AE"/>
    <w:rsid w:val="48EC583F"/>
    <w:rsid w:val="490A5710"/>
    <w:rsid w:val="49EF7646"/>
    <w:rsid w:val="4A3D5016"/>
    <w:rsid w:val="4A7A1270"/>
    <w:rsid w:val="4AAF5028"/>
    <w:rsid w:val="4ACB203C"/>
    <w:rsid w:val="4AD60CD1"/>
    <w:rsid w:val="4AFD2237"/>
    <w:rsid w:val="4BEE392E"/>
    <w:rsid w:val="4CCF550D"/>
    <w:rsid w:val="4CDF5745"/>
    <w:rsid w:val="4DA22C22"/>
    <w:rsid w:val="4DED7D8D"/>
    <w:rsid w:val="4E494F67"/>
    <w:rsid w:val="4E8C7B5A"/>
    <w:rsid w:val="4E99401C"/>
    <w:rsid w:val="4EB12F52"/>
    <w:rsid w:val="4F354191"/>
    <w:rsid w:val="4FB37368"/>
    <w:rsid w:val="4FCC3F86"/>
    <w:rsid w:val="510D4856"/>
    <w:rsid w:val="51311A6B"/>
    <w:rsid w:val="513573BA"/>
    <w:rsid w:val="51575BFE"/>
    <w:rsid w:val="53187450"/>
    <w:rsid w:val="537961D3"/>
    <w:rsid w:val="53FF492A"/>
    <w:rsid w:val="54F2117E"/>
    <w:rsid w:val="54FC4B9F"/>
    <w:rsid w:val="55155422"/>
    <w:rsid w:val="557C0051"/>
    <w:rsid w:val="55E02539"/>
    <w:rsid w:val="56404E40"/>
    <w:rsid w:val="574720D1"/>
    <w:rsid w:val="5827444F"/>
    <w:rsid w:val="58975754"/>
    <w:rsid w:val="59030A18"/>
    <w:rsid w:val="59140E77"/>
    <w:rsid w:val="5955323E"/>
    <w:rsid w:val="59E949AA"/>
    <w:rsid w:val="5B307FE1"/>
    <w:rsid w:val="5B426C68"/>
    <w:rsid w:val="5BE2700B"/>
    <w:rsid w:val="5CFB5EAA"/>
    <w:rsid w:val="5D2E6280"/>
    <w:rsid w:val="5D6B54A8"/>
    <w:rsid w:val="5DB0643F"/>
    <w:rsid w:val="5E704A1A"/>
    <w:rsid w:val="5F092B01"/>
    <w:rsid w:val="5F2C303F"/>
    <w:rsid w:val="5FFE7049"/>
    <w:rsid w:val="61747218"/>
    <w:rsid w:val="62CC7D62"/>
    <w:rsid w:val="63251ED3"/>
    <w:rsid w:val="636E73D6"/>
    <w:rsid w:val="63E15DFA"/>
    <w:rsid w:val="645D2EE9"/>
    <w:rsid w:val="64D751A7"/>
    <w:rsid w:val="65530F79"/>
    <w:rsid w:val="66291CDA"/>
    <w:rsid w:val="66847740"/>
    <w:rsid w:val="66FC7AF6"/>
    <w:rsid w:val="67381BC7"/>
    <w:rsid w:val="6780373E"/>
    <w:rsid w:val="679D64DC"/>
    <w:rsid w:val="68327EF7"/>
    <w:rsid w:val="686A38EF"/>
    <w:rsid w:val="6ABD6A04"/>
    <w:rsid w:val="6AC56475"/>
    <w:rsid w:val="6B120F8F"/>
    <w:rsid w:val="6B876F3C"/>
    <w:rsid w:val="6CE91644"/>
    <w:rsid w:val="6D943EDD"/>
    <w:rsid w:val="6DC876EA"/>
    <w:rsid w:val="6E1A2179"/>
    <w:rsid w:val="6E9C129B"/>
    <w:rsid w:val="6F1277AF"/>
    <w:rsid w:val="6FC13F41"/>
    <w:rsid w:val="6FFFE446"/>
    <w:rsid w:val="70D44FF7"/>
    <w:rsid w:val="70E231B1"/>
    <w:rsid w:val="71C90672"/>
    <w:rsid w:val="71FB4CFB"/>
    <w:rsid w:val="72A03324"/>
    <w:rsid w:val="74892F7E"/>
    <w:rsid w:val="74953DE8"/>
    <w:rsid w:val="750D1A10"/>
    <w:rsid w:val="756D3EB3"/>
    <w:rsid w:val="75B0448C"/>
    <w:rsid w:val="773D51B4"/>
    <w:rsid w:val="77D60760"/>
    <w:rsid w:val="77F35CA4"/>
    <w:rsid w:val="78AA2807"/>
    <w:rsid w:val="78F73403"/>
    <w:rsid w:val="79E474AC"/>
    <w:rsid w:val="79E755A9"/>
    <w:rsid w:val="7A9D6F19"/>
    <w:rsid w:val="7AF16E13"/>
    <w:rsid w:val="7AF822A3"/>
    <w:rsid w:val="7B3B2796"/>
    <w:rsid w:val="7BE10C20"/>
    <w:rsid w:val="7BEB41C7"/>
    <w:rsid w:val="7C982661"/>
    <w:rsid w:val="7CA37DEC"/>
    <w:rsid w:val="7CD36E45"/>
    <w:rsid w:val="DEF69D7A"/>
    <w:rsid w:val="DFF9C6D7"/>
    <w:rsid w:val="EBBD3912"/>
    <w:rsid w:val="F63FF873"/>
    <w:rsid w:val="F97BDF65"/>
    <w:rsid w:val="FDF771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qFormat/>
    <w:uiPriority w:val="0"/>
    <w:pPr>
      <w:keepNext/>
      <w:spacing w:line="440" w:lineRule="exact"/>
      <w:outlineLvl w:val="3"/>
    </w:pPr>
    <w:rPr>
      <w:kern w:val="0"/>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99"/>
    <w:pPr>
      <w:tabs>
        <w:tab w:val="center" w:pos="4153"/>
        <w:tab w:val="right" w:pos="8306"/>
      </w:tabs>
      <w:snapToGrid w:val="0"/>
      <w:jc w:val="left"/>
    </w:pPr>
    <w:rPr>
      <w:kern w:val="0"/>
      <w:sz w:val="18"/>
      <w:szCs w:val="20"/>
    </w:rPr>
  </w:style>
  <w:style w:type="paragraph" w:styleId="7">
    <w:name w:val="header"/>
    <w:basedOn w:val="1"/>
    <w:link w:val="17"/>
    <w:qFormat/>
    <w:uiPriority w:val="0"/>
    <w:pP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9">
    <w:name w:val="Body Text First Indent 2"/>
    <w:basedOn w:val="1"/>
    <w:next w:val="1"/>
    <w:qFormat/>
    <w:uiPriority w:val="0"/>
    <w:pPr>
      <w:ind w:firstLine="42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qFormat/>
    <w:uiPriority w:val="0"/>
  </w:style>
  <w:style w:type="character" w:styleId="14">
    <w:name w:val="Hyperlink"/>
    <w:basedOn w:val="12"/>
    <w:qFormat/>
    <w:uiPriority w:val="0"/>
    <w:rPr>
      <w:color w:val="0000FF"/>
      <w:u w:val="single"/>
    </w:rPr>
  </w:style>
  <w:style w:type="paragraph" w:customStyle="1" w:styleId="15">
    <w:name w:val="表格"/>
    <w:basedOn w:val="1"/>
    <w:next w:val="1"/>
    <w:qFormat/>
    <w:uiPriority w:val="0"/>
    <w:pPr>
      <w:adjustRightInd w:val="0"/>
      <w:snapToGrid w:val="0"/>
      <w:spacing w:before="10" w:beforeLines="10" w:after="10" w:afterLines="10" w:line="259" w:lineRule="auto"/>
      <w:jc w:val="center"/>
    </w:pPr>
    <w:rPr>
      <w:rFonts w:ascii="Times New Roman" w:hAnsi="Times New Roman"/>
      <w:kern w:val="0"/>
      <w:sz w:val="21"/>
      <w:szCs w:val="20"/>
    </w:rPr>
  </w:style>
  <w:style w:type="paragraph" w:customStyle="1" w:styleId="16">
    <w:name w:val="【表头】"/>
    <w:basedOn w:val="1"/>
    <w:qFormat/>
    <w:uiPriority w:val="0"/>
    <w:pPr>
      <w:adjustRightInd w:val="0"/>
      <w:snapToGrid w:val="0"/>
      <w:spacing w:line="360" w:lineRule="auto"/>
      <w:jc w:val="center"/>
    </w:pPr>
    <w:rPr>
      <w:b/>
      <w:bCs/>
      <w:sz w:val="24"/>
    </w:rPr>
  </w:style>
  <w:style w:type="character" w:customStyle="1" w:styleId="17">
    <w:name w:val="页眉 字符"/>
    <w:basedOn w:val="12"/>
    <w:link w:val="7"/>
    <w:qFormat/>
    <w:uiPriority w:val="0"/>
    <w:rPr>
      <w:kern w:val="2"/>
      <w:sz w:val="18"/>
      <w:szCs w:val="18"/>
    </w:rPr>
  </w:style>
  <w:style w:type="table" w:customStyle="1" w:styleId="1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61</Pages>
  <Words>31266</Words>
  <Characters>38777</Characters>
  <Lines>171</Lines>
  <Paragraphs>48</Paragraphs>
  <TotalTime>28</TotalTime>
  <ScaleCrop>false</ScaleCrop>
  <LinksUpToDate>false</LinksUpToDate>
  <CharactersWithSpaces>38994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2022-07-23T03:31:00Z</dcterms:created>
  <dc:creator>Administrator</dc:creator>
  <cp:lastModifiedBy>唯有你</cp:lastModifiedBy>
  <cp:lastPrinted>2023-07-20T01:21:00Z</cp:lastPrinted>
  <dcterms:modified xsi:type="dcterms:W3CDTF">2025-09-22T01:39:34Z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D510AB631F204964A93C56C43EF459E8_13</vt:lpwstr>
  </property>
  <property fmtid="{D5CDD505-2E9C-101B-9397-08002B2CF9AE}" pid="4" name="KSOTemplateDocerSaveRecord">
    <vt:lpwstr>eyJoZGlkIjoiM2M1MzQ5YjJjYTY4ZmZjN2I1YmFhNzM4MjFjYTdlY2IiLCJ1c2VySWQiOiI2MDEyMTE3NDEifQ==</vt:lpwstr>
  </property>
</Properties>
</file>