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6B490">
      <w:pPr>
        <w:rPr>
          <w:rFonts w:eastAsia="仿宋_GB2312"/>
          <w:color w:val="auto"/>
          <w:sz w:val="36"/>
          <w:szCs w:val="36"/>
          <w:highlight w:val="none"/>
        </w:rPr>
      </w:pPr>
    </w:p>
    <w:p w14:paraId="148660D5">
      <w:pPr>
        <w:rPr>
          <w:rFonts w:eastAsia="仿宋_GB2312"/>
          <w:color w:val="auto"/>
          <w:sz w:val="36"/>
          <w:szCs w:val="36"/>
          <w:highlight w:val="none"/>
        </w:rPr>
      </w:pPr>
    </w:p>
    <w:p w14:paraId="5F0D386A">
      <w:pPr>
        <w:rPr>
          <w:rFonts w:eastAsia="仿宋_GB2312"/>
          <w:color w:val="auto"/>
          <w:sz w:val="36"/>
          <w:szCs w:val="36"/>
          <w:highlight w:val="none"/>
        </w:rPr>
      </w:pPr>
    </w:p>
    <w:p w14:paraId="0CF94A0C">
      <w:pPr>
        <w:rPr>
          <w:rFonts w:eastAsia="仿宋_GB2312"/>
          <w:color w:val="auto"/>
          <w:sz w:val="36"/>
          <w:szCs w:val="36"/>
          <w:highlight w:val="none"/>
        </w:rPr>
      </w:pPr>
    </w:p>
    <w:p w14:paraId="3E888E5B">
      <w:pPr>
        <w:rPr>
          <w:rFonts w:eastAsia="仿宋_GB2312"/>
          <w:color w:val="auto"/>
          <w:sz w:val="36"/>
          <w:szCs w:val="36"/>
          <w:highlight w:val="none"/>
        </w:rPr>
      </w:pPr>
    </w:p>
    <w:p w14:paraId="6C085D3F">
      <w:pPr>
        <w:adjustRightInd w:val="0"/>
        <w:snapToGrid w:val="0"/>
        <w:jc w:val="center"/>
        <w:outlineLvl w:val="0"/>
        <w:rPr>
          <w:rFonts w:eastAsia="方正小标宋_GBK"/>
          <w:bCs/>
          <w:color w:val="auto"/>
          <w:sz w:val="72"/>
          <w:szCs w:val="72"/>
          <w:highlight w:val="none"/>
        </w:rPr>
      </w:pPr>
      <w:r>
        <w:rPr>
          <w:rFonts w:eastAsia="方正小标宋_GBK"/>
          <w:bCs/>
          <w:color w:val="auto"/>
          <w:sz w:val="72"/>
          <w:szCs w:val="72"/>
          <w:highlight w:val="none"/>
        </w:rPr>
        <w:t>建设项目环境影响报告表</w:t>
      </w:r>
    </w:p>
    <w:p w14:paraId="02B907F0">
      <w:pPr>
        <w:adjustRightInd w:val="0"/>
        <w:snapToGrid w:val="0"/>
        <w:spacing w:beforeLines="50" w:line="360" w:lineRule="auto"/>
        <w:jc w:val="center"/>
        <w:rPr>
          <w:rFonts w:eastAsia="楷体_GB2312"/>
          <w:bCs/>
          <w:color w:val="auto"/>
          <w:sz w:val="48"/>
          <w:szCs w:val="48"/>
          <w:highlight w:val="none"/>
        </w:rPr>
      </w:pPr>
      <w:r>
        <w:rPr>
          <w:rFonts w:eastAsia="楷体_GB2312"/>
          <w:bCs/>
          <w:color w:val="auto"/>
          <w:sz w:val="48"/>
          <w:szCs w:val="48"/>
          <w:highlight w:val="none"/>
        </w:rPr>
        <w:t>（污染影响类）</w:t>
      </w:r>
    </w:p>
    <w:p w14:paraId="76D2E402">
      <w:pPr>
        <w:rPr>
          <w:rFonts w:eastAsia="仿宋_GB2312"/>
          <w:color w:val="auto"/>
          <w:sz w:val="36"/>
          <w:szCs w:val="36"/>
          <w:highlight w:val="none"/>
        </w:rPr>
      </w:pPr>
    </w:p>
    <w:p w14:paraId="5A7339C2">
      <w:pPr>
        <w:rPr>
          <w:rFonts w:eastAsia="仿宋_GB2312"/>
          <w:color w:val="auto"/>
          <w:sz w:val="36"/>
          <w:szCs w:val="36"/>
          <w:highlight w:val="none"/>
        </w:rPr>
      </w:pPr>
    </w:p>
    <w:p w14:paraId="44AB95C7">
      <w:pPr>
        <w:rPr>
          <w:rFonts w:eastAsia="仿宋_GB2312"/>
          <w:color w:val="auto"/>
          <w:sz w:val="36"/>
          <w:szCs w:val="36"/>
          <w:highlight w:val="none"/>
        </w:rPr>
      </w:pPr>
    </w:p>
    <w:p w14:paraId="166AAC81">
      <w:pPr>
        <w:rPr>
          <w:rFonts w:eastAsia="仿宋_GB2312"/>
          <w:color w:val="auto"/>
          <w:sz w:val="36"/>
          <w:szCs w:val="36"/>
          <w:highlight w:val="none"/>
        </w:rPr>
      </w:pPr>
    </w:p>
    <w:p w14:paraId="678E7370">
      <w:pPr>
        <w:rPr>
          <w:rFonts w:eastAsia="仿宋_GB2312"/>
          <w:color w:val="auto"/>
          <w:sz w:val="36"/>
          <w:szCs w:val="36"/>
          <w:highlight w:val="none"/>
        </w:rPr>
      </w:pPr>
    </w:p>
    <w:p w14:paraId="7EE6F841">
      <w:pPr>
        <w:rPr>
          <w:rFonts w:eastAsia="仿宋_GB2312"/>
          <w:color w:val="auto"/>
          <w:sz w:val="36"/>
          <w:szCs w:val="36"/>
          <w:highlight w:val="none"/>
        </w:rPr>
      </w:pPr>
    </w:p>
    <w:p w14:paraId="78B28376">
      <w:pPr>
        <w:rPr>
          <w:rFonts w:eastAsia="仿宋_GB2312"/>
          <w:color w:val="auto"/>
          <w:sz w:val="36"/>
          <w:szCs w:val="36"/>
          <w:highlight w:val="none"/>
        </w:rPr>
      </w:pPr>
    </w:p>
    <w:p w14:paraId="59A8104B">
      <w:pPr>
        <w:rPr>
          <w:rFonts w:eastAsia="仿宋_GB2312"/>
          <w:color w:val="auto"/>
          <w:sz w:val="36"/>
          <w:szCs w:val="36"/>
          <w:highlight w:val="none"/>
        </w:rPr>
      </w:pPr>
    </w:p>
    <w:p w14:paraId="6FA5E91C">
      <w:pPr>
        <w:rPr>
          <w:rFonts w:eastAsia="仿宋_GB2312"/>
          <w:color w:val="auto"/>
          <w:sz w:val="36"/>
          <w:szCs w:val="36"/>
          <w:highlight w:val="none"/>
        </w:rPr>
      </w:pPr>
    </w:p>
    <w:p w14:paraId="4A824964">
      <w:pPr>
        <w:rPr>
          <w:rFonts w:eastAsia="仿宋_GB2312"/>
          <w:color w:val="auto"/>
          <w:sz w:val="36"/>
          <w:szCs w:val="36"/>
          <w:highlight w:val="none"/>
        </w:rPr>
      </w:pPr>
    </w:p>
    <w:p w14:paraId="79729511">
      <w:pPr>
        <w:adjustRightInd w:val="0"/>
        <w:snapToGrid w:val="0"/>
        <w:spacing w:line="480" w:lineRule="auto"/>
        <w:ind w:left="1846" w:leftChars="400" w:right="443" w:rightChars="211" w:hanging="1006" w:hangingChars="313"/>
        <w:rPr>
          <w:rFonts w:eastAsia="仿宋_GB2312"/>
          <w:b/>
          <w:bCs/>
          <w:iCs/>
          <w:color w:val="auto"/>
          <w:sz w:val="32"/>
          <w:szCs w:val="32"/>
          <w:highlight w:val="none"/>
          <w:u w:val="single"/>
        </w:rPr>
      </w:pPr>
      <w:r>
        <w:rPr>
          <w:rFonts w:eastAsia="仿宋_GB2312"/>
          <w:b/>
          <w:bCs/>
          <w:color w:val="auto"/>
          <w:sz w:val="32"/>
          <w:szCs w:val="32"/>
          <w:highlight w:val="none"/>
        </w:rPr>
        <w:t>项目名称：</w:t>
      </w:r>
      <w:r>
        <w:rPr>
          <w:rFonts w:eastAsia="仿宋_GB2312"/>
          <w:b/>
          <w:bCs/>
          <w:color w:val="auto"/>
          <w:sz w:val="32"/>
          <w:szCs w:val="32"/>
          <w:highlight w:val="none"/>
          <w:u w:val="single"/>
        </w:rPr>
        <w:t xml:space="preserve">杭锦旗殡仪馆项目                  </w:t>
      </w:r>
    </w:p>
    <w:p w14:paraId="1DAF0D2C">
      <w:pPr>
        <w:adjustRightInd w:val="0"/>
        <w:snapToGrid w:val="0"/>
        <w:spacing w:line="480" w:lineRule="auto"/>
        <w:ind w:left="1846" w:leftChars="400" w:right="443" w:rightChars="211" w:hanging="1006" w:hangingChars="313"/>
        <w:rPr>
          <w:rFonts w:eastAsia="仿宋_GB2312"/>
          <w:b/>
          <w:bCs/>
          <w:color w:val="auto"/>
          <w:sz w:val="32"/>
          <w:szCs w:val="32"/>
          <w:highlight w:val="none"/>
          <w:u w:val="single"/>
        </w:rPr>
      </w:pPr>
      <w:r>
        <w:rPr>
          <w:rFonts w:eastAsia="仿宋_GB2312"/>
          <w:b/>
          <w:bCs/>
          <w:color w:val="auto"/>
          <w:sz w:val="32"/>
          <w:szCs w:val="32"/>
          <w:highlight w:val="none"/>
        </w:rPr>
        <w:t>建设单位：</w:t>
      </w:r>
      <w:r>
        <w:rPr>
          <w:rFonts w:eastAsia="仿宋_GB2312"/>
          <w:b/>
          <w:bCs/>
          <w:color w:val="auto"/>
          <w:sz w:val="32"/>
          <w:szCs w:val="32"/>
          <w:highlight w:val="none"/>
          <w:u w:val="single"/>
        </w:rPr>
        <w:t xml:space="preserve">杭锦旗民政局（盖章）              </w:t>
      </w:r>
    </w:p>
    <w:p w14:paraId="3C6AAE3D">
      <w:pPr>
        <w:adjustRightInd w:val="0"/>
        <w:snapToGrid w:val="0"/>
        <w:spacing w:line="480" w:lineRule="auto"/>
        <w:ind w:left="1846" w:leftChars="400" w:right="443" w:rightChars="211" w:hanging="1006" w:hangingChars="313"/>
        <w:rPr>
          <w:rFonts w:eastAsia="仿宋_GB2312"/>
          <w:b/>
          <w:bCs/>
          <w:color w:val="auto"/>
          <w:sz w:val="32"/>
          <w:szCs w:val="32"/>
          <w:highlight w:val="none"/>
          <w:u w:val="single"/>
        </w:rPr>
      </w:pPr>
      <w:r>
        <w:rPr>
          <w:rFonts w:eastAsia="仿宋_GB2312"/>
          <w:b/>
          <w:bCs/>
          <w:color w:val="auto"/>
          <w:sz w:val="32"/>
          <w:szCs w:val="32"/>
          <w:highlight w:val="none"/>
        </w:rPr>
        <w:t>编制日期：</w:t>
      </w:r>
      <w:r>
        <w:rPr>
          <w:rFonts w:eastAsia="仿宋_GB2312"/>
          <w:b/>
          <w:bCs/>
          <w:color w:val="auto"/>
          <w:sz w:val="32"/>
          <w:szCs w:val="32"/>
          <w:highlight w:val="none"/>
          <w:u w:val="single"/>
        </w:rPr>
        <w:t>2025年</w:t>
      </w:r>
      <w:r>
        <w:rPr>
          <w:rFonts w:hint="eastAsia" w:eastAsia="仿宋_GB2312"/>
          <w:b/>
          <w:bCs/>
          <w:color w:val="auto"/>
          <w:sz w:val="32"/>
          <w:szCs w:val="32"/>
          <w:highlight w:val="none"/>
          <w:u w:val="single"/>
          <w:lang w:val="en-US" w:eastAsia="zh-CN"/>
        </w:rPr>
        <w:t>12</w:t>
      </w:r>
      <w:r>
        <w:rPr>
          <w:rFonts w:eastAsia="仿宋_GB2312"/>
          <w:b/>
          <w:bCs/>
          <w:color w:val="auto"/>
          <w:sz w:val="32"/>
          <w:szCs w:val="32"/>
          <w:highlight w:val="none"/>
          <w:u w:val="single"/>
        </w:rPr>
        <w:t>月</w:t>
      </w:r>
      <w:bookmarkStart w:id="0" w:name="_Hlk57884087"/>
      <w:r>
        <w:rPr>
          <w:rFonts w:eastAsia="仿宋_GB2312"/>
          <w:b/>
          <w:bCs/>
          <w:color w:val="auto"/>
          <w:sz w:val="32"/>
          <w:szCs w:val="32"/>
          <w:highlight w:val="none"/>
          <w:u w:val="single"/>
        </w:rPr>
        <w:t xml:space="preserve">                       </w:t>
      </w:r>
    </w:p>
    <w:bookmarkEnd w:id="0"/>
    <w:p w14:paraId="3E4DB06E">
      <w:pPr>
        <w:adjustRightInd w:val="0"/>
        <w:snapToGrid w:val="0"/>
        <w:spacing w:line="288" w:lineRule="auto"/>
        <w:jc w:val="center"/>
        <w:rPr>
          <w:rFonts w:eastAsia="仿宋_GB2312"/>
          <w:b/>
          <w:bCs/>
          <w:color w:val="auto"/>
          <w:sz w:val="36"/>
          <w:szCs w:val="36"/>
          <w:highlight w:val="none"/>
        </w:rPr>
      </w:pPr>
    </w:p>
    <w:p w14:paraId="6AB6152D">
      <w:pPr>
        <w:adjustRightInd w:val="0"/>
        <w:snapToGrid w:val="0"/>
        <w:spacing w:line="288" w:lineRule="auto"/>
        <w:jc w:val="center"/>
        <w:rPr>
          <w:rFonts w:eastAsia="仿宋_GB2312"/>
          <w:b/>
          <w:bCs/>
          <w:color w:val="auto"/>
          <w:sz w:val="36"/>
          <w:szCs w:val="36"/>
          <w:highlight w:val="none"/>
        </w:rPr>
      </w:pPr>
      <w:r>
        <w:rPr>
          <w:rFonts w:eastAsia="仿宋_GB2312"/>
          <w:b/>
          <w:bCs/>
          <w:color w:val="auto"/>
          <w:sz w:val="36"/>
          <w:szCs w:val="36"/>
          <w:highlight w:val="none"/>
        </w:rPr>
        <w:t>中华人民共和国生态环境部制</w:t>
      </w:r>
    </w:p>
    <w:p w14:paraId="3FF63B70">
      <w:pPr>
        <w:rPr>
          <w:rFonts w:eastAsia="仿宋_GB2312"/>
          <w:b/>
          <w:bCs/>
          <w:color w:val="auto"/>
          <w:sz w:val="36"/>
          <w:szCs w:val="36"/>
          <w:highlight w:val="none"/>
        </w:rPr>
      </w:pPr>
      <w:r>
        <w:rPr>
          <w:rFonts w:eastAsia="仿宋_GB2312"/>
          <w:b/>
          <w:bCs/>
          <w:color w:val="auto"/>
          <w:sz w:val="36"/>
          <w:szCs w:val="36"/>
          <w:highlight w:val="none"/>
        </w:rPr>
        <w:br w:type="page"/>
      </w:r>
    </w:p>
    <w:p w14:paraId="06BD4AD8">
      <w:pPr>
        <w:rPr>
          <w:rFonts w:ascii="Times New Roman" w:hAnsi="Times New Roman" w:eastAsia="黑体"/>
          <w:snapToGrid w:val="0"/>
          <w:color w:val="auto"/>
          <w:sz w:val="30"/>
          <w:szCs w:val="30"/>
          <w:highlight w:val="none"/>
        </w:rPr>
        <w:sectPr>
          <w:pgSz w:w="11906" w:h="16838"/>
          <w:pgMar w:top="1701" w:right="1531" w:bottom="1701" w:left="1531" w:header="851" w:footer="1077" w:gutter="0"/>
          <w:pgNumType w:start="1"/>
          <w:cols w:space="720" w:num="1"/>
          <w:docGrid w:linePitch="312" w:charSpace="0"/>
        </w:sectPr>
      </w:pPr>
    </w:p>
    <w:p w14:paraId="638EB287">
      <w:pPr>
        <w:pStyle w:val="16"/>
        <w:jc w:val="center"/>
        <w:outlineLvl w:val="0"/>
        <w:rPr>
          <w:rFonts w:ascii="Times New Roman" w:hAnsi="Times New Roman" w:eastAsia="黑体"/>
          <w:snapToGrid w:val="0"/>
          <w:color w:val="auto"/>
          <w:sz w:val="30"/>
          <w:szCs w:val="30"/>
          <w:highlight w:val="none"/>
        </w:rPr>
      </w:pPr>
      <w:r>
        <w:rPr>
          <w:rFonts w:ascii="Times New Roman" w:hAnsi="Times New Roman" w:eastAsia="黑体"/>
          <w:snapToGrid w:val="0"/>
          <w:color w:val="auto"/>
          <w:sz w:val="30"/>
          <w:szCs w:val="30"/>
          <w:highlight w:val="none"/>
        </w:rPr>
        <w:t>一、建设项目基本情况</w:t>
      </w:r>
    </w:p>
    <w:tbl>
      <w:tblPr>
        <w:tblStyle w:val="20"/>
        <w:tblW w:w="882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123"/>
        <w:gridCol w:w="1820"/>
        <w:gridCol w:w="2116"/>
        <w:gridCol w:w="2762"/>
      </w:tblGrid>
      <w:tr w14:paraId="3062A2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6138941D">
            <w:pPr>
              <w:adjustRightInd w:val="0"/>
              <w:snapToGrid w:val="0"/>
              <w:jc w:val="center"/>
              <w:rPr>
                <w:color w:val="auto"/>
                <w:sz w:val="24"/>
                <w:highlight w:val="none"/>
              </w:rPr>
            </w:pPr>
            <w:r>
              <w:rPr>
                <w:color w:val="auto"/>
                <w:sz w:val="24"/>
                <w:highlight w:val="none"/>
              </w:rPr>
              <w:t>建设项目名称</w:t>
            </w:r>
          </w:p>
        </w:tc>
        <w:tc>
          <w:tcPr>
            <w:tcW w:w="6698" w:type="dxa"/>
            <w:gridSpan w:val="3"/>
            <w:vAlign w:val="center"/>
          </w:tcPr>
          <w:p w14:paraId="56B8C3E2">
            <w:pPr>
              <w:adjustRightInd w:val="0"/>
              <w:snapToGrid w:val="0"/>
              <w:jc w:val="center"/>
              <w:rPr>
                <w:color w:val="auto"/>
                <w:sz w:val="24"/>
                <w:highlight w:val="none"/>
              </w:rPr>
            </w:pPr>
            <w:r>
              <w:rPr>
                <w:color w:val="auto"/>
                <w:sz w:val="24"/>
                <w:highlight w:val="none"/>
              </w:rPr>
              <w:t>杭锦旗殡仪馆项目</w:t>
            </w:r>
          </w:p>
        </w:tc>
      </w:tr>
      <w:tr w14:paraId="67EF96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5CBB7F77">
            <w:pPr>
              <w:adjustRightInd w:val="0"/>
              <w:snapToGrid w:val="0"/>
              <w:jc w:val="center"/>
              <w:rPr>
                <w:color w:val="auto"/>
                <w:sz w:val="24"/>
                <w:highlight w:val="none"/>
              </w:rPr>
            </w:pPr>
            <w:r>
              <w:rPr>
                <w:color w:val="auto"/>
                <w:sz w:val="24"/>
                <w:highlight w:val="none"/>
              </w:rPr>
              <w:t>项目代码</w:t>
            </w:r>
          </w:p>
        </w:tc>
        <w:tc>
          <w:tcPr>
            <w:tcW w:w="6698" w:type="dxa"/>
            <w:gridSpan w:val="3"/>
            <w:vAlign w:val="center"/>
          </w:tcPr>
          <w:p w14:paraId="025B19E5">
            <w:pPr>
              <w:adjustRightInd w:val="0"/>
              <w:snapToGrid w:val="0"/>
              <w:jc w:val="center"/>
              <w:rPr>
                <w:color w:val="auto"/>
                <w:sz w:val="24"/>
                <w:highlight w:val="none"/>
              </w:rPr>
            </w:pPr>
            <w:r>
              <w:rPr>
                <w:color w:val="auto"/>
                <w:sz w:val="24"/>
                <w:highlight w:val="none"/>
              </w:rPr>
              <w:t>/</w:t>
            </w:r>
          </w:p>
        </w:tc>
      </w:tr>
      <w:tr w14:paraId="489A6A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414C4F08">
            <w:pPr>
              <w:adjustRightInd w:val="0"/>
              <w:snapToGrid w:val="0"/>
              <w:jc w:val="center"/>
              <w:rPr>
                <w:color w:val="auto"/>
                <w:sz w:val="24"/>
                <w:highlight w:val="none"/>
              </w:rPr>
            </w:pPr>
            <w:r>
              <w:rPr>
                <w:color w:val="auto"/>
                <w:sz w:val="24"/>
                <w:highlight w:val="none"/>
              </w:rPr>
              <w:t>建设单位联系人</w:t>
            </w:r>
          </w:p>
        </w:tc>
        <w:tc>
          <w:tcPr>
            <w:tcW w:w="1820" w:type="dxa"/>
            <w:vAlign w:val="center"/>
          </w:tcPr>
          <w:p w14:paraId="1DB82DD8">
            <w:pPr>
              <w:adjustRightInd w:val="0"/>
              <w:snapToGrid w:val="0"/>
              <w:jc w:val="center"/>
              <w:rPr>
                <w:color w:val="auto"/>
                <w:sz w:val="24"/>
                <w:highlight w:val="none"/>
              </w:rPr>
            </w:pPr>
            <w:r>
              <w:rPr>
                <w:color w:val="auto"/>
                <w:sz w:val="24"/>
                <w:highlight w:val="none"/>
              </w:rPr>
              <w:t>杨曙光</w:t>
            </w:r>
          </w:p>
        </w:tc>
        <w:tc>
          <w:tcPr>
            <w:tcW w:w="2116" w:type="dxa"/>
            <w:vAlign w:val="center"/>
          </w:tcPr>
          <w:p w14:paraId="138F8A48">
            <w:pPr>
              <w:adjustRightInd w:val="0"/>
              <w:snapToGrid w:val="0"/>
              <w:jc w:val="center"/>
              <w:rPr>
                <w:color w:val="auto"/>
                <w:sz w:val="24"/>
                <w:highlight w:val="none"/>
              </w:rPr>
            </w:pPr>
            <w:r>
              <w:rPr>
                <w:color w:val="auto"/>
                <w:sz w:val="24"/>
                <w:highlight w:val="none"/>
              </w:rPr>
              <w:t>联系方式</w:t>
            </w:r>
          </w:p>
        </w:tc>
        <w:tc>
          <w:tcPr>
            <w:tcW w:w="2762" w:type="dxa"/>
            <w:vAlign w:val="center"/>
          </w:tcPr>
          <w:p w14:paraId="641B9E09">
            <w:pPr>
              <w:adjustRightInd w:val="0"/>
              <w:snapToGrid w:val="0"/>
              <w:jc w:val="center"/>
              <w:rPr>
                <w:color w:val="auto"/>
                <w:sz w:val="24"/>
                <w:highlight w:val="none"/>
              </w:rPr>
            </w:pPr>
            <w:r>
              <w:rPr>
                <w:color w:val="auto"/>
                <w:sz w:val="24"/>
                <w:highlight w:val="none"/>
              </w:rPr>
              <w:t>13847772206</w:t>
            </w:r>
          </w:p>
        </w:tc>
      </w:tr>
      <w:tr w14:paraId="043743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3033194F">
            <w:pPr>
              <w:adjustRightInd w:val="0"/>
              <w:snapToGrid w:val="0"/>
              <w:jc w:val="center"/>
              <w:rPr>
                <w:color w:val="auto"/>
                <w:sz w:val="24"/>
                <w:highlight w:val="none"/>
              </w:rPr>
            </w:pPr>
            <w:r>
              <w:rPr>
                <w:color w:val="auto"/>
                <w:sz w:val="24"/>
                <w:highlight w:val="none"/>
              </w:rPr>
              <w:t>建设地点</w:t>
            </w:r>
          </w:p>
        </w:tc>
        <w:tc>
          <w:tcPr>
            <w:tcW w:w="6698" w:type="dxa"/>
            <w:gridSpan w:val="3"/>
            <w:vAlign w:val="center"/>
          </w:tcPr>
          <w:p w14:paraId="531E9E9E">
            <w:pPr>
              <w:adjustRightInd w:val="0"/>
              <w:snapToGrid w:val="0"/>
              <w:jc w:val="center"/>
              <w:rPr>
                <w:color w:val="auto"/>
                <w:sz w:val="24"/>
                <w:highlight w:val="none"/>
              </w:rPr>
            </w:pPr>
            <w:r>
              <w:rPr>
                <w:color w:val="auto"/>
                <w:sz w:val="24"/>
                <w:highlight w:val="none"/>
              </w:rPr>
              <w:t>鄂尔多斯市杭锦旗锡尼镇巴音布拉格嘎查</w:t>
            </w:r>
          </w:p>
        </w:tc>
      </w:tr>
      <w:tr w14:paraId="5AB054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177AD5C4">
            <w:pPr>
              <w:adjustRightInd w:val="0"/>
              <w:snapToGrid w:val="0"/>
              <w:jc w:val="center"/>
              <w:rPr>
                <w:color w:val="auto"/>
                <w:sz w:val="24"/>
                <w:highlight w:val="none"/>
              </w:rPr>
            </w:pPr>
            <w:r>
              <w:rPr>
                <w:color w:val="auto"/>
                <w:sz w:val="24"/>
                <w:highlight w:val="none"/>
              </w:rPr>
              <w:t>地理坐标</w:t>
            </w:r>
          </w:p>
        </w:tc>
        <w:tc>
          <w:tcPr>
            <w:tcW w:w="6698" w:type="dxa"/>
            <w:gridSpan w:val="3"/>
            <w:vAlign w:val="center"/>
          </w:tcPr>
          <w:p w14:paraId="6E067DA9">
            <w:pPr>
              <w:jc w:val="center"/>
              <w:rPr>
                <w:color w:val="auto"/>
                <w:sz w:val="24"/>
                <w:highlight w:val="none"/>
              </w:rPr>
            </w:pPr>
            <w:r>
              <w:rPr>
                <w:color w:val="auto"/>
                <w:sz w:val="24"/>
                <w:highlight w:val="none"/>
              </w:rPr>
              <w:t>E：</w:t>
            </w:r>
            <w:r>
              <w:rPr>
                <w:color w:val="auto"/>
                <w:sz w:val="24"/>
                <w:highlight w:val="none"/>
                <w:u w:val="single"/>
              </w:rPr>
              <w:t>108</w:t>
            </w:r>
            <w:r>
              <w:rPr>
                <w:color w:val="auto"/>
                <w:sz w:val="24"/>
                <w:highlight w:val="none"/>
              </w:rPr>
              <w:t>度</w:t>
            </w:r>
            <w:r>
              <w:rPr>
                <w:color w:val="auto"/>
                <w:sz w:val="24"/>
                <w:highlight w:val="none"/>
                <w:u w:val="single"/>
              </w:rPr>
              <w:t>39</w:t>
            </w:r>
            <w:r>
              <w:rPr>
                <w:color w:val="auto"/>
                <w:sz w:val="24"/>
                <w:highlight w:val="none"/>
              </w:rPr>
              <w:t>分</w:t>
            </w:r>
            <w:r>
              <w:rPr>
                <w:color w:val="auto"/>
                <w:sz w:val="24"/>
                <w:highlight w:val="none"/>
                <w:u w:val="single"/>
              </w:rPr>
              <w:t>16.898</w:t>
            </w:r>
            <w:r>
              <w:rPr>
                <w:color w:val="auto"/>
                <w:sz w:val="24"/>
                <w:highlight w:val="none"/>
              </w:rPr>
              <w:t>秒，N：</w:t>
            </w:r>
            <w:r>
              <w:rPr>
                <w:color w:val="auto"/>
                <w:sz w:val="24"/>
                <w:highlight w:val="none"/>
                <w:u w:val="single"/>
              </w:rPr>
              <w:t>39</w:t>
            </w:r>
            <w:r>
              <w:rPr>
                <w:color w:val="auto"/>
                <w:sz w:val="24"/>
                <w:highlight w:val="none"/>
              </w:rPr>
              <w:t>度</w:t>
            </w:r>
            <w:r>
              <w:rPr>
                <w:color w:val="auto"/>
                <w:sz w:val="24"/>
                <w:highlight w:val="none"/>
                <w:u w:val="single"/>
              </w:rPr>
              <w:t>45</w:t>
            </w:r>
            <w:r>
              <w:rPr>
                <w:color w:val="auto"/>
                <w:sz w:val="24"/>
                <w:highlight w:val="none"/>
              </w:rPr>
              <w:t>分</w:t>
            </w:r>
            <w:r>
              <w:rPr>
                <w:color w:val="auto"/>
                <w:sz w:val="24"/>
                <w:highlight w:val="none"/>
                <w:u w:val="single"/>
              </w:rPr>
              <w:t>37.601</w:t>
            </w:r>
            <w:r>
              <w:rPr>
                <w:color w:val="auto"/>
                <w:sz w:val="24"/>
                <w:highlight w:val="none"/>
              </w:rPr>
              <w:t>秒</w:t>
            </w:r>
          </w:p>
        </w:tc>
      </w:tr>
      <w:tr w14:paraId="79EFBA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123" w:type="dxa"/>
            <w:tcMar>
              <w:top w:w="16" w:type="dxa"/>
              <w:left w:w="16" w:type="dxa"/>
              <w:right w:w="16" w:type="dxa"/>
            </w:tcMar>
            <w:vAlign w:val="center"/>
          </w:tcPr>
          <w:p w14:paraId="1BDE554B">
            <w:pPr>
              <w:adjustRightInd w:val="0"/>
              <w:snapToGrid w:val="0"/>
              <w:jc w:val="center"/>
              <w:rPr>
                <w:color w:val="auto"/>
                <w:sz w:val="24"/>
                <w:highlight w:val="none"/>
              </w:rPr>
            </w:pPr>
            <w:r>
              <w:rPr>
                <w:color w:val="auto"/>
                <w:sz w:val="24"/>
                <w:highlight w:val="none"/>
              </w:rPr>
              <w:t>国民经济</w:t>
            </w:r>
          </w:p>
          <w:p w14:paraId="0A81C27D">
            <w:pPr>
              <w:adjustRightInd w:val="0"/>
              <w:snapToGrid w:val="0"/>
              <w:jc w:val="center"/>
              <w:rPr>
                <w:color w:val="auto"/>
                <w:sz w:val="24"/>
                <w:highlight w:val="none"/>
              </w:rPr>
            </w:pPr>
            <w:r>
              <w:rPr>
                <w:color w:val="auto"/>
                <w:sz w:val="24"/>
                <w:highlight w:val="none"/>
              </w:rPr>
              <w:t>行业类别</w:t>
            </w:r>
          </w:p>
        </w:tc>
        <w:tc>
          <w:tcPr>
            <w:tcW w:w="1820" w:type="dxa"/>
            <w:vAlign w:val="center"/>
          </w:tcPr>
          <w:p w14:paraId="605B6920">
            <w:pPr>
              <w:adjustRightInd w:val="0"/>
              <w:snapToGrid w:val="0"/>
              <w:jc w:val="center"/>
              <w:rPr>
                <w:color w:val="auto"/>
                <w:sz w:val="24"/>
                <w:highlight w:val="none"/>
              </w:rPr>
            </w:pPr>
            <w:r>
              <w:rPr>
                <w:color w:val="auto"/>
                <w:sz w:val="24"/>
                <w:highlight w:val="none"/>
              </w:rPr>
              <w:t>O8080殡葬服务</w:t>
            </w:r>
          </w:p>
        </w:tc>
        <w:tc>
          <w:tcPr>
            <w:tcW w:w="2116" w:type="dxa"/>
            <w:vAlign w:val="center"/>
          </w:tcPr>
          <w:p w14:paraId="2D4C8A67">
            <w:pPr>
              <w:adjustRightInd w:val="0"/>
              <w:snapToGrid w:val="0"/>
              <w:jc w:val="center"/>
              <w:rPr>
                <w:color w:val="auto"/>
                <w:sz w:val="24"/>
                <w:highlight w:val="none"/>
              </w:rPr>
            </w:pPr>
            <w:bookmarkStart w:id="1" w:name="_Hlk49843745"/>
            <w:r>
              <w:rPr>
                <w:color w:val="auto"/>
                <w:sz w:val="24"/>
                <w:highlight w:val="none"/>
              </w:rPr>
              <w:t>建设项目</w:t>
            </w:r>
          </w:p>
          <w:p w14:paraId="374D750B">
            <w:pPr>
              <w:adjustRightInd w:val="0"/>
              <w:snapToGrid w:val="0"/>
              <w:jc w:val="center"/>
              <w:rPr>
                <w:color w:val="auto"/>
                <w:sz w:val="24"/>
                <w:highlight w:val="none"/>
              </w:rPr>
            </w:pPr>
            <w:r>
              <w:rPr>
                <w:color w:val="auto"/>
                <w:sz w:val="24"/>
                <w:highlight w:val="none"/>
              </w:rPr>
              <w:t>行业类别</w:t>
            </w:r>
            <w:bookmarkEnd w:id="1"/>
          </w:p>
        </w:tc>
        <w:tc>
          <w:tcPr>
            <w:tcW w:w="2762" w:type="dxa"/>
            <w:vAlign w:val="center"/>
          </w:tcPr>
          <w:p w14:paraId="6BF6FF9F">
            <w:pPr>
              <w:adjustRightInd w:val="0"/>
              <w:snapToGrid w:val="0"/>
              <w:rPr>
                <w:rFonts w:hint="eastAsia" w:eastAsia="宋体"/>
                <w:color w:val="auto"/>
                <w:sz w:val="24"/>
                <w:highlight w:val="none"/>
                <w:lang w:eastAsia="zh-CN"/>
              </w:rPr>
            </w:pPr>
            <w:r>
              <w:rPr>
                <w:color w:val="auto"/>
                <w:sz w:val="24"/>
                <w:highlight w:val="none"/>
              </w:rPr>
              <w:t>五十、社会事业与服务业中</w:t>
            </w:r>
            <w:r>
              <w:rPr>
                <w:rFonts w:hint="eastAsia"/>
                <w:color w:val="auto"/>
                <w:sz w:val="24"/>
                <w:highlight w:val="none"/>
                <w:lang w:eastAsia="zh-CN"/>
              </w:rPr>
              <w:t>“</w:t>
            </w:r>
            <w:r>
              <w:rPr>
                <w:color w:val="auto"/>
                <w:sz w:val="24"/>
                <w:highlight w:val="none"/>
              </w:rPr>
              <w:t>122</w:t>
            </w:r>
            <w:r>
              <w:rPr>
                <w:rFonts w:hint="eastAsia"/>
                <w:color w:val="auto"/>
                <w:sz w:val="24"/>
                <w:highlight w:val="none"/>
                <w:lang w:val="en-US" w:eastAsia="zh-CN"/>
              </w:rPr>
              <w:t>.</w:t>
            </w:r>
            <w:r>
              <w:rPr>
                <w:color w:val="auto"/>
                <w:sz w:val="24"/>
                <w:highlight w:val="none"/>
              </w:rPr>
              <w:t>殡仪馆、陵园、公墓</w:t>
            </w:r>
            <w:r>
              <w:rPr>
                <w:rFonts w:hint="eastAsia"/>
                <w:color w:val="auto"/>
                <w:sz w:val="24"/>
                <w:highlight w:val="none"/>
                <w:lang w:eastAsia="zh-CN"/>
              </w:rPr>
              <w:t>”</w:t>
            </w:r>
          </w:p>
        </w:tc>
      </w:tr>
      <w:tr w14:paraId="50AF86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123" w:type="dxa"/>
            <w:tcMar>
              <w:top w:w="16" w:type="dxa"/>
              <w:left w:w="16" w:type="dxa"/>
              <w:right w:w="16" w:type="dxa"/>
            </w:tcMar>
            <w:vAlign w:val="center"/>
          </w:tcPr>
          <w:p w14:paraId="104CEA54">
            <w:pPr>
              <w:adjustRightInd w:val="0"/>
              <w:snapToGrid w:val="0"/>
              <w:jc w:val="center"/>
              <w:rPr>
                <w:color w:val="auto"/>
                <w:sz w:val="24"/>
                <w:highlight w:val="none"/>
              </w:rPr>
            </w:pPr>
            <w:r>
              <w:rPr>
                <w:color w:val="auto"/>
                <w:sz w:val="24"/>
                <w:highlight w:val="none"/>
              </w:rPr>
              <w:t>建设性质</w:t>
            </w:r>
          </w:p>
        </w:tc>
        <w:tc>
          <w:tcPr>
            <w:tcW w:w="1820" w:type="dxa"/>
            <w:vAlign w:val="center"/>
          </w:tcPr>
          <w:p w14:paraId="5B0B21D1">
            <w:pPr>
              <w:jc w:val="left"/>
              <w:rPr>
                <w:color w:val="auto"/>
                <w:sz w:val="24"/>
                <w:highlight w:val="none"/>
              </w:rPr>
            </w:pPr>
            <w:r>
              <w:rPr>
                <w:rFonts w:hint="eastAsia"/>
                <w:color w:val="auto"/>
                <w:sz w:val="24"/>
                <w:highlight w:val="none"/>
              </w:rPr>
              <w:t>□</w:t>
            </w:r>
            <w:r>
              <w:rPr>
                <w:color w:val="auto"/>
                <w:sz w:val="24"/>
                <w:highlight w:val="none"/>
              </w:rPr>
              <w:t>新建（迁建）</w:t>
            </w:r>
          </w:p>
          <w:p w14:paraId="13FD22E7">
            <w:pPr>
              <w:jc w:val="left"/>
              <w:rPr>
                <w:color w:val="auto"/>
                <w:sz w:val="24"/>
                <w:highlight w:val="none"/>
              </w:rPr>
            </w:pPr>
            <w:r>
              <w:rPr>
                <w:rFonts w:hint="eastAsia"/>
                <w:color w:val="auto"/>
                <w:sz w:val="24"/>
                <w:highlight w:val="none"/>
              </w:rPr>
              <w:t>□</w:t>
            </w:r>
            <w:r>
              <w:rPr>
                <w:color w:val="auto"/>
                <w:sz w:val="24"/>
                <w:highlight w:val="none"/>
              </w:rPr>
              <w:t>改建</w:t>
            </w:r>
          </w:p>
          <w:p w14:paraId="2757A0E4">
            <w:pPr>
              <w:jc w:val="left"/>
              <w:rPr>
                <w:color w:val="auto"/>
                <w:sz w:val="24"/>
                <w:highlight w:val="none"/>
              </w:rPr>
            </w:pPr>
            <w:r>
              <w:rPr>
                <w:rFonts w:hint="eastAsia"/>
                <w:color w:val="auto"/>
                <w:sz w:val="24"/>
                <w:highlight w:val="none"/>
              </w:rPr>
              <w:t>☑</w:t>
            </w:r>
            <w:r>
              <w:rPr>
                <w:color w:val="auto"/>
                <w:sz w:val="24"/>
                <w:highlight w:val="none"/>
              </w:rPr>
              <w:t>扩建</w:t>
            </w:r>
          </w:p>
          <w:p w14:paraId="2D783032">
            <w:pPr>
              <w:jc w:val="left"/>
              <w:rPr>
                <w:color w:val="auto"/>
                <w:sz w:val="24"/>
                <w:highlight w:val="none"/>
              </w:rPr>
            </w:pPr>
            <w:r>
              <w:rPr>
                <w:rFonts w:hint="eastAsia"/>
                <w:color w:val="auto"/>
                <w:sz w:val="24"/>
                <w:highlight w:val="none"/>
              </w:rPr>
              <w:t>□</w:t>
            </w:r>
            <w:r>
              <w:rPr>
                <w:color w:val="auto"/>
                <w:sz w:val="24"/>
                <w:highlight w:val="none"/>
              </w:rPr>
              <w:t>技术改造</w:t>
            </w:r>
          </w:p>
        </w:tc>
        <w:tc>
          <w:tcPr>
            <w:tcW w:w="2116" w:type="dxa"/>
            <w:vAlign w:val="center"/>
          </w:tcPr>
          <w:p w14:paraId="0FAD05E6">
            <w:pPr>
              <w:adjustRightInd w:val="0"/>
              <w:snapToGrid w:val="0"/>
              <w:jc w:val="center"/>
              <w:rPr>
                <w:color w:val="auto"/>
                <w:sz w:val="24"/>
                <w:highlight w:val="none"/>
              </w:rPr>
            </w:pPr>
            <w:r>
              <w:rPr>
                <w:color w:val="auto"/>
                <w:sz w:val="24"/>
                <w:highlight w:val="none"/>
              </w:rPr>
              <w:t>建设项目</w:t>
            </w:r>
          </w:p>
          <w:p w14:paraId="7C6BDB93">
            <w:pPr>
              <w:adjustRightInd w:val="0"/>
              <w:snapToGrid w:val="0"/>
              <w:jc w:val="center"/>
              <w:rPr>
                <w:color w:val="auto"/>
                <w:sz w:val="24"/>
                <w:highlight w:val="none"/>
              </w:rPr>
            </w:pPr>
            <w:r>
              <w:rPr>
                <w:color w:val="auto"/>
                <w:sz w:val="24"/>
                <w:highlight w:val="none"/>
              </w:rPr>
              <w:t>申报情形</w:t>
            </w:r>
          </w:p>
        </w:tc>
        <w:tc>
          <w:tcPr>
            <w:tcW w:w="2762" w:type="dxa"/>
            <w:vAlign w:val="center"/>
          </w:tcPr>
          <w:p w14:paraId="6224DA25">
            <w:pPr>
              <w:jc w:val="left"/>
              <w:rPr>
                <w:color w:val="auto"/>
                <w:sz w:val="24"/>
                <w:highlight w:val="none"/>
              </w:rPr>
            </w:pPr>
            <w:r>
              <w:rPr>
                <w:color w:val="auto"/>
                <w:sz w:val="24"/>
                <w:highlight w:val="none"/>
              </w:rPr>
              <w:t>☑首次申报项目</w:t>
            </w:r>
          </w:p>
          <w:p w14:paraId="3FF558CF">
            <w:pPr>
              <w:jc w:val="left"/>
              <w:rPr>
                <w:color w:val="auto"/>
                <w:sz w:val="24"/>
                <w:highlight w:val="none"/>
              </w:rPr>
            </w:pPr>
            <w:r>
              <w:rPr>
                <w:rFonts w:hint="eastAsia"/>
                <w:color w:val="auto"/>
                <w:sz w:val="24"/>
                <w:highlight w:val="none"/>
              </w:rPr>
              <w:t>□</w:t>
            </w:r>
            <w:r>
              <w:rPr>
                <w:color w:val="auto"/>
                <w:sz w:val="24"/>
                <w:highlight w:val="none"/>
              </w:rPr>
              <w:t>不予批准后再次申报项目</w:t>
            </w:r>
          </w:p>
          <w:p w14:paraId="31980C2E">
            <w:pPr>
              <w:jc w:val="left"/>
              <w:rPr>
                <w:color w:val="auto"/>
                <w:sz w:val="24"/>
                <w:highlight w:val="none"/>
              </w:rPr>
            </w:pPr>
            <w:r>
              <w:rPr>
                <w:color w:val="auto"/>
                <w:sz w:val="24"/>
                <w:highlight w:val="none"/>
              </w:rPr>
              <w:sym w:font="Wingdings 2" w:char="00A3"/>
            </w:r>
            <w:r>
              <w:rPr>
                <w:color w:val="auto"/>
                <w:sz w:val="24"/>
                <w:highlight w:val="none"/>
              </w:rPr>
              <w:t>超五年重新审核项目</w:t>
            </w:r>
          </w:p>
          <w:p w14:paraId="2B173D7C">
            <w:pPr>
              <w:jc w:val="left"/>
              <w:rPr>
                <w:color w:val="auto"/>
                <w:sz w:val="24"/>
                <w:highlight w:val="none"/>
              </w:rPr>
            </w:pPr>
            <w:r>
              <w:rPr>
                <w:rFonts w:hint="eastAsia"/>
                <w:color w:val="auto"/>
                <w:sz w:val="24"/>
                <w:highlight w:val="none"/>
              </w:rPr>
              <w:t>□</w:t>
            </w:r>
            <w:r>
              <w:rPr>
                <w:color w:val="auto"/>
                <w:sz w:val="24"/>
                <w:highlight w:val="none"/>
              </w:rPr>
              <w:t>重大变动重新报批项目</w:t>
            </w:r>
          </w:p>
        </w:tc>
      </w:tr>
      <w:tr w14:paraId="60FCDB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8" w:hRule="atLeast"/>
          <w:jc w:val="center"/>
        </w:trPr>
        <w:tc>
          <w:tcPr>
            <w:tcW w:w="2123" w:type="dxa"/>
            <w:tcMar>
              <w:top w:w="16" w:type="dxa"/>
              <w:left w:w="16" w:type="dxa"/>
              <w:right w:w="16" w:type="dxa"/>
            </w:tcMar>
            <w:vAlign w:val="center"/>
          </w:tcPr>
          <w:p w14:paraId="18D55B6A">
            <w:pPr>
              <w:adjustRightInd w:val="0"/>
              <w:snapToGrid w:val="0"/>
              <w:jc w:val="center"/>
              <w:rPr>
                <w:color w:val="auto"/>
                <w:sz w:val="24"/>
                <w:highlight w:val="none"/>
              </w:rPr>
            </w:pPr>
            <w:r>
              <w:rPr>
                <w:color w:val="auto"/>
                <w:sz w:val="24"/>
                <w:highlight w:val="none"/>
              </w:rPr>
              <w:t>项目审批（核准/</w:t>
            </w:r>
          </w:p>
          <w:p w14:paraId="3CA0152B">
            <w:pPr>
              <w:adjustRightInd w:val="0"/>
              <w:snapToGrid w:val="0"/>
              <w:jc w:val="center"/>
              <w:rPr>
                <w:color w:val="auto"/>
                <w:sz w:val="24"/>
                <w:highlight w:val="none"/>
              </w:rPr>
            </w:pPr>
            <w:r>
              <w:rPr>
                <w:color w:val="auto"/>
                <w:sz w:val="24"/>
                <w:highlight w:val="none"/>
              </w:rPr>
              <w:t>备案）部门（选填）</w:t>
            </w:r>
          </w:p>
        </w:tc>
        <w:tc>
          <w:tcPr>
            <w:tcW w:w="1820" w:type="dxa"/>
            <w:vAlign w:val="center"/>
          </w:tcPr>
          <w:p w14:paraId="050A50AD">
            <w:pPr>
              <w:adjustRightInd w:val="0"/>
              <w:snapToGrid w:val="0"/>
              <w:jc w:val="center"/>
              <w:rPr>
                <w:color w:val="auto"/>
                <w:sz w:val="24"/>
                <w:highlight w:val="none"/>
              </w:rPr>
            </w:pPr>
            <w:r>
              <w:rPr>
                <w:color w:val="auto"/>
                <w:sz w:val="24"/>
                <w:highlight w:val="none"/>
              </w:rPr>
              <w:t>/</w:t>
            </w:r>
          </w:p>
        </w:tc>
        <w:tc>
          <w:tcPr>
            <w:tcW w:w="2116" w:type="dxa"/>
            <w:vAlign w:val="center"/>
          </w:tcPr>
          <w:p w14:paraId="2CD28E5B">
            <w:pPr>
              <w:adjustRightInd w:val="0"/>
              <w:snapToGrid w:val="0"/>
              <w:jc w:val="center"/>
              <w:rPr>
                <w:color w:val="auto"/>
                <w:sz w:val="24"/>
                <w:highlight w:val="none"/>
              </w:rPr>
            </w:pPr>
            <w:r>
              <w:rPr>
                <w:color w:val="auto"/>
                <w:sz w:val="24"/>
                <w:highlight w:val="none"/>
              </w:rPr>
              <w:t>项目审批（核准/备案）文号（选填）</w:t>
            </w:r>
          </w:p>
        </w:tc>
        <w:tc>
          <w:tcPr>
            <w:tcW w:w="2762" w:type="dxa"/>
            <w:vAlign w:val="center"/>
          </w:tcPr>
          <w:p w14:paraId="00905ACC">
            <w:pPr>
              <w:adjustRightInd w:val="0"/>
              <w:snapToGrid w:val="0"/>
              <w:jc w:val="center"/>
              <w:rPr>
                <w:color w:val="auto"/>
                <w:sz w:val="24"/>
                <w:highlight w:val="none"/>
              </w:rPr>
            </w:pPr>
            <w:r>
              <w:rPr>
                <w:color w:val="auto"/>
                <w:sz w:val="24"/>
                <w:highlight w:val="none"/>
              </w:rPr>
              <w:t>/</w:t>
            </w:r>
          </w:p>
        </w:tc>
      </w:tr>
      <w:tr w14:paraId="2D0A26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62B96D0F">
            <w:pPr>
              <w:adjustRightInd w:val="0"/>
              <w:snapToGrid w:val="0"/>
              <w:jc w:val="center"/>
              <w:rPr>
                <w:color w:val="auto"/>
                <w:sz w:val="24"/>
                <w:highlight w:val="none"/>
              </w:rPr>
            </w:pPr>
            <w:r>
              <w:rPr>
                <w:color w:val="auto"/>
                <w:sz w:val="24"/>
                <w:highlight w:val="none"/>
              </w:rPr>
              <w:t>总投资（万元）</w:t>
            </w:r>
          </w:p>
        </w:tc>
        <w:tc>
          <w:tcPr>
            <w:tcW w:w="1820" w:type="dxa"/>
            <w:vAlign w:val="center"/>
          </w:tcPr>
          <w:p w14:paraId="3B57CC3F">
            <w:pPr>
              <w:adjustRightInd w:val="0"/>
              <w:snapToGrid w:val="0"/>
              <w:jc w:val="center"/>
              <w:rPr>
                <w:rFonts w:hint="default" w:eastAsia="宋体"/>
                <w:color w:val="auto"/>
                <w:sz w:val="24"/>
                <w:highlight w:val="none"/>
                <w:lang w:val="en-US" w:eastAsia="zh-CN"/>
              </w:rPr>
            </w:pPr>
            <w:r>
              <w:rPr>
                <w:rFonts w:hint="eastAsia"/>
                <w:color w:val="auto"/>
                <w:sz w:val="24"/>
                <w:highlight w:val="none"/>
                <w:lang w:val="en-US" w:eastAsia="zh-CN"/>
              </w:rPr>
              <w:t>1500</w:t>
            </w:r>
          </w:p>
        </w:tc>
        <w:tc>
          <w:tcPr>
            <w:tcW w:w="2116" w:type="dxa"/>
            <w:tcMar>
              <w:top w:w="16" w:type="dxa"/>
              <w:left w:w="16" w:type="dxa"/>
              <w:right w:w="16" w:type="dxa"/>
            </w:tcMar>
            <w:vAlign w:val="center"/>
          </w:tcPr>
          <w:p w14:paraId="5E504C11">
            <w:pPr>
              <w:adjustRightInd w:val="0"/>
              <w:snapToGrid w:val="0"/>
              <w:jc w:val="center"/>
              <w:rPr>
                <w:color w:val="auto"/>
                <w:sz w:val="24"/>
                <w:highlight w:val="none"/>
              </w:rPr>
            </w:pPr>
            <w:r>
              <w:rPr>
                <w:color w:val="auto"/>
                <w:sz w:val="24"/>
                <w:highlight w:val="none"/>
              </w:rPr>
              <w:t>环保投资（万元）</w:t>
            </w:r>
          </w:p>
        </w:tc>
        <w:tc>
          <w:tcPr>
            <w:tcW w:w="2762" w:type="dxa"/>
            <w:vAlign w:val="center"/>
          </w:tcPr>
          <w:p w14:paraId="323795DE">
            <w:pPr>
              <w:adjustRightInd w:val="0"/>
              <w:snapToGrid w:val="0"/>
              <w:jc w:val="center"/>
              <w:rPr>
                <w:rFonts w:hint="default" w:eastAsia="宋体"/>
                <w:color w:val="auto"/>
                <w:sz w:val="24"/>
                <w:highlight w:val="none"/>
                <w:lang w:val="en-US" w:eastAsia="zh-CN"/>
              </w:rPr>
            </w:pPr>
            <w:r>
              <w:rPr>
                <w:rFonts w:hint="eastAsia"/>
                <w:color w:val="auto"/>
                <w:sz w:val="24"/>
                <w:highlight w:val="none"/>
                <w:lang w:val="en-US" w:eastAsia="zh-CN"/>
              </w:rPr>
              <w:t>75</w:t>
            </w:r>
          </w:p>
        </w:tc>
      </w:tr>
      <w:tr w14:paraId="015560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71637A6B">
            <w:pPr>
              <w:adjustRightInd w:val="0"/>
              <w:snapToGrid w:val="0"/>
              <w:jc w:val="center"/>
              <w:rPr>
                <w:color w:val="auto"/>
                <w:sz w:val="24"/>
                <w:highlight w:val="none"/>
              </w:rPr>
            </w:pPr>
            <w:r>
              <w:rPr>
                <w:color w:val="auto"/>
                <w:sz w:val="24"/>
                <w:highlight w:val="none"/>
              </w:rPr>
              <w:t>环保投资占比（%）</w:t>
            </w:r>
          </w:p>
        </w:tc>
        <w:tc>
          <w:tcPr>
            <w:tcW w:w="1820" w:type="dxa"/>
            <w:vAlign w:val="center"/>
          </w:tcPr>
          <w:p w14:paraId="6CA7FD26">
            <w:pPr>
              <w:adjustRightInd w:val="0"/>
              <w:snapToGrid w:val="0"/>
              <w:jc w:val="center"/>
              <w:rPr>
                <w:rFonts w:hint="default" w:eastAsia="宋体"/>
                <w:color w:val="auto"/>
                <w:sz w:val="24"/>
                <w:highlight w:val="none"/>
                <w:lang w:val="en-US" w:eastAsia="zh-CN"/>
              </w:rPr>
            </w:pPr>
            <w:r>
              <w:rPr>
                <w:rFonts w:hint="eastAsia"/>
                <w:color w:val="auto"/>
                <w:sz w:val="24"/>
                <w:highlight w:val="none"/>
                <w:lang w:val="en-US" w:eastAsia="zh-CN"/>
              </w:rPr>
              <w:t>5</w:t>
            </w:r>
          </w:p>
        </w:tc>
        <w:tc>
          <w:tcPr>
            <w:tcW w:w="2116" w:type="dxa"/>
            <w:tcMar>
              <w:top w:w="16" w:type="dxa"/>
              <w:left w:w="16" w:type="dxa"/>
              <w:right w:w="16" w:type="dxa"/>
            </w:tcMar>
            <w:vAlign w:val="center"/>
          </w:tcPr>
          <w:p w14:paraId="1F54B8E4">
            <w:pPr>
              <w:adjustRightInd w:val="0"/>
              <w:snapToGrid w:val="0"/>
              <w:jc w:val="center"/>
              <w:rPr>
                <w:color w:val="auto"/>
                <w:sz w:val="24"/>
                <w:highlight w:val="none"/>
              </w:rPr>
            </w:pPr>
            <w:r>
              <w:rPr>
                <w:color w:val="auto"/>
                <w:sz w:val="24"/>
                <w:highlight w:val="none"/>
              </w:rPr>
              <w:t>施工工期</w:t>
            </w:r>
          </w:p>
        </w:tc>
        <w:tc>
          <w:tcPr>
            <w:tcW w:w="2762" w:type="dxa"/>
            <w:vAlign w:val="center"/>
          </w:tcPr>
          <w:p w14:paraId="331DF23D">
            <w:pPr>
              <w:adjustRightInd w:val="0"/>
              <w:snapToGrid w:val="0"/>
              <w:jc w:val="center"/>
              <w:rPr>
                <w:color w:val="auto"/>
                <w:sz w:val="24"/>
                <w:highlight w:val="none"/>
              </w:rPr>
            </w:pPr>
            <w:r>
              <w:rPr>
                <w:color w:val="auto"/>
                <w:sz w:val="24"/>
                <w:highlight w:val="none"/>
              </w:rPr>
              <w:t>3个月</w:t>
            </w:r>
          </w:p>
        </w:tc>
      </w:tr>
      <w:tr w14:paraId="47D5FE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1" w:hRule="atLeast"/>
          <w:jc w:val="center"/>
        </w:trPr>
        <w:tc>
          <w:tcPr>
            <w:tcW w:w="2123" w:type="dxa"/>
            <w:tcMar>
              <w:top w:w="16" w:type="dxa"/>
              <w:left w:w="16" w:type="dxa"/>
              <w:right w:w="16" w:type="dxa"/>
            </w:tcMar>
            <w:vAlign w:val="center"/>
          </w:tcPr>
          <w:p w14:paraId="79CDB0E9">
            <w:pPr>
              <w:adjustRightInd w:val="0"/>
              <w:snapToGrid w:val="0"/>
              <w:jc w:val="center"/>
              <w:rPr>
                <w:color w:val="auto"/>
                <w:sz w:val="24"/>
                <w:highlight w:val="none"/>
              </w:rPr>
            </w:pPr>
            <w:r>
              <w:rPr>
                <w:color w:val="auto"/>
                <w:sz w:val="24"/>
                <w:highlight w:val="none"/>
              </w:rPr>
              <w:t>是否开工建设</w:t>
            </w:r>
          </w:p>
        </w:tc>
        <w:tc>
          <w:tcPr>
            <w:tcW w:w="1820" w:type="dxa"/>
            <w:vAlign w:val="center"/>
          </w:tcPr>
          <w:p w14:paraId="385CB7BB">
            <w:pPr>
              <w:adjustRightInd w:val="0"/>
              <w:snapToGrid w:val="0"/>
              <w:rPr>
                <w:color w:val="auto"/>
                <w:sz w:val="24"/>
                <w:highlight w:val="none"/>
              </w:rPr>
            </w:pPr>
            <w:r>
              <w:rPr>
                <w:rFonts w:hint="eastAsia"/>
                <w:color w:val="auto"/>
                <w:sz w:val="24"/>
                <w:highlight w:val="none"/>
                <w:lang w:eastAsia="zh-CN"/>
              </w:rPr>
              <w:t>☑</w:t>
            </w:r>
            <w:r>
              <w:rPr>
                <w:color w:val="auto"/>
                <w:sz w:val="24"/>
                <w:highlight w:val="none"/>
              </w:rPr>
              <w:t>否</w:t>
            </w:r>
          </w:p>
          <w:p w14:paraId="0A77535A">
            <w:pPr>
              <w:adjustRightInd w:val="0"/>
              <w:snapToGrid w:val="0"/>
              <w:rPr>
                <w:rFonts w:hint="default" w:eastAsia="宋体"/>
                <w:color w:val="auto"/>
                <w:sz w:val="24"/>
                <w:highlight w:val="none"/>
                <w:lang w:val="en-US" w:eastAsia="zh-CN"/>
              </w:rPr>
            </w:pPr>
            <w:r>
              <w:rPr>
                <w:color w:val="auto"/>
                <w:sz w:val="24"/>
                <w:highlight w:val="none"/>
              </w:rPr>
              <w:sym w:font="Wingdings 2" w:char="00A3"/>
            </w:r>
            <w:r>
              <w:rPr>
                <w:color w:val="auto"/>
                <w:sz w:val="24"/>
                <w:highlight w:val="none"/>
              </w:rPr>
              <w:t>是</w:t>
            </w:r>
            <w:r>
              <w:rPr>
                <w:color w:val="auto"/>
                <w:sz w:val="24"/>
                <w:highlight w:val="none"/>
                <w:u w:val="single"/>
              </w:rPr>
              <w:t>：</w:t>
            </w:r>
            <w:r>
              <w:rPr>
                <w:rFonts w:hint="eastAsia"/>
                <w:color w:val="auto"/>
                <w:sz w:val="24"/>
                <w:highlight w:val="none"/>
                <w:u w:val="single"/>
                <w:lang w:val="en-US" w:eastAsia="zh-CN"/>
              </w:rPr>
              <w:t xml:space="preserve"> </w:t>
            </w:r>
          </w:p>
        </w:tc>
        <w:tc>
          <w:tcPr>
            <w:tcW w:w="2116" w:type="dxa"/>
            <w:tcMar>
              <w:top w:w="16" w:type="dxa"/>
              <w:left w:w="16" w:type="dxa"/>
              <w:right w:w="16" w:type="dxa"/>
            </w:tcMar>
            <w:vAlign w:val="center"/>
          </w:tcPr>
          <w:p w14:paraId="079BBA4F">
            <w:pPr>
              <w:adjustRightInd w:val="0"/>
              <w:snapToGrid w:val="0"/>
              <w:jc w:val="center"/>
              <w:rPr>
                <w:color w:val="auto"/>
                <w:sz w:val="24"/>
                <w:highlight w:val="none"/>
              </w:rPr>
            </w:pPr>
            <w:r>
              <w:rPr>
                <w:color w:val="auto"/>
                <w:spacing w:val="-6"/>
                <w:sz w:val="24"/>
                <w:highlight w:val="none"/>
              </w:rPr>
              <w:t>用地面积（</w:t>
            </w:r>
            <w:r>
              <w:rPr>
                <w:rFonts w:hint="eastAsia"/>
                <w:color w:val="auto"/>
                <w:spacing w:val="-6"/>
                <w:sz w:val="24"/>
                <w:highlight w:val="none"/>
                <w:vertAlign w:val="baseline"/>
                <w:lang w:eastAsia="zh-CN"/>
              </w:rPr>
              <w:t>m</w:t>
            </w:r>
            <w:r>
              <w:rPr>
                <w:rFonts w:hint="eastAsia"/>
                <w:color w:val="auto"/>
                <w:spacing w:val="-6"/>
                <w:sz w:val="24"/>
                <w:highlight w:val="none"/>
                <w:vertAlign w:val="superscript"/>
                <w:lang w:eastAsia="zh-CN"/>
              </w:rPr>
              <w:t>2</w:t>
            </w:r>
            <w:r>
              <w:rPr>
                <w:color w:val="auto"/>
                <w:spacing w:val="-6"/>
                <w:sz w:val="24"/>
                <w:highlight w:val="none"/>
              </w:rPr>
              <w:t>）</w:t>
            </w:r>
          </w:p>
        </w:tc>
        <w:tc>
          <w:tcPr>
            <w:tcW w:w="2762" w:type="dxa"/>
            <w:vAlign w:val="center"/>
          </w:tcPr>
          <w:p w14:paraId="6F3943DC">
            <w:pPr>
              <w:adjustRightInd w:val="0"/>
              <w:snapToGrid w:val="0"/>
              <w:jc w:val="center"/>
              <w:rPr>
                <w:color w:val="auto"/>
                <w:sz w:val="24"/>
                <w:highlight w:val="none"/>
              </w:rPr>
            </w:pPr>
            <w:r>
              <w:rPr>
                <w:color w:val="auto"/>
                <w:sz w:val="24"/>
                <w:highlight w:val="none"/>
              </w:rPr>
              <w:t>31456（不新增）</w:t>
            </w:r>
          </w:p>
        </w:tc>
      </w:tr>
      <w:tr w14:paraId="57CE50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23" w:type="dxa"/>
            <w:vAlign w:val="center"/>
          </w:tcPr>
          <w:p w14:paraId="1C2A21A1">
            <w:pPr>
              <w:autoSpaceDE w:val="0"/>
              <w:autoSpaceDN w:val="0"/>
              <w:adjustRightInd w:val="0"/>
              <w:snapToGrid w:val="0"/>
              <w:jc w:val="center"/>
              <w:rPr>
                <w:color w:val="auto"/>
                <w:kern w:val="0"/>
                <w:sz w:val="24"/>
                <w:highlight w:val="none"/>
              </w:rPr>
            </w:pPr>
            <w:r>
              <w:rPr>
                <w:color w:val="auto"/>
                <w:kern w:val="0"/>
                <w:sz w:val="24"/>
                <w:highlight w:val="none"/>
              </w:rPr>
              <w:t>专项评价设置情况</w:t>
            </w:r>
          </w:p>
        </w:tc>
        <w:tc>
          <w:tcPr>
            <w:tcW w:w="6698" w:type="dxa"/>
            <w:gridSpan w:val="3"/>
            <w:vAlign w:val="center"/>
          </w:tcPr>
          <w:p w14:paraId="47FDAAFB">
            <w:pPr>
              <w:autoSpaceDE w:val="0"/>
              <w:autoSpaceDN w:val="0"/>
              <w:adjustRightInd w:val="0"/>
              <w:snapToGrid w:val="0"/>
              <w:spacing w:line="360" w:lineRule="auto"/>
              <w:ind w:firstLine="480" w:firstLineChars="200"/>
              <w:jc w:val="left"/>
              <w:rPr>
                <w:color w:val="auto"/>
                <w:sz w:val="24"/>
                <w:highlight w:val="none"/>
              </w:rPr>
            </w:pPr>
          </w:p>
          <w:p w14:paraId="1F10F089">
            <w:pPr>
              <w:autoSpaceDE w:val="0"/>
              <w:autoSpaceDN w:val="0"/>
              <w:adjustRightInd w:val="0"/>
              <w:snapToGrid w:val="0"/>
              <w:spacing w:line="360" w:lineRule="auto"/>
              <w:ind w:firstLine="480" w:firstLineChars="200"/>
              <w:jc w:val="left"/>
              <w:rPr>
                <w:color w:val="auto"/>
                <w:sz w:val="24"/>
                <w:highlight w:val="none"/>
              </w:rPr>
            </w:pPr>
            <w:r>
              <w:rPr>
                <w:color w:val="auto"/>
                <w:sz w:val="24"/>
                <w:highlight w:val="none"/>
              </w:rPr>
              <w:t>专项评价设置原则如下表：</w:t>
            </w:r>
          </w:p>
          <w:p w14:paraId="0C3D5812">
            <w:pPr>
              <w:adjustRightInd w:val="0"/>
              <w:snapToGrid w:val="0"/>
              <w:spacing w:line="360" w:lineRule="auto"/>
              <w:jc w:val="center"/>
              <w:rPr>
                <w:b/>
                <w:bCs/>
                <w:color w:val="auto"/>
                <w:sz w:val="24"/>
                <w:szCs w:val="21"/>
                <w:highlight w:val="none"/>
              </w:rPr>
            </w:pPr>
            <w:r>
              <w:rPr>
                <w:b/>
                <w:bCs/>
                <w:color w:val="auto"/>
                <w:sz w:val="24"/>
                <w:szCs w:val="21"/>
                <w:highlight w:val="none"/>
              </w:rPr>
              <w:t>表1-1</w:t>
            </w:r>
            <w:r>
              <w:rPr>
                <w:rFonts w:hint="eastAsia"/>
                <w:b/>
                <w:bCs/>
                <w:color w:val="auto"/>
                <w:sz w:val="24"/>
                <w:szCs w:val="21"/>
                <w:highlight w:val="none"/>
              </w:rPr>
              <w:t xml:space="preserve"> </w:t>
            </w:r>
            <w:r>
              <w:rPr>
                <w:b/>
                <w:bCs/>
                <w:color w:val="auto"/>
                <w:sz w:val="24"/>
                <w:szCs w:val="21"/>
                <w:highlight w:val="none"/>
              </w:rPr>
              <w:t>专项评价设置原则表</w:t>
            </w:r>
          </w:p>
          <w:tbl>
            <w:tblPr>
              <w:tblStyle w:val="2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7"/>
              <w:gridCol w:w="2564"/>
              <w:gridCol w:w="2221"/>
              <w:gridCol w:w="799"/>
            </w:tblGrid>
            <w:tr w14:paraId="36EC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8" w:type="dxa"/>
                  <w:tcBorders>
                    <w:tl2br w:val="nil"/>
                    <w:tr2bl w:val="nil"/>
                  </w:tcBorders>
                  <w:vAlign w:val="center"/>
                </w:tcPr>
                <w:p w14:paraId="02C3A6CB">
                  <w:pPr>
                    <w:pStyle w:val="27"/>
                    <w:rPr>
                      <w:b/>
                      <w:bCs/>
                      <w:color w:val="auto"/>
                      <w:highlight w:val="none"/>
                    </w:rPr>
                  </w:pPr>
                  <w:r>
                    <w:rPr>
                      <w:b/>
                      <w:bCs/>
                      <w:color w:val="auto"/>
                      <w:highlight w:val="none"/>
                    </w:rPr>
                    <w:t>专项评价类别</w:t>
                  </w:r>
                </w:p>
              </w:tc>
              <w:tc>
                <w:tcPr>
                  <w:tcW w:w="2568" w:type="dxa"/>
                  <w:tcBorders>
                    <w:tl2br w:val="nil"/>
                    <w:tr2bl w:val="nil"/>
                  </w:tcBorders>
                  <w:vAlign w:val="center"/>
                </w:tcPr>
                <w:p w14:paraId="6C5214BA">
                  <w:pPr>
                    <w:pStyle w:val="27"/>
                    <w:rPr>
                      <w:b/>
                      <w:bCs/>
                      <w:color w:val="auto"/>
                      <w:highlight w:val="none"/>
                    </w:rPr>
                  </w:pPr>
                  <w:r>
                    <w:rPr>
                      <w:rFonts w:hint="eastAsia"/>
                      <w:b/>
                      <w:bCs/>
                      <w:color w:val="auto"/>
                      <w:highlight w:val="none"/>
                    </w:rPr>
                    <w:t>设置原则</w:t>
                  </w:r>
                </w:p>
              </w:tc>
              <w:tc>
                <w:tcPr>
                  <w:tcW w:w="2225" w:type="dxa"/>
                  <w:tcBorders>
                    <w:tl2br w:val="nil"/>
                    <w:tr2bl w:val="nil"/>
                  </w:tcBorders>
                  <w:vAlign w:val="center"/>
                </w:tcPr>
                <w:p w14:paraId="7D46F287">
                  <w:pPr>
                    <w:pStyle w:val="27"/>
                    <w:rPr>
                      <w:b/>
                      <w:bCs/>
                      <w:color w:val="auto"/>
                      <w:highlight w:val="none"/>
                    </w:rPr>
                  </w:pPr>
                  <w:r>
                    <w:rPr>
                      <w:rFonts w:hint="eastAsia"/>
                      <w:b/>
                      <w:bCs/>
                      <w:color w:val="auto"/>
                      <w:highlight w:val="none"/>
                    </w:rPr>
                    <w:t>本项目</w:t>
                  </w:r>
                  <w:r>
                    <w:rPr>
                      <w:b/>
                      <w:bCs/>
                      <w:color w:val="auto"/>
                      <w:highlight w:val="none"/>
                    </w:rPr>
                    <w:t>情况</w:t>
                  </w:r>
                </w:p>
              </w:tc>
              <w:tc>
                <w:tcPr>
                  <w:tcW w:w="800" w:type="dxa"/>
                  <w:tcBorders>
                    <w:tl2br w:val="nil"/>
                    <w:tr2bl w:val="nil"/>
                  </w:tcBorders>
                  <w:vAlign w:val="center"/>
                </w:tcPr>
                <w:p w14:paraId="3C53D59B">
                  <w:pPr>
                    <w:pStyle w:val="27"/>
                    <w:rPr>
                      <w:b/>
                      <w:bCs/>
                      <w:color w:val="auto"/>
                      <w:highlight w:val="none"/>
                    </w:rPr>
                  </w:pPr>
                  <w:r>
                    <w:rPr>
                      <w:rFonts w:hint="eastAsia"/>
                      <w:b/>
                      <w:bCs/>
                      <w:color w:val="auto"/>
                      <w:highlight w:val="none"/>
                    </w:rPr>
                    <w:t>专项评价</w:t>
                  </w:r>
                </w:p>
              </w:tc>
            </w:tr>
            <w:tr w14:paraId="1063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8" w:type="dxa"/>
                  <w:tcBorders>
                    <w:tl2br w:val="nil"/>
                    <w:tr2bl w:val="nil"/>
                  </w:tcBorders>
                  <w:vAlign w:val="center"/>
                </w:tcPr>
                <w:p w14:paraId="188C5A8F">
                  <w:pPr>
                    <w:pStyle w:val="27"/>
                    <w:rPr>
                      <w:color w:val="auto"/>
                      <w:highlight w:val="none"/>
                    </w:rPr>
                  </w:pPr>
                  <w:r>
                    <w:rPr>
                      <w:color w:val="auto"/>
                      <w:highlight w:val="none"/>
                    </w:rPr>
                    <w:t>大气</w:t>
                  </w:r>
                </w:p>
              </w:tc>
              <w:tc>
                <w:tcPr>
                  <w:tcW w:w="2568" w:type="dxa"/>
                  <w:tcBorders>
                    <w:tl2br w:val="nil"/>
                    <w:tr2bl w:val="nil"/>
                  </w:tcBorders>
                  <w:vAlign w:val="center"/>
                </w:tcPr>
                <w:p w14:paraId="78FB4945">
                  <w:pPr>
                    <w:pStyle w:val="27"/>
                    <w:rPr>
                      <w:rFonts w:hint="eastAsia" w:eastAsia="宋体"/>
                      <w:color w:val="auto"/>
                      <w:highlight w:val="none"/>
                      <w:lang w:eastAsia="zh-CN"/>
                    </w:rPr>
                  </w:pPr>
                  <w:bookmarkStart w:id="2" w:name="OLE_LINK23"/>
                  <w:r>
                    <w:rPr>
                      <w:color w:val="auto"/>
                      <w:highlight w:val="none"/>
                    </w:rPr>
                    <w:t>排放废气</w:t>
                  </w:r>
                  <w:r>
                    <w:rPr>
                      <w:rFonts w:hint="eastAsia"/>
                      <w:color w:val="auto"/>
                      <w:highlight w:val="none"/>
                      <w:lang w:eastAsia="zh-CN"/>
                    </w:rPr>
                    <w:t>中</w:t>
                  </w:r>
                  <w:r>
                    <w:rPr>
                      <w:color w:val="auto"/>
                      <w:highlight w:val="none"/>
                    </w:rPr>
                    <w:t>含有毒有害污染物</w:t>
                  </w:r>
                  <w:r>
                    <w:rPr>
                      <w:color w:val="auto"/>
                      <w:highlight w:val="none"/>
                      <w:vertAlign w:val="superscript"/>
                    </w:rPr>
                    <w:t>1</w:t>
                  </w:r>
                  <w:r>
                    <w:rPr>
                      <w:color w:val="auto"/>
                      <w:highlight w:val="none"/>
                    </w:rPr>
                    <w:t>、二噁英、苯并</w:t>
                  </w:r>
                  <w:r>
                    <w:rPr>
                      <w:rFonts w:hint="eastAsia"/>
                      <w:color w:val="auto"/>
                      <w:highlight w:val="none"/>
                    </w:rPr>
                    <w:t>〔</w:t>
                  </w:r>
                  <w:r>
                    <w:rPr>
                      <w:color w:val="auto"/>
                      <w:highlight w:val="none"/>
                    </w:rPr>
                    <w:t>a</w:t>
                  </w:r>
                  <w:r>
                    <w:rPr>
                      <w:rFonts w:hint="eastAsia"/>
                      <w:color w:val="auto"/>
                      <w:highlight w:val="none"/>
                    </w:rPr>
                    <w:t>〕</w:t>
                  </w:r>
                  <w:r>
                    <w:rPr>
                      <w:color w:val="auto"/>
                      <w:highlight w:val="none"/>
                    </w:rPr>
                    <w:t>芘、氰化物、氯气且厂界外500米范围内有环境空气保护目标</w:t>
                  </w:r>
                  <w:r>
                    <w:rPr>
                      <w:color w:val="auto"/>
                      <w:highlight w:val="none"/>
                      <w:vertAlign w:val="superscript"/>
                    </w:rPr>
                    <w:t>2</w:t>
                  </w:r>
                  <w:r>
                    <w:rPr>
                      <w:color w:val="auto"/>
                      <w:highlight w:val="none"/>
                    </w:rPr>
                    <w:t>的建设项目</w:t>
                  </w:r>
                  <w:bookmarkEnd w:id="2"/>
                  <w:r>
                    <w:rPr>
                      <w:rFonts w:hint="eastAsia"/>
                      <w:color w:val="auto"/>
                      <w:highlight w:val="none"/>
                      <w:lang w:eastAsia="zh-CN"/>
                    </w:rPr>
                    <w:t>。</w:t>
                  </w:r>
                </w:p>
              </w:tc>
              <w:tc>
                <w:tcPr>
                  <w:tcW w:w="2225" w:type="dxa"/>
                  <w:tcBorders>
                    <w:tl2br w:val="nil"/>
                    <w:tr2bl w:val="nil"/>
                  </w:tcBorders>
                  <w:vAlign w:val="center"/>
                </w:tcPr>
                <w:p w14:paraId="18886DF4">
                  <w:pPr>
                    <w:pStyle w:val="27"/>
                    <w:rPr>
                      <w:rFonts w:hint="eastAsia" w:eastAsia="宋体"/>
                      <w:color w:val="auto"/>
                      <w:highlight w:val="none"/>
                      <w:lang w:eastAsia="zh-CN"/>
                    </w:rPr>
                  </w:pPr>
                  <w:r>
                    <w:rPr>
                      <w:color w:val="auto"/>
                      <w:highlight w:val="none"/>
                    </w:rPr>
                    <w:t>本项目废气排放污染物</w:t>
                  </w:r>
                  <w:r>
                    <w:rPr>
                      <w:rFonts w:hint="eastAsia"/>
                      <w:color w:val="auto"/>
                      <w:highlight w:val="none"/>
                    </w:rPr>
                    <w:t>中有</w:t>
                  </w:r>
                  <w:r>
                    <w:rPr>
                      <w:color w:val="auto"/>
                      <w:highlight w:val="none"/>
                    </w:rPr>
                    <w:t>二噁英，</w:t>
                  </w:r>
                  <w:r>
                    <w:rPr>
                      <w:rFonts w:hint="eastAsia"/>
                      <w:color w:val="auto"/>
                      <w:highlight w:val="none"/>
                    </w:rPr>
                    <w:t>但</w:t>
                  </w:r>
                  <w:r>
                    <w:rPr>
                      <w:color w:val="auto"/>
                      <w:highlight w:val="none"/>
                    </w:rPr>
                    <w:t>厂界外500米范围内无环境空气保护目标</w:t>
                  </w:r>
                  <w:r>
                    <w:rPr>
                      <w:rFonts w:hint="eastAsia"/>
                      <w:color w:val="auto"/>
                      <w:highlight w:val="none"/>
                      <w:lang w:eastAsia="zh-CN"/>
                    </w:rPr>
                    <w:t>。</w:t>
                  </w:r>
                </w:p>
              </w:tc>
              <w:tc>
                <w:tcPr>
                  <w:tcW w:w="800" w:type="dxa"/>
                  <w:tcBorders>
                    <w:tl2br w:val="nil"/>
                    <w:tr2bl w:val="nil"/>
                  </w:tcBorders>
                  <w:vAlign w:val="center"/>
                </w:tcPr>
                <w:p w14:paraId="18DF51AC">
                  <w:pPr>
                    <w:pStyle w:val="27"/>
                    <w:rPr>
                      <w:color w:val="auto"/>
                      <w:highlight w:val="none"/>
                    </w:rPr>
                  </w:pPr>
                  <w:r>
                    <w:rPr>
                      <w:rFonts w:hint="eastAsia"/>
                      <w:color w:val="auto"/>
                      <w:highlight w:val="none"/>
                    </w:rPr>
                    <w:t>不设置</w:t>
                  </w:r>
                </w:p>
              </w:tc>
            </w:tr>
            <w:tr w14:paraId="6001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8" w:type="dxa"/>
                  <w:tcBorders>
                    <w:tl2br w:val="nil"/>
                    <w:tr2bl w:val="nil"/>
                  </w:tcBorders>
                  <w:vAlign w:val="center"/>
                </w:tcPr>
                <w:p w14:paraId="64DFE098">
                  <w:pPr>
                    <w:pStyle w:val="27"/>
                    <w:rPr>
                      <w:color w:val="auto"/>
                      <w:highlight w:val="none"/>
                    </w:rPr>
                  </w:pPr>
                  <w:r>
                    <w:rPr>
                      <w:color w:val="auto"/>
                      <w:highlight w:val="none"/>
                    </w:rPr>
                    <w:t>地表水</w:t>
                  </w:r>
                </w:p>
              </w:tc>
              <w:tc>
                <w:tcPr>
                  <w:tcW w:w="2568" w:type="dxa"/>
                  <w:tcBorders>
                    <w:tl2br w:val="nil"/>
                    <w:tr2bl w:val="nil"/>
                  </w:tcBorders>
                  <w:vAlign w:val="center"/>
                </w:tcPr>
                <w:p w14:paraId="3E53A114">
                  <w:pPr>
                    <w:pStyle w:val="27"/>
                    <w:rPr>
                      <w:rFonts w:hint="eastAsia" w:eastAsia="宋体"/>
                      <w:color w:val="auto"/>
                      <w:highlight w:val="none"/>
                      <w:lang w:eastAsia="zh-CN"/>
                    </w:rPr>
                  </w:pPr>
                  <w:r>
                    <w:rPr>
                      <w:color w:val="auto"/>
                      <w:highlight w:val="none"/>
                    </w:rPr>
                    <w:t>新增工业废水直排建设项目</w:t>
                  </w:r>
                  <w:r>
                    <w:rPr>
                      <w:rFonts w:hint="eastAsia"/>
                      <w:color w:val="auto"/>
                      <w:highlight w:val="none"/>
                    </w:rPr>
                    <w:t>（</w:t>
                  </w:r>
                  <w:r>
                    <w:rPr>
                      <w:color w:val="auto"/>
                      <w:highlight w:val="none"/>
                    </w:rPr>
                    <w:t>槽罐车外送</w:t>
                  </w:r>
                  <w:r>
                    <w:rPr>
                      <w:rFonts w:hint="eastAsia"/>
                      <w:color w:val="auto"/>
                      <w:highlight w:val="none"/>
                    </w:rPr>
                    <w:t>至</w:t>
                  </w:r>
                  <w:r>
                    <w:rPr>
                      <w:color w:val="auto"/>
                      <w:highlight w:val="none"/>
                    </w:rPr>
                    <w:t>污水处理厂的除外</w:t>
                  </w:r>
                  <w:r>
                    <w:rPr>
                      <w:rFonts w:hint="eastAsia"/>
                      <w:color w:val="auto"/>
                      <w:highlight w:val="none"/>
                    </w:rPr>
                    <w:t>）</w:t>
                  </w:r>
                  <w:r>
                    <w:rPr>
                      <w:color w:val="auto"/>
                      <w:highlight w:val="none"/>
                    </w:rPr>
                    <w:t>；新增废水直排的污水集中处理厂</w:t>
                  </w:r>
                  <w:r>
                    <w:rPr>
                      <w:rFonts w:hint="eastAsia"/>
                      <w:color w:val="auto"/>
                      <w:highlight w:val="none"/>
                      <w:lang w:eastAsia="zh-CN"/>
                    </w:rPr>
                    <w:t>。</w:t>
                  </w:r>
                </w:p>
              </w:tc>
              <w:tc>
                <w:tcPr>
                  <w:tcW w:w="2225" w:type="dxa"/>
                  <w:tcBorders>
                    <w:tl2br w:val="nil"/>
                    <w:tr2bl w:val="nil"/>
                  </w:tcBorders>
                  <w:vAlign w:val="center"/>
                </w:tcPr>
                <w:p w14:paraId="2A3DB85F">
                  <w:pPr>
                    <w:pStyle w:val="27"/>
                    <w:rPr>
                      <w:rFonts w:hint="eastAsia" w:eastAsia="宋体"/>
                      <w:color w:val="auto"/>
                      <w:highlight w:val="none"/>
                      <w:lang w:eastAsia="zh-CN"/>
                    </w:rPr>
                  </w:pPr>
                  <w:r>
                    <w:rPr>
                      <w:color w:val="auto"/>
                      <w:highlight w:val="none"/>
                    </w:rPr>
                    <w:t>本项目污水经化粪池收集后，定期拉运至杭锦旗锡尼镇污水处理厂处理</w:t>
                  </w:r>
                  <w:r>
                    <w:rPr>
                      <w:rFonts w:hint="eastAsia"/>
                      <w:color w:val="auto"/>
                      <w:highlight w:val="none"/>
                    </w:rPr>
                    <w:t>，</w:t>
                  </w:r>
                  <w:r>
                    <w:rPr>
                      <w:color w:val="auto"/>
                      <w:highlight w:val="none"/>
                    </w:rPr>
                    <w:t>不外排</w:t>
                  </w:r>
                  <w:r>
                    <w:rPr>
                      <w:rFonts w:hint="eastAsia"/>
                      <w:color w:val="auto"/>
                      <w:highlight w:val="none"/>
                      <w:lang w:eastAsia="zh-CN"/>
                    </w:rPr>
                    <w:t>。</w:t>
                  </w:r>
                </w:p>
              </w:tc>
              <w:tc>
                <w:tcPr>
                  <w:tcW w:w="800" w:type="dxa"/>
                  <w:tcBorders>
                    <w:tl2br w:val="nil"/>
                    <w:tr2bl w:val="nil"/>
                  </w:tcBorders>
                  <w:vAlign w:val="center"/>
                </w:tcPr>
                <w:p w14:paraId="099B2C3A">
                  <w:pPr>
                    <w:pStyle w:val="27"/>
                    <w:rPr>
                      <w:color w:val="auto"/>
                      <w:highlight w:val="none"/>
                    </w:rPr>
                  </w:pPr>
                  <w:r>
                    <w:rPr>
                      <w:rFonts w:hint="eastAsia"/>
                      <w:color w:val="auto"/>
                      <w:highlight w:val="none"/>
                    </w:rPr>
                    <w:t>不设置</w:t>
                  </w:r>
                </w:p>
              </w:tc>
            </w:tr>
            <w:tr w14:paraId="16D5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88" w:type="dxa"/>
                  <w:tcBorders>
                    <w:tl2br w:val="nil"/>
                    <w:tr2bl w:val="nil"/>
                  </w:tcBorders>
                  <w:vAlign w:val="center"/>
                </w:tcPr>
                <w:p w14:paraId="72405466">
                  <w:pPr>
                    <w:pStyle w:val="27"/>
                    <w:rPr>
                      <w:color w:val="auto"/>
                      <w:highlight w:val="none"/>
                    </w:rPr>
                  </w:pPr>
                  <w:r>
                    <w:rPr>
                      <w:color w:val="auto"/>
                      <w:highlight w:val="none"/>
                    </w:rPr>
                    <w:t>环境风险</w:t>
                  </w:r>
                </w:p>
              </w:tc>
              <w:tc>
                <w:tcPr>
                  <w:tcW w:w="2568" w:type="dxa"/>
                  <w:tcBorders>
                    <w:tl2br w:val="nil"/>
                    <w:tr2bl w:val="nil"/>
                  </w:tcBorders>
                  <w:vAlign w:val="center"/>
                </w:tcPr>
                <w:p w14:paraId="46DEE790">
                  <w:pPr>
                    <w:pStyle w:val="27"/>
                    <w:rPr>
                      <w:rFonts w:hint="eastAsia" w:eastAsia="宋体"/>
                      <w:color w:val="auto"/>
                      <w:highlight w:val="none"/>
                      <w:lang w:eastAsia="zh-CN"/>
                    </w:rPr>
                  </w:pPr>
                  <w:r>
                    <w:rPr>
                      <w:color w:val="auto"/>
                      <w:highlight w:val="none"/>
                    </w:rPr>
                    <w:t>有毒有害和易燃易爆危险物质存储量超过临界量</w:t>
                  </w:r>
                  <w:r>
                    <w:rPr>
                      <w:rFonts w:hint="eastAsia"/>
                      <w:color w:val="auto"/>
                      <w:highlight w:val="none"/>
                      <w:vertAlign w:val="superscript"/>
                      <w:lang w:val="en-US" w:eastAsia="zh-CN"/>
                    </w:rPr>
                    <w:t>3</w:t>
                  </w:r>
                  <w:r>
                    <w:rPr>
                      <w:color w:val="auto"/>
                      <w:highlight w:val="none"/>
                    </w:rPr>
                    <w:t>的建设项目</w:t>
                  </w:r>
                  <w:r>
                    <w:rPr>
                      <w:rFonts w:hint="eastAsia"/>
                      <w:color w:val="auto"/>
                      <w:highlight w:val="none"/>
                      <w:lang w:eastAsia="zh-CN"/>
                    </w:rPr>
                    <w:t>。</w:t>
                  </w:r>
                </w:p>
              </w:tc>
              <w:tc>
                <w:tcPr>
                  <w:tcW w:w="2225" w:type="dxa"/>
                  <w:tcBorders>
                    <w:tl2br w:val="nil"/>
                    <w:tr2bl w:val="nil"/>
                  </w:tcBorders>
                  <w:vAlign w:val="center"/>
                </w:tcPr>
                <w:p w14:paraId="69178464">
                  <w:pPr>
                    <w:pStyle w:val="27"/>
                    <w:rPr>
                      <w:rFonts w:hint="eastAsia" w:eastAsia="宋体"/>
                      <w:color w:val="auto"/>
                      <w:highlight w:val="none"/>
                      <w:lang w:eastAsia="zh-CN"/>
                    </w:rPr>
                  </w:pPr>
                  <w:r>
                    <w:rPr>
                      <w:color w:val="auto"/>
                      <w:highlight w:val="none"/>
                    </w:rPr>
                    <w:t>不设置，本项目有毒有害和易燃易爆危险物质存储量未超过临界量</w:t>
                  </w:r>
                  <w:r>
                    <w:rPr>
                      <w:rFonts w:hint="eastAsia"/>
                      <w:color w:val="auto"/>
                      <w:highlight w:val="none"/>
                      <w:lang w:eastAsia="zh-CN"/>
                    </w:rPr>
                    <w:t>。</w:t>
                  </w:r>
                </w:p>
              </w:tc>
              <w:tc>
                <w:tcPr>
                  <w:tcW w:w="800" w:type="dxa"/>
                  <w:tcBorders>
                    <w:tl2br w:val="nil"/>
                    <w:tr2bl w:val="nil"/>
                  </w:tcBorders>
                  <w:vAlign w:val="center"/>
                </w:tcPr>
                <w:p w14:paraId="3A829AC7">
                  <w:pPr>
                    <w:pStyle w:val="27"/>
                    <w:rPr>
                      <w:color w:val="auto"/>
                      <w:highlight w:val="none"/>
                    </w:rPr>
                  </w:pPr>
                  <w:r>
                    <w:rPr>
                      <w:rFonts w:hint="eastAsia"/>
                      <w:color w:val="auto"/>
                      <w:highlight w:val="none"/>
                    </w:rPr>
                    <w:t>不设置</w:t>
                  </w:r>
                </w:p>
              </w:tc>
            </w:tr>
            <w:tr w14:paraId="5116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8" w:type="dxa"/>
                  <w:tcBorders>
                    <w:tl2br w:val="nil"/>
                    <w:tr2bl w:val="nil"/>
                  </w:tcBorders>
                  <w:vAlign w:val="center"/>
                </w:tcPr>
                <w:p w14:paraId="3260512C">
                  <w:pPr>
                    <w:pStyle w:val="27"/>
                    <w:rPr>
                      <w:color w:val="auto"/>
                      <w:highlight w:val="none"/>
                    </w:rPr>
                  </w:pPr>
                  <w:r>
                    <w:rPr>
                      <w:color w:val="auto"/>
                      <w:highlight w:val="none"/>
                    </w:rPr>
                    <w:t>生态</w:t>
                  </w:r>
                </w:p>
              </w:tc>
              <w:tc>
                <w:tcPr>
                  <w:tcW w:w="2568" w:type="dxa"/>
                  <w:tcBorders>
                    <w:tl2br w:val="nil"/>
                    <w:tr2bl w:val="nil"/>
                  </w:tcBorders>
                  <w:vAlign w:val="center"/>
                </w:tcPr>
                <w:p w14:paraId="14D7D089">
                  <w:pPr>
                    <w:pStyle w:val="27"/>
                    <w:rPr>
                      <w:rFonts w:hint="eastAsia" w:eastAsia="宋体"/>
                      <w:color w:val="auto"/>
                      <w:highlight w:val="none"/>
                      <w:lang w:eastAsia="zh-CN"/>
                    </w:rPr>
                  </w:pPr>
                  <w:r>
                    <w:rPr>
                      <w:color w:val="auto"/>
                      <w:highlight w:val="none"/>
                    </w:rPr>
                    <w:t>取水口下游500米范围内有重要水生生物的自然产卵场、索饵场、越冬场和洄游通道</w:t>
                  </w:r>
                  <w:r>
                    <w:rPr>
                      <w:rFonts w:hint="eastAsia"/>
                      <w:color w:val="auto"/>
                      <w:highlight w:val="none"/>
                      <w:lang w:eastAsia="zh-CN"/>
                    </w:rPr>
                    <w:t>等，</w:t>
                  </w:r>
                  <w:r>
                    <w:rPr>
                      <w:color w:val="auto"/>
                      <w:highlight w:val="none"/>
                    </w:rPr>
                    <w:t>新增河道取水的污染类建设项目</w:t>
                  </w:r>
                  <w:r>
                    <w:rPr>
                      <w:rFonts w:hint="eastAsia"/>
                      <w:color w:val="auto"/>
                      <w:highlight w:val="none"/>
                      <w:lang w:eastAsia="zh-CN"/>
                    </w:rPr>
                    <w:t>。</w:t>
                  </w:r>
                </w:p>
              </w:tc>
              <w:tc>
                <w:tcPr>
                  <w:tcW w:w="2225" w:type="dxa"/>
                  <w:tcBorders>
                    <w:tl2br w:val="nil"/>
                    <w:tr2bl w:val="nil"/>
                  </w:tcBorders>
                  <w:vAlign w:val="center"/>
                </w:tcPr>
                <w:p w14:paraId="62E9DE02">
                  <w:pPr>
                    <w:pStyle w:val="27"/>
                    <w:rPr>
                      <w:rFonts w:hint="eastAsia" w:eastAsia="宋体"/>
                      <w:color w:val="auto"/>
                      <w:highlight w:val="none"/>
                      <w:lang w:eastAsia="zh-CN"/>
                    </w:rPr>
                  </w:pPr>
                  <w:r>
                    <w:rPr>
                      <w:color w:val="auto"/>
                      <w:highlight w:val="none"/>
                    </w:rPr>
                    <w:t>不涉及</w:t>
                  </w:r>
                  <w:r>
                    <w:rPr>
                      <w:rFonts w:hint="eastAsia"/>
                      <w:color w:val="auto"/>
                      <w:highlight w:val="none"/>
                      <w:lang w:eastAsia="zh-CN"/>
                    </w:rPr>
                    <w:t>。</w:t>
                  </w:r>
                </w:p>
              </w:tc>
              <w:tc>
                <w:tcPr>
                  <w:tcW w:w="800" w:type="dxa"/>
                  <w:tcBorders>
                    <w:tl2br w:val="nil"/>
                    <w:tr2bl w:val="nil"/>
                  </w:tcBorders>
                  <w:vAlign w:val="center"/>
                </w:tcPr>
                <w:p w14:paraId="7730C16A">
                  <w:pPr>
                    <w:pStyle w:val="27"/>
                    <w:rPr>
                      <w:color w:val="auto"/>
                      <w:highlight w:val="none"/>
                    </w:rPr>
                  </w:pPr>
                  <w:r>
                    <w:rPr>
                      <w:rFonts w:hint="eastAsia"/>
                      <w:color w:val="auto"/>
                      <w:highlight w:val="none"/>
                    </w:rPr>
                    <w:t>不设置</w:t>
                  </w:r>
                </w:p>
              </w:tc>
            </w:tr>
            <w:tr w14:paraId="59C13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8" w:type="dxa"/>
                  <w:tcBorders>
                    <w:tl2br w:val="nil"/>
                    <w:tr2bl w:val="nil"/>
                  </w:tcBorders>
                  <w:vAlign w:val="center"/>
                </w:tcPr>
                <w:p w14:paraId="3806CCC9">
                  <w:pPr>
                    <w:pStyle w:val="27"/>
                    <w:rPr>
                      <w:color w:val="auto"/>
                      <w:highlight w:val="none"/>
                    </w:rPr>
                  </w:pPr>
                  <w:r>
                    <w:rPr>
                      <w:color w:val="auto"/>
                      <w:highlight w:val="none"/>
                    </w:rPr>
                    <w:t>海洋</w:t>
                  </w:r>
                </w:p>
              </w:tc>
              <w:tc>
                <w:tcPr>
                  <w:tcW w:w="2568" w:type="dxa"/>
                  <w:tcBorders>
                    <w:tl2br w:val="nil"/>
                    <w:tr2bl w:val="nil"/>
                  </w:tcBorders>
                  <w:vAlign w:val="center"/>
                </w:tcPr>
                <w:p w14:paraId="7EC41817">
                  <w:pPr>
                    <w:pStyle w:val="27"/>
                    <w:rPr>
                      <w:rFonts w:hint="eastAsia" w:eastAsia="宋体"/>
                      <w:color w:val="auto"/>
                      <w:highlight w:val="none"/>
                      <w:lang w:eastAsia="zh-CN"/>
                    </w:rPr>
                  </w:pPr>
                  <w:r>
                    <w:rPr>
                      <w:color w:val="auto"/>
                      <w:highlight w:val="none"/>
                    </w:rPr>
                    <w:t>直接向海排放污染物的海洋工程建设项目</w:t>
                  </w:r>
                  <w:r>
                    <w:rPr>
                      <w:rFonts w:hint="eastAsia"/>
                      <w:color w:val="auto"/>
                      <w:highlight w:val="none"/>
                      <w:lang w:eastAsia="zh-CN"/>
                    </w:rPr>
                    <w:t>。</w:t>
                  </w:r>
                </w:p>
              </w:tc>
              <w:tc>
                <w:tcPr>
                  <w:tcW w:w="2225" w:type="dxa"/>
                  <w:tcBorders>
                    <w:tl2br w:val="nil"/>
                    <w:tr2bl w:val="nil"/>
                  </w:tcBorders>
                  <w:vAlign w:val="center"/>
                </w:tcPr>
                <w:p w14:paraId="2B9D982E">
                  <w:pPr>
                    <w:pStyle w:val="27"/>
                    <w:rPr>
                      <w:rFonts w:hint="eastAsia" w:eastAsia="宋体"/>
                      <w:color w:val="auto"/>
                      <w:highlight w:val="none"/>
                      <w:lang w:eastAsia="zh-CN"/>
                    </w:rPr>
                  </w:pPr>
                  <w:r>
                    <w:rPr>
                      <w:color w:val="auto"/>
                      <w:highlight w:val="none"/>
                    </w:rPr>
                    <w:t>不涉及</w:t>
                  </w:r>
                  <w:r>
                    <w:rPr>
                      <w:rFonts w:hint="eastAsia"/>
                      <w:color w:val="auto"/>
                      <w:highlight w:val="none"/>
                      <w:lang w:eastAsia="zh-CN"/>
                    </w:rPr>
                    <w:t>。</w:t>
                  </w:r>
                </w:p>
              </w:tc>
              <w:tc>
                <w:tcPr>
                  <w:tcW w:w="800" w:type="dxa"/>
                  <w:tcBorders>
                    <w:tl2br w:val="nil"/>
                    <w:tr2bl w:val="nil"/>
                  </w:tcBorders>
                  <w:vAlign w:val="center"/>
                </w:tcPr>
                <w:p w14:paraId="7B06BAE9">
                  <w:pPr>
                    <w:pStyle w:val="27"/>
                    <w:rPr>
                      <w:color w:val="auto"/>
                      <w:highlight w:val="none"/>
                    </w:rPr>
                  </w:pPr>
                  <w:r>
                    <w:rPr>
                      <w:rFonts w:hint="eastAsia"/>
                      <w:color w:val="auto"/>
                      <w:highlight w:val="none"/>
                    </w:rPr>
                    <w:t>不设置</w:t>
                  </w:r>
                </w:p>
              </w:tc>
            </w:tr>
            <w:tr w14:paraId="67C64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1" w:type="dxa"/>
                  <w:gridSpan w:val="4"/>
                  <w:tcBorders>
                    <w:tl2br w:val="nil"/>
                    <w:tr2bl w:val="nil"/>
                  </w:tcBorders>
                  <w:vAlign w:val="center"/>
                </w:tcPr>
                <w:p w14:paraId="3C5F93BF">
                  <w:pPr>
                    <w:pStyle w:val="27"/>
                    <w:jc w:val="left"/>
                    <w:rPr>
                      <w:color w:val="auto"/>
                      <w:highlight w:val="none"/>
                    </w:rPr>
                  </w:pPr>
                  <w:r>
                    <w:rPr>
                      <w:color w:val="auto"/>
                      <w:highlight w:val="none"/>
                    </w:rPr>
                    <w:t>注：1</w:t>
                  </w:r>
                  <w:r>
                    <w:rPr>
                      <w:rFonts w:hint="eastAsia"/>
                      <w:color w:val="auto"/>
                      <w:highlight w:val="none"/>
                    </w:rPr>
                    <w:t>.</w:t>
                  </w:r>
                  <w:r>
                    <w:rPr>
                      <w:color w:val="auto"/>
                      <w:highlight w:val="none"/>
                    </w:rPr>
                    <w:t>废气中有毒有害污染物</w:t>
                  </w:r>
                  <w:r>
                    <w:rPr>
                      <w:rFonts w:hint="eastAsia"/>
                      <w:color w:val="auto"/>
                      <w:highlight w:val="none"/>
                    </w:rPr>
                    <w:t>是</w:t>
                  </w:r>
                  <w:r>
                    <w:rPr>
                      <w:color w:val="auto"/>
                      <w:highlight w:val="none"/>
                    </w:rPr>
                    <w:t>指纳入《有毒有害大气污染物名录》的污染物</w:t>
                  </w:r>
                  <w:r>
                    <w:rPr>
                      <w:rFonts w:hint="eastAsia"/>
                      <w:color w:val="auto"/>
                      <w:highlight w:val="none"/>
                    </w:rPr>
                    <w:t>（</w:t>
                  </w:r>
                  <w:r>
                    <w:rPr>
                      <w:color w:val="auto"/>
                      <w:highlight w:val="none"/>
                    </w:rPr>
                    <w:t>不包括无排放标准的污染物</w:t>
                  </w:r>
                  <w:r>
                    <w:rPr>
                      <w:rFonts w:hint="eastAsia"/>
                      <w:color w:val="auto"/>
                      <w:highlight w:val="none"/>
                    </w:rPr>
                    <w:t>）</w:t>
                  </w:r>
                  <w:r>
                    <w:rPr>
                      <w:color w:val="auto"/>
                      <w:highlight w:val="none"/>
                    </w:rPr>
                    <w:t>。</w:t>
                  </w:r>
                </w:p>
                <w:p w14:paraId="649934CB">
                  <w:pPr>
                    <w:pStyle w:val="27"/>
                    <w:jc w:val="left"/>
                    <w:rPr>
                      <w:color w:val="auto"/>
                      <w:highlight w:val="none"/>
                    </w:rPr>
                  </w:pPr>
                  <w:r>
                    <w:rPr>
                      <w:color w:val="auto"/>
                      <w:highlight w:val="none"/>
                    </w:rPr>
                    <w:t>2</w:t>
                  </w:r>
                  <w:r>
                    <w:rPr>
                      <w:rFonts w:hint="eastAsia"/>
                      <w:color w:val="auto"/>
                      <w:highlight w:val="none"/>
                    </w:rPr>
                    <w:t>.</w:t>
                  </w:r>
                  <w:r>
                    <w:rPr>
                      <w:color w:val="auto"/>
                      <w:highlight w:val="none"/>
                    </w:rPr>
                    <w:t>环境空气保护目标</w:t>
                  </w:r>
                  <w:r>
                    <w:rPr>
                      <w:rFonts w:hint="eastAsia"/>
                      <w:color w:val="auto"/>
                      <w:highlight w:val="none"/>
                      <w:lang w:eastAsia="zh-CN"/>
                    </w:rPr>
                    <w:t>是</w:t>
                  </w:r>
                  <w:r>
                    <w:rPr>
                      <w:color w:val="auto"/>
                      <w:highlight w:val="none"/>
                    </w:rPr>
                    <w:t>指自然保护区、风景名胜区、居住区、文化区和农村地区中人群较集中的区域。</w:t>
                  </w:r>
                </w:p>
                <w:p w14:paraId="0F7BC008">
                  <w:pPr>
                    <w:pStyle w:val="27"/>
                    <w:jc w:val="left"/>
                    <w:rPr>
                      <w:color w:val="auto"/>
                      <w:highlight w:val="none"/>
                    </w:rPr>
                  </w:pPr>
                  <w:r>
                    <w:rPr>
                      <w:color w:val="auto"/>
                      <w:highlight w:val="none"/>
                    </w:rPr>
                    <w:t>3</w:t>
                  </w:r>
                  <w:r>
                    <w:rPr>
                      <w:rFonts w:hint="eastAsia"/>
                      <w:color w:val="auto"/>
                      <w:highlight w:val="none"/>
                    </w:rPr>
                    <w:t>.</w:t>
                  </w:r>
                  <w:r>
                    <w:rPr>
                      <w:color w:val="auto"/>
                      <w:highlight w:val="none"/>
                    </w:rPr>
                    <w:t>临界量及其计算方法可参考《建设项目环境风险评价技术导则》</w:t>
                  </w:r>
                  <w:r>
                    <w:rPr>
                      <w:rFonts w:hint="eastAsia"/>
                      <w:color w:val="auto"/>
                      <w:highlight w:val="none"/>
                    </w:rPr>
                    <w:t>（</w:t>
                  </w:r>
                  <w:r>
                    <w:rPr>
                      <w:color w:val="auto"/>
                      <w:highlight w:val="none"/>
                    </w:rPr>
                    <w:t>HJ169</w:t>
                  </w:r>
                  <w:r>
                    <w:rPr>
                      <w:rFonts w:hint="eastAsia"/>
                      <w:color w:val="auto"/>
                      <w:highlight w:val="none"/>
                    </w:rPr>
                    <w:t>）</w:t>
                  </w:r>
                  <w:r>
                    <w:rPr>
                      <w:color w:val="auto"/>
                      <w:highlight w:val="none"/>
                    </w:rPr>
                    <w:t>附录B、附录C。</w:t>
                  </w:r>
                </w:p>
              </w:tc>
            </w:tr>
          </w:tbl>
          <w:p w14:paraId="12B17EEC">
            <w:pPr>
              <w:autoSpaceDE w:val="0"/>
              <w:autoSpaceDN w:val="0"/>
              <w:adjustRightInd w:val="0"/>
              <w:snapToGrid w:val="0"/>
              <w:spacing w:beforeLines="50" w:line="360" w:lineRule="auto"/>
              <w:ind w:firstLine="480" w:firstLineChars="200"/>
              <w:jc w:val="left"/>
              <w:rPr>
                <w:color w:val="auto"/>
                <w:kern w:val="0"/>
                <w:sz w:val="24"/>
                <w:highlight w:val="none"/>
              </w:rPr>
            </w:pPr>
            <w:r>
              <w:rPr>
                <w:color w:val="auto"/>
                <w:sz w:val="24"/>
                <w:highlight w:val="none"/>
              </w:rPr>
              <w:t>由上表可以看出，本项目不需设置专项评价。</w:t>
            </w:r>
          </w:p>
        </w:tc>
      </w:tr>
      <w:tr w14:paraId="101AE8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2123" w:type="dxa"/>
            <w:vAlign w:val="center"/>
          </w:tcPr>
          <w:p w14:paraId="5006E534">
            <w:pPr>
              <w:autoSpaceDE w:val="0"/>
              <w:autoSpaceDN w:val="0"/>
              <w:adjustRightInd w:val="0"/>
              <w:snapToGrid w:val="0"/>
              <w:jc w:val="center"/>
              <w:rPr>
                <w:color w:val="auto"/>
                <w:kern w:val="0"/>
                <w:sz w:val="24"/>
                <w:highlight w:val="none"/>
              </w:rPr>
            </w:pPr>
            <w:r>
              <w:rPr>
                <w:color w:val="auto"/>
                <w:sz w:val="24"/>
                <w:highlight w:val="none"/>
              </w:rPr>
              <w:t>规划情况</w:t>
            </w:r>
          </w:p>
        </w:tc>
        <w:tc>
          <w:tcPr>
            <w:tcW w:w="6698" w:type="dxa"/>
            <w:gridSpan w:val="3"/>
            <w:vAlign w:val="center"/>
          </w:tcPr>
          <w:p w14:paraId="6B3F7B06">
            <w:pPr>
              <w:autoSpaceDE w:val="0"/>
              <w:autoSpaceDN w:val="0"/>
              <w:adjustRightInd w:val="0"/>
              <w:snapToGrid w:val="0"/>
              <w:jc w:val="center"/>
              <w:rPr>
                <w:color w:val="auto"/>
                <w:kern w:val="0"/>
                <w:sz w:val="24"/>
                <w:highlight w:val="none"/>
              </w:rPr>
            </w:pPr>
            <w:r>
              <w:rPr>
                <w:color w:val="auto"/>
                <w:kern w:val="0"/>
                <w:sz w:val="24"/>
                <w:highlight w:val="none"/>
              </w:rPr>
              <w:t>无</w:t>
            </w:r>
          </w:p>
        </w:tc>
      </w:tr>
      <w:tr w14:paraId="2AA172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2123" w:type="dxa"/>
            <w:vAlign w:val="center"/>
          </w:tcPr>
          <w:p w14:paraId="2E93FB8F">
            <w:pPr>
              <w:adjustRightInd w:val="0"/>
              <w:snapToGrid w:val="0"/>
              <w:jc w:val="center"/>
              <w:rPr>
                <w:color w:val="auto"/>
                <w:sz w:val="24"/>
                <w:highlight w:val="none"/>
              </w:rPr>
            </w:pPr>
            <w:r>
              <w:rPr>
                <w:color w:val="auto"/>
                <w:sz w:val="24"/>
                <w:highlight w:val="none"/>
              </w:rPr>
              <w:t>规划环境影响</w:t>
            </w:r>
          </w:p>
          <w:p w14:paraId="24610F15">
            <w:pPr>
              <w:adjustRightInd w:val="0"/>
              <w:snapToGrid w:val="0"/>
              <w:jc w:val="center"/>
              <w:rPr>
                <w:color w:val="auto"/>
                <w:kern w:val="0"/>
                <w:sz w:val="24"/>
                <w:highlight w:val="none"/>
              </w:rPr>
            </w:pPr>
            <w:r>
              <w:rPr>
                <w:color w:val="auto"/>
                <w:sz w:val="24"/>
                <w:highlight w:val="none"/>
              </w:rPr>
              <w:t>评价情况</w:t>
            </w:r>
          </w:p>
        </w:tc>
        <w:tc>
          <w:tcPr>
            <w:tcW w:w="6698" w:type="dxa"/>
            <w:gridSpan w:val="3"/>
            <w:vAlign w:val="center"/>
          </w:tcPr>
          <w:p w14:paraId="389907B1">
            <w:pPr>
              <w:autoSpaceDE w:val="0"/>
              <w:autoSpaceDN w:val="0"/>
              <w:adjustRightInd w:val="0"/>
              <w:snapToGrid w:val="0"/>
              <w:spacing w:line="360" w:lineRule="auto"/>
              <w:jc w:val="center"/>
              <w:rPr>
                <w:color w:val="auto"/>
                <w:kern w:val="0"/>
                <w:sz w:val="24"/>
                <w:highlight w:val="none"/>
              </w:rPr>
            </w:pPr>
            <w:r>
              <w:rPr>
                <w:color w:val="auto"/>
                <w:kern w:val="0"/>
                <w:sz w:val="24"/>
                <w:highlight w:val="none"/>
              </w:rPr>
              <w:t>无</w:t>
            </w:r>
          </w:p>
        </w:tc>
      </w:tr>
      <w:tr w14:paraId="7A2F63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123" w:type="dxa"/>
            <w:vAlign w:val="center"/>
          </w:tcPr>
          <w:p w14:paraId="54E9E105">
            <w:pPr>
              <w:adjustRightInd w:val="0"/>
              <w:snapToGrid w:val="0"/>
              <w:jc w:val="center"/>
              <w:rPr>
                <w:color w:val="auto"/>
                <w:sz w:val="24"/>
                <w:highlight w:val="none"/>
              </w:rPr>
            </w:pPr>
            <w:r>
              <w:rPr>
                <w:color w:val="auto"/>
                <w:sz w:val="24"/>
                <w:highlight w:val="none"/>
              </w:rPr>
              <w:t>规划及规划环境</w:t>
            </w:r>
          </w:p>
          <w:p w14:paraId="2D59DDE9">
            <w:pPr>
              <w:adjustRightInd w:val="0"/>
              <w:snapToGrid w:val="0"/>
              <w:jc w:val="center"/>
              <w:rPr>
                <w:color w:val="auto"/>
                <w:kern w:val="0"/>
                <w:sz w:val="24"/>
                <w:highlight w:val="none"/>
              </w:rPr>
            </w:pPr>
            <w:r>
              <w:rPr>
                <w:color w:val="auto"/>
                <w:sz w:val="24"/>
                <w:highlight w:val="none"/>
              </w:rPr>
              <w:t>影响评价符合性分析</w:t>
            </w:r>
          </w:p>
        </w:tc>
        <w:tc>
          <w:tcPr>
            <w:tcW w:w="6698" w:type="dxa"/>
            <w:gridSpan w:val="3"/>
            <w:vAlign w:val="center"/>
          </w:tcPr>
          <w:p w14:paraId="4007C1F7">
            <w:pPr>
              <w:autoSpaceDE w:val="0"/>
              <w:autoSpaceDN w:val="0"/>
              <w:adjustRightInd w:val="0"/>
              <w:snapToGrid w:val="0"/>
              <w:spacing w:line="360" w:lineRule="auto"/>
              <w:jc w:val="center"/>
              <w:rPr>
                <w:bCs/>
                <w:color w:val="auto"/>
                <w:kern w:val="0"/>
                <w:sz w:val="24"/>
                <w:highlight w:val="none"/>
              </w:rPr>
            </w:pPr>
            <w:r>
              <w:rPr>
                <w:bCs/>
                <w:color w:val="auto"/>
                <w:kern w:val="0"/>
                <w:sz w:val="24"/>
                <w:highlight w:val="none"/>
              </w:rPr>
              <w:t>无</w:t>
            </w:r>
          </w:p>
        </w:tc>
      </w:tr>
      <w:tr w14:paraId="457CC4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123" w:type="dxa"/>
            <w:vAlign w:val="center"/>
          </w:tcPr>
          <w:p w14:paraId="54C5C004">
            <w:pPr>
              <w:autoSpaceDE w:val="0"/>
              <w:autoSpaceDN w:val="0"/>
              <w:adjustRightInd w:val="0"/>
              <w:snapToGrid w:val="0"/>
              <w:jc w:val="center"/>
              <w:rPr>
                <w:color w:val="auto"/>
                <w:kern w:val="0"/>
                <w:sz w:val="24"/>
                <w:highlight w:val="none"/>
              </w:rPr>
            </w:pPr>
            <w:r>
              <w:rPr>
                <w:color w:val="auto"/>
                <w:kern w:val="0"/>
                <w:sz w:val="24"/>
                <w:highlight w:val="none"/>
              </w:rPr>
              <w:t>其他符合性分析</w:t>
            </w:r>
          </w:p>
        </w:tc>
        <w:tc>
          <w:tcPr>
            <w:tcW w:w="6698" w:type="dxa"/>
            <w:gridSpan w:val="3"/>
            <w:vAlign w:val="center"/>
          </w:tcPr>
          <w:p w14:paraId="5C8E4FB7">
            <w:pPr>
              <w:autoSpaceDE w:val="0"/>
              <w:autoSpaceDN w:val="0"/>
              <w:adjustRightInd w:val="0"/>
              <w:snapToGrid w:val="0"/>
              <w:spacing w:line="360" w:lineRule="auto"/>
              <w:ind w:firstLine="480" w:firstLineChars="200"/>
              <w:jc w:val="left"/>
              <w:rPr>
                <w:color w:val="auto"/>
                <w:sz w:val="24"/>
                <w:highlight w:val="none"/>
              </w:rPr>
            </w:pPr>
            <w:r>
              <w:rPr>
                <w:color w:val="auto"/>
                <w:sz w:val="24"/>
                <w:highlight w:val="none"/>
              </w:rPr>
              <w:t>1.</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三线一单</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符合</w:t>
            </w:r>
            <w:r>
              <w:rPr>
                <w:color w:val="auto"/>
                <w:sz w:val="24"/>
                <w:highlight w:val="none"/>
              </w:rPr>
              <w:t>性分析</w:t>
            </w:r>
          </w:p>
          <w:p w14:paraId="5AA36913">
            <w:pPr>
              <w:autoSpaceDE w:val="0"/>
              <w:autoSpaceDN w:val="0"/>
              <w:adjustRightInd w:val="0"/>
              <w:snapToGrid w:val="0"/>
              <w:spacing w:line="360" w:lineRule="auto"/>
              <w:ind w:firstLine="480" w:firstLineChars="200"/>
              <w:jc w:val="left"/>
              <w:rPr>
                <w:color w:val="auto"/>
                <w:sz w:val="24"/>
                <w:highlight w:val="none"/>
              </w:rPr>
            </w:pPr>
            <w:r>
              <w:rPr>
                <w:color w:val="auto"/>
                <w:sz w:val="24"/>
                <w:highlight w:val="none"/>
              </w:rPr>
              <w:t>（1）生态保护红线</w:t>
            </w:r>
          </w:p>
          <w:p w14:paraId="20CE8657">
            <w:pPr>
              <w:autoSpaceDE w:val="0"/>
              <w:autoSpaceDN w:val="0"/>
              <w:adjustRightInd w:val="0"/>
              <w:snapToGrid w:val="0"/>
              <w:spacing w:line="360" w:lineRule="auto"/>
              <w:ind w:firstLine="480" w:firstLineChars="200"/>
              <w:jc w:val="left"/>
              <w:rPr>
                <w:bCs/>
                <w:color w:val="auto"/>
                <w:sz w:val="24"/>
                <w:highlight w:val="none"/>
              </w:rPr>
            </w:pPr>
            <w:r>
              <w:rPr>
                <w:bCs/>
                <w:color w:val="auto"/>
                <w:sz w:val="24"/>
                <w:highlight w:val="none"/>
              </w:rPr>
              <w:t>根据《鄂尔多斯市生态环境分区管控动态更新成果（2023年版）》，全市按优先保护、重点管控、一般管控三大类划分为171个环境管控单元。其中，优先保护单元76个，面积占比64.35%；重点管控单元86个，面积占比28.10%；一般管控单元9个，面积占比7.56%。优先保护单元突出系统性保护，保持空间格局基本稳定，部分单元结合生态保护红线予以调整；重点管控单元突出精细化管理，空间格局与环境治理格局相匹配，部分单元根据产业园区、矿区和城镇开发边界进行调整；一般管控单元保持基本稳定，为经济社会发展和生态环境保护预留空间。</w:t>
            </w:r>
          </w:p>
          <w:p w14:paraId="0D252649">
            <w:pPr>
              <w:autoSpaceDE w:val="0"/>
              <w:autoSpaceDN w:val="0"/>
              <w:adjustRightInd w:val="0"/>
              <w:snapToGrid w:val="0"/>
              <w:spacing w:line="360" w:lineRule="auto"/>
              <w:ind w:firstLine="480" w:firstLineChars="200"/>
              <w:jc w:val="left"/>
              <w:rPr>
                <w:bCs/>
                <w:color w:val="auto"/>
                <w:sz w:val="24"/>
                <w:highlight w:val="none"/>
              </w:rPr>
            </w:pPr>
            <w:r>
              <w:rPr>
                <w:bCs/>
                <w:color w:val="auto"/>
                <w:sz w:val="24"/>
                <w:highlight w:val="none"/>
              </w:rPr>
              <w:t>本项目位于锡尼镇巴音布拉格嘎查，</w:t>
            </w:r>
            <w:r>
              <w:rPr>
                <w:color w:val="auto"/>
                <w:sz w:val="24"/>
                <w:highlight w:val="none"/>
              </w:rPr>
              <w:t>所在地为优先保护单元。</w:t>
            </w:r>
            <w:r>
              <w:rPr>
                <w:bCs/>
                <w:color w:val="auto"/>
                <w:sz w:val="24"/>
                <w:highlight w:val="none"/>
              </w:rPr>
              <w:t>经调查评价范围内无饮用水水源地、自然保护区、风景名胜区等特殊环境敏感区，不涉及生态环境脆弱区、禁止开发区域以及其他各类保护地，项目的建设符合生态保护红线的要求。</w:t>
            </w:r>
          </w:p>
          <w:p w14:paraId="0AAEC7A2">
            <w:pPr>
              <w:autoSpaceDE w:val="0"/>
              <w:autoSpaceDN w:val="0"/>
              <w:adjustRightInd w:val="0"/>
              <w:snapToGrid w:val="0"/>
              <w:spacing w:line="360" w:lineRule="auto"/>
              <w:ind w:firstLine="480" w:firstLineChars="200"/>
              <w:jc w:val="left"/>
              <w:rPr>
                <w:rFonts w:hint="default"/>
                <w:bCs/>
                <w:color w:val="auto"/>
                <w:sz w:val="24"/>
                <w:highlight w:val="none"/>
                <w:lang w:val="en-US" w:eastAsia="zh-CN"/>
              </w:rPr>
            </w:pPr>
            <w:r>
              <w:rPr>
                <w:rFonts w:hint="eastAsia"/>
                <w:bCs/>
                <w:color w:val="auto"/>
                <w:sz w:val="24"/>
                <w:highlight w:val="none"/>
                <w:lang w:val="en-US" w:eastAsia="zh-CN"/>
              </w:rPr>
              <w:t>2025年9月17日，经杭锦旗自然资源局查询，本项目用地未划入杭锦旗生态保护红线，未划入杭锦旗永久基本农田，不在杭锦旗城镇开发边界内。</w:t>
            </w:r>
          </w:p>
          <w:p w14:paraId="7C16138A">
            <w:pPr>
              <w:autoSpaceDE w:val="0"/>
              <w:autoSpaceDN w:val="0"/>
              <w:adjustRightInd w:val="0"/>
              <w:snapToGrid w:val="0"/>
              <w:spacing w:line="360" w:lineRule="auto"/>
              <w:ind w:firstLine="480" w:firstLineChars="200"/>
              <w:jc w:val="left"/>
              <w:rPr>
                <w:bCs/>
                <w:color w:val="auto"/>
                <w:sz w:val="24"/>
                <w:highlight w:val="none"/>
              </w:rPr>
            </w:pPr>
            <w:r>
              <w:rPr>
                <w:bCs/>
                <w:color w:val="auto"/>
                <w:sz w:val="24"/>
                <w:highlight w:val="none"/>
              </w:rPr>
              <w:t>综上所述，本项目符合生态保护红线的要求。</w:t>
            </w:r>
          </w:p>
          <w:p w14:paraId="46D25D01">
            <w:pPr>
              <w:autoSpaceDE w:val="0"/>
              <w:autoSpaceDN w:val="0"/>
              <w:adjustRightInd w:val="0"/>
              <w:snapToGrid w:val="0"/>
              <w:spacing w:line="360" w:lineRule="auto"/>
              <w:ind w:firstLine="480" w:firstLineChars="200"/>
              <w:jc w:val="left"/>
              <w:rPr>
                <w:color w:val="auto"/>
                <w:sz w:val="24"/>
                <w:highlight w:val="none"/>
              </w:rPr>
            </w:pPr>
            <w:r>
              <w:rPr>
                <w:color w:val="auto"/>
                <w:sz w:val="24"/>
                <w:highlight w:val="none"/>
              </w:rPr>
              <w:t>（2）环境质量底线</w:t>
            </w:r>
          </w:p>
          <w:p w14:paraId="66096636">
            <w:pPr>
              <w:autoSpaceDE w:val="0"/>
              <w:autoSpaceDN w:val="0"/>
              <w:adjustRightInd w:val="0"/>
              <w:snapToGrid w:val="0"/>
              <w:spacing w:line="360" w:lineRule="auto"/>
              <w:ind w:firstLine="480" w:firstLineChars="200"/>
              <w:jc w:val="left"/>
              <w:rPr>
                <w:bCs/>
                <w:color w:val="auto"/>
                <w:sz w:val="24"/>
                <w:highlight w:val="none"/>
              </w:rPr>
            </w:pPr>
            <w:r>
              <w:rPr>
                <w:bCs/>
                <w:color w:val="auto"/>
                <w:sz w:val="24"/>
                <w:highlight w:val="none"/>
              </w:rPr>
              <w:t>2025年6月，内蒙古自治区生态环境厅发布《2024年内蒙古自治区生态环境状况公报》，报告指出</w:t>
            </w:r>
            <w:r>
              <w:rPr>
                <w:rFonts w:hint="eastAsia"/>
                <w:bCs/>
                <w:color w:val="auto"/>
                <w:sz w:val="24"/>
                <w:highlight w:val="none"/>
                <w:lang w:eastAsia="zh-CN"/>
              </w:rPr>
              <w:t>“</w:t>
            </w:r>
            <w:r>
              <w:rPr>
                <w:bCs/>
                <w:color w:val="auto"/>
                <w:sz w:val="24"/>
                <w:highlight w:val="none"/>
              </w:rPr>
              <w:t>2024年，全区环境空气六项污染物年均浓度均达标</w:t>
            </w:r>
            <w:r>
              <w:rPr>
                <w:rFonts w:hint="eastAsia"/>
                <w:bCs/>
                <w:color w:val="auto"/>
                <w:sz w:val="24"/>
                <w:highlight w:val="none"/>
                <w:lang w:eastAsia="zh-CN"/>
              </w:rPr>
              <w:t>”</w:t>
            </w:r>
            <w:r>
              <w:rPr>
                <w:bCs/>
                <w:color w:val="auto"/>
                <w:sz w:val="24"/>
                <w:highlight w:val="none"/>
              </w:rPr>
              <w:t>。故项目所在区域为达标区域。根据现状监测数据可知，总悬浮颗粒物、汞满足《环境空气质量标准》（GB3095－2012）二级标准限值要求；氯化氢、氨、硫化氢满足《环境影响评价技术导则 大气环境》（HJ2.2-2018）附录D中浓度限值要求；二噁英</w:t>
            </w:r>
            <w:r>
              <w:rPr>
                <w:rFonts w:hint="eastAsia"/>
                <w:bCs/>
                <w:color w:val="auto"/>
                <w:sz w:val="24"/>
                <w:highlight w:val="none"/>
                <w:lang w:val="en-US" w:eastAsia="zh-CN"/>
              </w:rPr>
              <w:t>满足</w:t>
            </w:r>
            <w:r>
              <w:rPr>
                <w:bCs/>
                <w:color w:val="auto"/>
                <w:sz w:val="24"/>
                <w:highlight w:val="none"/>
              </w:rPr>
              <w:t>日本环境质量标准</w:t>
            </w:r>
            <w:r>
              <w:rPr>
                <w:rFonts w:hint="eastAsia"/>
                <w:bCs/>
                <w:color w:val="auto"/>
                <w:sz w:val="24"/>
                <w:highlight w:val="none"/>
                <w:lang w:eastAsia="zh-CN"/>
              </w:rPr>
              <w:t>（</w:t>
            </w:r>
            <w:r>
              <w:rPr>
                <w:rFonts w:hint="default"/>
                <w:bCs/>
                <w:color w:val="auto"/>
                <w:sz w:val="24"/>
                <w:highlight w:val="none"/>
              </w:rPr>
              <w:t>2002年7月环境省告示第46号</w:t>
            </w:r>
            <w:r>
              <w:rPr>
                <w:rFonts w:hint="eastAsia"/>
                <w:bCs/>
                <w:color w:val="auto"/>
                <w:sz w:val="24"/>
                <w:highlight w:val="none"/>
                <w:lang w:eastAsia="zh-CN"/>
              </w:rPr>
              <w:t>）</w:t>
            </w:r>
            <w:r>
              <w:rPr>
                <w:rFonts w:hint="eastAsia"/>
                <w:bCs/>
                <w:color w:val="auto"/>
                <w:sz w:val="24"/>
                <w:highlight w:val="none"/>
                <w:lang w:val="en-US" w:eastAsia="zh-CN"/>
              </w:rPr>
              <w:t>要求</w:t>
            </w:r>
            <w:r>
              <w:rPr>
                <w:bCs/>
                <w:color w:val="auto"/>
                <w:sz w:val="24"/>
                <w:highlight w:val="none"/>
              </w:rPr>
              <w:t>。综上，项目区域环境空气质量较好。</w:t>
            </w:r>
          </w:p>
          <w:p w14:paraId="4097F7F8">
            <w:pPr>
              <w:autoSpaceDE w:val="0"/>
              <w:autoSpaceDN w:val="0"/>
              <w:adjustRightInd w:val="0"/>
              <w:snapToGrid w:val="0"/>
              <w:spacing w:line="360" w:lineRule="auto"/>
              <w:ind w:firstLine="480" w:firstLineChars="200"/>
              <w:jc w:val="left"/>
              <w:rPr>
                <w:color w:val="auto"/>
                <w:sz w:val="24"/>
                <w:highlight w:val="none"/>
              </w:rPr>
            </w:pPr>
            <w:r>
              <w:rPr>
                <w:bCs/>
                <w:color w:val="auto"/>
                <w:sz w:val="24"/>
                <w:highlight w:val="none"/>
              </w:rPr>
              <w:t>本项目为殡仪馆建设项目，运营过程中会产生一定量的废气、废水、噪声和固体废物，采取相应措施后均可达标排放，不会明显降低区域环境质量现状，符合环境质量底线要求。</w:t>
            </w:r>
          </w:p>
          <w:p w14:paraId="47FE471F">
            <w:pPr>
              <w:autoSpaceDE w:val="0"/>
              <w:autoSpaceDN w:val="0"/>
              <w:adjustRightInd w:val="0"/>
              <w:snapToGrid w:val="0"/>
              <w:spacing w:line="360" w:lineRule="auto"/>
              <w:ind w:firstLine="480" w:firstLineChars="200"/>
              <w:jc w:val="left"/>
              <w:rPr>
                <w:color w:val="auto"/>
                <w:sz w:val="24"/>
                <w:highlight w:val="none"/>
              </w:rPr>
            </w:pPr>
            <w:r>
              <w:rPr>
                <w:color w:val="auto"/>
                <w:sz w:val="24"/>
                <w:highlight w:val="none"/>
              </w:rPr>
              <w:t>（3）资源利用上线</w:t>
            </w:r>
          </w:p>
          <w:p w14:paraId="04B1567D">
            <w:pPr>
              <w:autoSpaceDE w:val="0"/>
              <w:autoSpaceDN w:val="0"/>
              <w:adjustRightInd w:val="0"/>
              <w:snapToGrid w:val="0"/>
              <w:spacing w:line="360" w:lineRule="auto"/>
              <w:ind w:firstLine="480" w:firstLineChars="200"/>
              <w:rPr>
                <w:color w:val="auto"/>
                <w:sz w:val="24"/>
                <w:highlight w:val="none"/>
              </w:rPr>
            </w:pPr>
            <w:r>
              <w:rPr>
                <w:bCs/>
                <w:color w:val="auto"/>
                <w:sz w:val="24"/>
                <w:highlight w:val="none"/>
              </w:rPr>
              <w:t>本项目不属于高污染、高能耗产业类型，项目资源利用包括水、电、土地，项目用水量、用电量和土地使用量相对较小，即项目水、电等资源利用不会突破区域的资源利用上线</w:t>
            </w:r>
            <w:r>
              <w:rPr>
                <w:color w:val="auto"/>
                <w:sz w:val="24"/>
                <w:highlight w:val="none"/>
              </w:rPr>
              <w:t>。</w:t>
            </w:r>
          </w:p>
          <w:p w14:paraId="4C01F1C1">
            <w:pPr>
              <w:autoSpaceDE w:val="0"/>
              <w:autoSpaceDN w:val="0"/>
              <w:spacing w:line="360" w:lineRule="auto"/>
              <w:ind w:firstLine="480" w:firstLineChars="200"/>
              <w:jc w:val="left"/>
              <w:rPr>
                <w:color w:val="auto"/>
                <w:sz w:val="24"/>
                <w:highlight w:val="none"/>
              </w:rPr>
            </w:pPr>
            <w:r>
              <w:rPr>
                <w:color w:val="auto"/>
                <w:sz w:val="24"/>
                <w:highlight w:val="none"/>
              </w:rPr>
              <w:t>（4）生态环境</w:t>
            </w:r>
            <w:r>
              <w:rPr>
                <w:rFonts w:hint="eastAsia"/>
                <w:bCs/>
                <w:color w:val="auto"/>
                <w:sz w:val="24"/>
                <w:highlight w:val="none"/>
                <w:lang w:val="en-US" w:eastAsia="zh-CN"/>
              </w:rPr>
              <w:t>准入</w:t>
            </w:r>
            <w:r>
              <w:rPr>
                <w:color w:val="auto"/>
                <w:sz w:val="24"/>
                <w:highlight w:val="none"/>
              </w:rPr>
              <w:t>清单</w:t>
            </w:r>
          </w:p>
          <w:p w14:paraId="784BFFD5">
            <w:pPr>
              <w:spacing w:line="360" w:lineRule="auto"/>
              <w:ind w:firstLine="480" w:firstLineChars="200"/>
              <w:rPr>
                <w:bCs/>
                <w:color w:val="auto"/>
                <w:sz w:val="24"/>
                <w:highlight w:val="none"/>
              </w:rPr>
            </w:pPr>
            <w:r>
              <w:rPr>
                <w:bCs/>
                <w:color w:val="auto"/>
                <w:sz w:val="24"/>
                <w:highlight w:val="none"/>
              </w:rPr>
              <w:t>本项目位于鄂尔多斯市杭锦旗锡尼镇巴音布拉格嘎查，根据《鄂尔多斯市生态环境准入清单》，本项目所在区域为优先保护单元，环境管控单元名称为杭锦旗-水土保持生态功能重要区域，管控单元编码为ZH15062510002。</w:t>
            </w:r>
          </w:p>
          <w:p w14:paraId="129C8931">
            <w:pPr>
              <w:spacing w:line="360" w:lineRule="auto"/>
              <w:ind w:firstLine="480" w:firstLineChars="200"/>
              <w:rPr>
                <w:color w:val="auto"/>
                <w:sz w:val="24"/>
                <w:highlight w:val="none"/>
              </w:rPr>
            </w:pPr>
            <w:r>
              <w:rPr>
                <w:color w:val="auto"/>
                <w:sz w:val="24"/>
                <w:highlight w:val="none"/>
              </w:rPr>
              <w:t>本项目与该单元的管控要求的符合性见下表：</w:t>
            </w:r>
          </w:p>
          <w:p w14:paraId="401D7B37">
            <w:pPr>
              <w:pStyle w:val="29"/>
              <w:rPr>
                <w:color w:val="auto"/>
                <w:highlight w:val="none"/>
              </w:rPr>
            </w:pPr>
            <w:r>
              <w:rPr>
                <w:color w:val="auto"/>
                <w:highlight w:val="none"/>
              </w:rPr>
              <w:t>表1-</w:t>
            </w:r>
            <w:r>
              <w:rPr>
                <w:rFonts w:hint="eastAsia"/>
                <w:color w:val="auto"/>
                <w:highlight w:val="none"/>
                <w:lang w:val="en-US" w:eastAsia="zh-CN"/>
              </w:rPr>
              <w:t>2</w:t>
            </w:r>
            <w:r>
              <w:rPr>
                <w:color w:val="auto"/>
                <w:highlight w:val="none"/>
              </w:rPr>
              <w:t xml:space="preserve"> 项目与区域生态环境准入清单相符性分析</w:t>
            </w:r>
          </w:p>
          <w:tbl>
            <w:tblPr>
              <w:tblStyle w:val="2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55"/>
              <w:gridCol w:w="3903"/>
              <w:gridCol w:w="1470"/>
              <w:gridCol w:w="639"/>
            </w:tblGrid>
            <w:tr w14:paraId="1587C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Align w:val="center"/>
                </w:tcPr>
                <w:p w14:paraId="69298A58">
                  <w:pPr>
                    <w:adjustRightInd w:val="0"/>
                    <w:snapToGrid w:val="0"/>
                    <w:jc w:val="center"/>
                    <w:rPr>
                      <w:b/>
                      <w:bCs/>
                      <w:color w:val="auto"/>
                      <w:szCs w:val="21"/>
                      <w:highlight w:val="none"/>
                    </w:rPr>
                  </w:pPr>
                  <w:r>
                    <w:rPr>
                      <w:b/>
                      <w:bCs/>
                      <w:color w:val="auto"/>
                      <w:szCs w:val="21"/>
                      <w:highlight w:val="none"/>
                    </w:rPr>
                    <w:t>内容</w:t>
                  </w:r>
                </w:p>
              </w:tc>
              <w:tc>
                <w:tcPr>
                  <w:tcW w:w="3016" w:type="pct"/>
                  <w:vAlign w:val="center"/>
                </w:tcPr>
                <w:p w14:paraId="5DA28A63">
                  <w:pPr>
                    <w:adjustRightInd w:val="0"/>
                    <w:snapToGrid w:val="0"/>
                    <w:jc w:val="center"/>
                    <w:rPr>
                      <w:b/>
                      <w:bCs/>
                      <w:color w:val="auto"/>
                      <w:szCs w:val="21"/>
                      <w:highlight w:val="none"/>
                    </w:rPr>
                  </w:pPr>
                  <w:r>
                    <w:rPr>
                      <w:b/>
                      <w:bCs/>
                      <w:color w:val="auto"/>
                      <w:szCs w:val="21"/>
                      <w:highlight w:val="none"/>
                    </w:rPr>
                    <w:t>管控要求</w:t>
                  </w:r>
                </w:p>
              </w:tc>
              <w:tc>
                <w:tcPr>
                  <w:tcW w:w="1136" w:type="pct"/>
                  <w:vAlign w:val="center"/>
                </w:tcPr>
                <w:p w14:paraId="25FF7234">
                  <w:pPr>
                    <w:adjustRightInd w:val="0"/>
                    <w:snapToGrid w:val="0"/>
                    <w:jc w:val="center"/>
                    <w:rPr>
                      <w:b/>
                      <w:bCs/>
                      <w:color w:val="auto"/>
                      <w:szCs w:val="21"/>
                      <w:highlight w:val="none"/>
                    </w:rPr>
                  </w:pPr>
                  <w:r>
                    <w:rPr>
                      <w:b/>
                      <w:bCs/>
                      <w:color w:val="auto"/>
                      <w:szCs w:val="21"/>
                      <w:highlight w:val="none"/>
                    </w:rPr>
                    <w:t>符合性分析</w:t>
                  </w:r>
                </w:p>
              </w:tc>
              <w:tc>
                <w:tcPr>
                  <w:tcW w:w="494" w:type="pct"/>
                  <w:vAlign w:val="center"/>
                </w:tcPr>
                <w:p w14:paraId="75FFA9FC">
                  <w:pPr>
                    <w:adjustRightInd w:val="0"/>
                    <w:snapToGrid w:val="0"/>
                    <w:jc w:val="center"/>
                    <w:rPr>
                      <w:b/>
                      <w:bCs/>
                      <w:color w:val="auto"/>
                      <w:szCs w:val="21"/>
                      <w:highlight w:val="none"/>
                    </w:rPr>
                  </w:pPr>
                  <w:r>
                    <w:rPr>
                      <w:b/>
                      <w:bCs/>
                      <w:color w:val="auto"/>
                      <w:szCs w:val="21"/>
                      <w:highlight w:val="none"/>
                    </w:rPr>
                    <w:t>相符性</w:t>
                  </w:r>
                </w:p>
              </w:tc>
            </w:tr>
            <w:tr w14:paraId="26C16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Align w:val="center"/>
                </w:tcPr>
                <w:p w14:paraId="0F54A75A">
                  <w:pPr>
                    <w:pStyle w:val="39"/>
                    <w:jc w:val="center"/>
                    <w:rPr>
                      <w:rFonts w:ascii="Times New Roman" w:cs="Times New Roman"/>
                      <w:color w:val="auto"/>
                      <w:szCs w:val="21"/>
                      <w:highlight w:val="none"/>
                    </w:rPr>
                  </w:pPr>
                  <w:r>
                    <w:rPr>
                      <w:rFonts w:ascii="Times New Roman" w:eastAsia="宋体" w:cs="Times New Roman"/>
                      <w:color w:val="auto"/>
                      <w:sz w:val="21"/>
                      <w:szCs w:val="21"/>
                      <w:highlight w:val="none"/>
                    </w:rPr>
                    <w:t>空间布局约束</w:t>
                  </w:r>
                </w:p>
              </w:tc>
              <w:tc>
                <w:tcPr>
                  <w:tcW w:w="3016" w:type="pct"/>
                  <w:vAlign w:val="center"/>
                </w:tcPr>
                <w:p w14:paraId="4788DA5E">
                  <w:pPr>
                    <w:pStyle w:val="39"/>
                    <w:jc w:val="both"/>
                    <w:rPr>
                      <w:rFonts w:ascii="Times New Roman" w:eastAsia="宋体" w:cs="Times New Roman"/>
                      <w:color w:val="auto"/>
                      <w:sz w:val="21"/>
                      <w:szCs w:val="21"/>
                      <w:highlight w:val="none"/>
                    </w:rPr>
                  </w:pPr>
                  <w:r>
                    <w:rPr>
                      <w:rFonts w:ascii="Times New Roman" w:eastAsia="宋体" w:cs="Times New Roman"/>
                      <w:color w:val="auto"/>
                      <w:sz w:val="21"/>
                      <w:szCs w:val="21"/>
                      <w:highlight w:val="none"/>
                    </w:rPr>
                    <w:t>1.大力推行节水灌溉和雨水集蓄利用，发展旱作节水农业。限制陡坡垦殖和超载过牧。加强小流域综合治理，实行封山禁牧，恢复退化植被。加强对能源和矿产资源开发及建设项目的监管，加大矿山环境整治修复力度，最大限度地减少人为因素造成新的水土流失。</w:t>
                  </w:r>
                  <w:r>
                    <w:rPr>
                      <w:rFonts w:hint="eastAsia" w:ascii="Times New Roman" w:eastAsia="宋体" w:cs="Times New Roman"/>
                      <w:color w:val="auto"/>
                      <w:sz w:val="21"/>
                      <w:szCs w:val="21"/>
                      <w:highlight w:val="none"/>
                      <w:lang w:val="en-US" w:eastAsia="zh-CN"/>
                    </w:rPr>
                    <w:t>拓宽</w:t>
                  </w:r>
                  <w:r>
                    <w:rPr>
                      <w:rFonts w:ascii="Times New Roman" w:eastAsia="宋体" w:cs="Times New Roman"/>
                      <w:color w:val="auto"/>
                      <w:sz w:val="21"/>
                      <w:szCs w:val="21"/>
                      <w:highlight w:val="none"/>
                    </w:rPr>
                    <w:t>农民增收渠道，解决农民长远生计，巩固水土流失治理、退耕还林、退牧还草等成果。</w:t>
                  </w:r>
                </w:p>
                <w:p w14:paraId="3741D5E6">
                  <w:pPr>
                    <w:pStyle w:val="39"/>
                    <w:jc w:val="both"/>
                    <w:rPr>
                      <w:rFonts w:ascii="Times New Roman" w:cs="Times New Roman"/>
                      <w:color w:val="auto"/>
                      <w:szCs w:val="21"/>
                      <w:highlight w:val="none"/>
                    </w:rPr>
                  </w:pPr>
                  <w:r>
                    <w:rPr>
                      <w:rFonts w:ascii="Times New Roman" w:eastAsia="宋体" w:cs="Times New Roman"/>
                      <w:color w:val="auto"/>
                      <w:sz w:val="21"/>
                      <w:szCs w:val="21"/>
                      <w:highlight w:val="none"/>
                    </w:rPr>
                    <w:t>2.在生态保护红线内的有限人为活动管理要求按照《自然资源部生态环境部国家林业和草原局关于加强生态保护红线管理的通知（试行）》（自然资发〔2022〕142号）相关规定执行。</w:t>
                  </w:r>
                </w:p>
              </w:tc>
              <w:tc>
                <w:tcPr>
                  <w:tcW w:w="1136" w:type="pct"/>
                  <w:vAlign w:val="center"/>
                </w:tcPr>
                <w:p w14:paraId="5D87F672">
                  <w:pPr>
                    <w:pStyle w:val="39"/>
                    <w:jc w:val="both"/>
                    <w:rPr>
                      <w:rFonts w:ascii="Times New Roman" w:eastAsia="宋体" w:cs="Times New Roman"/>
                      <w:color w:val="auto"/>
                      <w:sz w:val="21"/>
                      <w:szCs w:val="21"/>
                      <w:highlight w:val="none"/>
                    </w:rPr>
                  </w:pPr>
                  <w:r>
                    <w:rPr>
                      <w:rFonts w:ascii="Times New Roman" w:eastAsia="宋体" w:cs="Times New Roman"/>
                      <w:color w:val="auto"/>
                      <w:sz w:val="21"/>
                      <w:szCs w:val="21"/>
                      <w:highlight w:val="none"/>
                    </w:rPr>
                    <w:t>1.本项目为殡仪馆建设项目，不涉及节水灌溉和雨水集蓄利用，不涉及垦殖和放牧，不涉及对能源和矿产资源的开发，不涉及退耕还林、退牧还草等。</w:t>
                  </w:r>
                </w:p>
                <w:p w14:paraId="0C627B58">
                  <w:pPr>
                    <w:pStyle w:val="39"/>
                    <w:jc w:val="both"/>
                    <w:rPr>
                      <w:rFonts w:ascii="Times New Roman" w:cs="Times New Roman"/>
                      <w:color w:val="auto"/>
                      <w:szCs w:val="21"/>
                      <w:highlight w:val="none"/>
                    </w:rPr>
                  </w:pPr>
                  <w:r>
                    <w:rPr>
                      <w:rFonts w:ascii="Times New Roman" w:eastAsia="宋体" w:cs="Times New Roman"/>
                      <w:color w:val="auto"/>
                      <w:sz w:val="21"/>
                      <w:szCs w:val="21"/>
                      <w:highlight w:val="none"/>
                    </w:rPr>
                    <w:t>2.</w:t>
                  </w:r>
                  <w:r>
                    <w:rPr>
                      <w:rFonts w:ascii="Times New Roman" w:eastAsia="宋体" w:cs="Times New Roman"/>
                      <w:bCs/>
                      <w:color w:val="auto"/>
                      <w:sz w:val="21"/>
                      <w:szCs w:val="21"/>
                      <w:highlight w:val="none"/>
                    </w:rPr>
                    <w:t>本项目不涉及生态保护红线</w:t>
                  </w:r>
                  <w:r>
                    <w:rPr>
                      <w:rFonts w:ascii="Times New Roman" w:eastAsia="宋体" w:cs="Times New Roman"/>
                      <w:color w:val="auto"/>
                      <w:sz w:val="21"/>
                      <w:szCs w:val="21"/>
                      <w:highlight w:val="none"/>
                    </w:rPr>
                    <w:t>。</w:t>
                  </w:r>
                </w:p>
              </w:tc>
              <w:tc>
                <w:tcPr>
                  <w:tcW w:w="494" w:type="pct"/>
                  <w:vAlign w:val="center"/>
                </w:tcPr>
                <w:p w14:paraId="1597AF8B">
                  <w:pPr>
                    <w:adjustRightInd w:val="0"/>
                    <w:snapToGrid w:val="0"/>
                    <w:jc w:val="center"/>
                    <w:rPr>
                      <w:color w:val="auto"/>
                      <w:szCs w:val="21"/>
                      <w:highlight w:val="none"/>
                    </w:rPr>
                  </w:pPr>
                  <w:r>
                    <w:rPr>
                      <w:color w:val="auto"/>
                      <w:szCs w:val="21"/>
                      <w:highlight w:val="none"/>
                    </w:rPr>
                    <w:t>符合</w:t>
                  </w:r>
                </w:p>
              </w:tc>
            </w:tr>
          </w:tbl>
          <w:p w14:paraId="0CAB68B0">
            <w:pPr>
              <w:autoSpaceDE w:val="0"/>
              <w:autoSpaceDN w:val="0"/>
              <w:spacing w:line="360" w:lineRule="auto"/>
              <w:ind w:firstLine="480" w:firstLineChars="200"/>
              <w:jc w:val="left"/>
              <w:rPr>
                <w:color w:val="auto"/>
                <w:sz w:val="24"/>
                <w:highlight w:val="none"/>
              </w:rPr>
            </w:pPr>
            <w:r>
              <w:rPr>
                <w:color w:val="auto"/>
                <w:sz w:val="24"/>
                <w:highlight w:val="none"/>
              </w:rPr>
              <w:t>2.选址合理性分析</w:t>
            </w:r>
          </w:p>
          <w:p w14:paraId="0C774C9B">
            <w:pPr>
              <w:autoSpaceDE w:val="0"/>
              <w:autoSpaceDN w:val="0"/>
              <w:spacing w:line="360" w:lineRule="auto"/>
              <w:ind w:firstLine="480" w:firstLineChars="200"/>
              <w:rPr>
                <w:color w:val="auto"/>
                <w:sz w:val="24"/>
                <w:highlight w:val="none"/>
              </w:rPr>
            </w:pPr>
            <w:r>
              <w:rPr>
                <w:color w:val="auto"/>
                <w:sz w:val="24"/>
                <w:highlight w:val="none"/>
              </w:rPr>
              <w:t>本项目位于鄂尔多斯市杭锦旗锡尼镇巴音布拉格嘎查，位于杭锦旗锡尼镇镇区西南侧8k</w:t>
            </w:r>
            <w:r>
              <w:rPr>
                <w:rFonts w:hint="eastAsia"/>
                <w:color w:val="auto"/>
                <w:sz w:val="24"/>
                <w:highlight w:val="none"/>
                <w:lang w:eastAsia="zh-CN"/>
              </w:rPr>
              <w:t>m</w:t>
            </w:r>
            <w:r>
              <w:rPr>
                <w:color w:val="auto"/>
                <w:sz w:val="24"/>
                <w:highlight w:val="none"/>
              </w:rPr>
              <w:t>处，距离城区较远，项目与西北侧G109直线距离0.6k</w:t>
            </w:r>
            <w:r>
              <w:rPr>
                <w:rFonts w:hint="eastAsia"/>
                <w:color w:val="auto"/>
                <w:sz w:val="24"/>
                <w:highlight w:val="none"/>
                <w:lang w:eastAsia="zh-CN"/>
              </w:rPr>
              <w:t>m</w:t>
            </w:r>
            <w:r>
              <w:rPr>
                <w:color w:val="auto"/>
                <w:sz w:val="24"/>
                <w:highlight w:val="none"/>
              </w:rPr>
              <w:t>，交通便利，水、电配套设施齐全。同时，项目所在地不涉及自然保护区、风景名胜区、基本农田保护区、生态敏感区或饮用水水源保护区等环境敏感区。</w:t>
            </w:r>
          </w:p>
          <w:p w14:paraId="47DA872E">
            <w:pPr>
              <w:autoSpaceDE w:val="0"/>
              <w:autoSpaceDN w:val="0"/>
              <w:spacing w:line="360" w:lineRule="auto"/>
              <w:ind w:firstLine="480" w:firstLineChars="200"/>
              <w:rPr>
                <w:bCs/>
                <w:color w:val="auto"/>
                <w:sz w:val="24"/>
                <w:highlight w:val="none"/>
              </w:rPr>
            </w:pPr>
            <w:r>
              <w:rPr>
                <w:bCs/>
                <w:color w:val="auto"/>
                <w:sz w:val="24"/>
                <w:highlight w:val="none"/>
              </w:rPr>
              <w:t>本项目厂址500</w:t>
            </w:r>
            <w:r>
              <w:rPr>
                <w:rFonts w:hint="eastAsia"/>
                <w:bCs/>
                <w:color w:val="auto"/>
                <w:sz w:val="24"/>
                <w:highlight w:val="none"/>
                <w:lang w:eastAsia="zh-CN"/>
              </w:rPr>
              <w:t>m</w:t>
            </w:r>
            <w:r>
              <w:rPr>
                <w:bCs/>
                <w:color w:val="auto"/>
                <w:sz w:val="24"/>
                <w:highlight w:val="none"/>
              </w:rPr>
              <w:t>范围内无居民等敏感目标，且采取报告表中提出的各项环保措施后，本项目的建设对环境影响较小。因此，本项目选址合理</w:t>
            </w:r>
            <w:r>
              <w:rPr>
                <w:color w:val="auto"/>
                <w:sz w:val="24"/>
                <w:highlight w:val="none"/>
              </w:rPr>
              <w:t>。</w:t>
            </w:r>
          </w:p>
          <w:p w14:paraId="1DDB3C93">
            <w:pPr>
              <w:autoSpaceDE w:val="0"/>
              <w:autoSpaceDN w:val="0"/>
              <w:spacing w:line="360" w:lineRule="auto"/>
              <w:ind w:firstLine="480" w:firstLineChars="200"/>
              <w:jc w:val="left"/>
              <w:rPr>
                <w:color w:val="auto"/>
                <w:sz w:val="24"/>
                <w:highlight w:val="none"/>
              </w:rPr>
            </w:pPr>
            <w:r>
              <w:rPr>
                <w:color w:val="auto"/>
                <w:sz w:val="24"/>
                <w:highlight w:val="none"/>
              </w:rPr>
              <w:t>3.产业政策符合性分析</w:t>
            </w:r>
          </w:p>
          <w:p w14:paraId="7B1F3BB1">
            <w:pPr>
              <w:autoSpaceDE w:val="0"/>
              <w:autoSpaceDN w:val="0"/>
              <w:spacing w:line="360" w:lineRule="auto"/>
              <w:ind w:firstLine="480" w:firstLineChars="200"/>
              <w:jc w:val="left"/>
              <w:rPr>
                <w:color w:val="auto"/>
                <w:sz w:val="24"/>
                <w:highlight w:val="none"/>
              </w:rPr>
            </w:pPr>
            <w:r>
              <w:rPr>
                <w:color w:val="auto"/>
                <w:sz w:val="24"/>
                <w:highlight w:val="none"/>
              </w:rPr>
              <w:t>本项目为殡仪馆项目，项目不属于</w:t>
            </w:r>
            <w:r>
              <w:rPr>
                <w:bCs/>
                <w:color w:val="auto"/>
                <w:sz w:val="24"/>
                <w:highlight w:val="none"/>
              </w:rPr>
              <w:t>《产业结构调整指导目录（2024年本）》（中华人民共和国国家发展和改革委员会令第7号，自2024年2月1日起施行）</w:t>
            </w:r>
            <w:r>
              <w:rPr>
                <w:color w:val="auto"/>
                <w:sz w:val="24"/>
                <w:highlight w:val="none"/>
              </w:rPr>
              <w:t>中限制类、淘汰类、鼓励类项目，为允许类项目，项目的建设符合国家产业政策。</w:t>
            </w:r>
          </w:p>
        </w:tc>
      </w:tr>
    </w:tbl>
    <w:p w14:paraId="08B843FF">
      <w:pPr>
        <w:spacing w:line="360" w:lineRule="auto"/>
        <w:outlineLvl w:val="0"/>
        <w:rPr>
          <w:rFonts w:eastAsia="黑体"/>
          <w:color w:val="auto"/>
          <w:sz w:val="30"/>
          <w:highlight w:val="none"/>
        </w:rPr>
        <w:sectPr>
          <w:footerReference r:id="rId3" w:type="default"/>
          <w:pgSz w:w="11906" w:h="16838"/>
          <w:pgMar w:top="1501" w:right="1531" w:bottom="1701" w:left="1531" w:header="851" w:footer="1077" w:gutter="0"/>
          <w:pgNumType w:start="1"/>
          <w:cols w:space="720" w:num="1"/>
          <w:docGrid w:linePitch="312" w:charSpace="0"/>
        </w:sectPr>
      </w:pPr>
    </w:p>
    <w:p w14:paraId="06FFDC5B">
      <w:pPr>
        <w:pStyle w:val="16"/>
        <w:jc w:val="center"/>
        <w:outlineLvl w:val="0"/>
        <w:rPr>
          <w:rFonts w:ascii="Times New Roman" w:hAnsi="Times New Roman" w:eastAsia="黑体"/>
          <w:snapToGrid w:val="0"/>
          <w:color w:val="auto"/>
          <w:sz w:val="30"/>
          <w:szCs w:val="30"/>
          <w:highlight w:val="none"/>
        </w:rPr>
      </w:pPr>
      <w:r>
        <w:rPr>
          <w:rFonts w:ascii="Times New Roman" w:hAnsi="Times New Roman" w:eastAsia="黑体"/>
          <w:snapToGrid w:val="0"/>
          <w:color w:val="auto"/>
          <w:sz w:val="30"/>
          <w:szCs w:val="30"/>
          <w:highlight w:val="none"/>
        </w:rPr>
        <w:t>二、建设项目工程分析</w:t>
      </w:r>
    </w:p>
    <w:tbl>
      <w:tblPr>
        <w:tblStyle w:val="20"/>
        <w:tblW w:w="490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8448"/>
      </w:tblGrid>
      <w:tr w14:paraId="67BFB4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17" w:hRule="atLeast"/>
          <w:jc w:val="center"/>
        </w:trPr>
        <w:tc>
          <w:tcPr>
            <w:tcW w:w="239" w:type="pct"/>
            <w:vAlign w:val="center"/>
          </w:tcPr>
          <w:p w14:paraId="13310288">
            <w:pPr>
              <w:pStyle w:val="16"/>
              <w:adjustRightInd w:val="0"/>
              <w:snapToGrid w:val="0"/>
              <w:spacing w:before="0" w:beforeAutospacing="0" w:after="0" w:afterAutospacing="0"/>
              <w:jc w:val="center"/>
              <w:rPr>
                <w:rFonts w:ascii="Times New Roman" w:hAnsi="Times New Roman"/>
                <w:b/>
                <w:bCs/>
                <w:color w:val="auto"/>
                <w:szCs w:val="24"/>
                <w:highlight w:val="none"/>
              </w:rPr>
            </w:pPr>
            <w:r>
              <w:rPr>
                <w:rFonts w:ascii="Times New Roman" w:hAnsi="Times New Roman"/>
                <w:b/>
                <w:bCs/>
                <w:color w:val="auto"/>
                <w:szCs w:val="24"/>
                <w:highlight w:val="none"/>
              </w:rPr>
              <w:t>建设内容</w:t>
            </w:r>
          </w:p>
        </w:tc>
        <w:tc>
          <w:tcPr>
            <w:tcW w:w="4760" w:type="pct"/>
          </w:tcPr>
          <w:p w14:paraId="79D2B579">
            <w:pPr>
              <w:spacing w:line="360" w:lineRule="auto"/>
              <w:jc w:val="left"/>
              <w:rPr>
                <w:b/>
                <w:bCs/>
                <w:color w:val="auto"/>
                <w:sz w:val="24"/>
                <w:highlight w:val="none"/>
              </w:rPr>
            </w:pPr>
            <w:r>
              <w:rPr>
                <w:b/>
                <w:bCs/>
                <w:color w:val="auto"/>
                <w:sz w:val="24"/>
                <w:highlight w:val="none"/>
              </w:rPr>
              <w:t>1.项目由来</w:t>
            </w:r>
          </w:p>
          <w:p w14:paraId="39DBD6B4">
            <w:pPr>
              <w:spacing w:line="360" w:lineRule="auto"/>
              <w:ind w:firstLine="480" w:firstLineChars="200"/>
              <w:jc w:val="left"/>
              <w:rPr>
                <w:rFonts w:hint="eastAsia" w:eastAsia="宋体"/>
                <w:bCs/>
                <w:color w:val="auto"/>
                <w:sz w:val="24"/>
                <w:highlight w:val="none"/>
                <w:lang w:eastAsia="zh-CN"/>
              </w:rPr>
            </w:pPr>
            <w:r>
              <w:rPr>
                <w:bCs/>
                <w:color w:val="auto"/>
                <w:sz w:val="24"/>
                <w:highlight w:val="none"/>
              </w:rPr>
              <w:t>杭锦旗</w:t>
            </w:r>
            <w:r>
              <w:rPr>
                <w:rFonts w:hint="eastAsia"/>
                <w:bCs/>
                <w:color w:val="auto"/>
                <w:sz w:val="24"/>
                <w:highlight w:val="none"/>
                <w:lang w:eastAsia="zh-CN"/>
              </w:rPr>
              <w:t>福寿</w:t>
            </w:r>
            <w:r>
              <w:rPr>
                <w:bCs/>
                <w:color w:val="auto"/>
                <w:sz w:val="24"/>
                <w:highlight w:val="none"/>
              </w:rPr>
              <w:t>龙陵园建于2010年，主要从事</w:t>
            </w:r>
            <w:bookmarkStart w:id="3" w:name="OLE_LINK1"/>
            <w:r>
              <w:rPr>
                <w:bCs/>
                <w:color w:val="auto"/>
                <w:sz w:val="24"/>
                <w:highlight w:val="none"/>
              </w:rPr>
              <w:t>火化、殡葬服务</w:t>
            </w:r>
            <w:bookmarkEnd w:id="3"/>
            <w:r>
              <w:rPr>
                <w:bCs/>
                <w:color w:val="auto"/>
                <w:sz w:val="24"/>
                <w:highlight w:val="none"/>
              </w:rPr>
              <w:t>，建设单位为杭锦旗民政局。</w:t>
            </w:r>
            <w:r>
              <w:rPr>
                <w:rFonts w:hint="eastAsia"/>
                <w:bCs/>
                <w:color w:val="auto"/>
                <w:sz w:val="24"/>
                <w:highlight w:val="none"/>
                <w:lang w:val="en-US" w:eastAsia="zh-CN" w:bidi="zh-TW"/>
              </w:rPr>
              <w:t>2021年6月3日，成立杭锦旗殡仪馆（事业单位），负责杭锦旗殡仪馆（原杭锦旗福寿龙陵园）日常运营工作。</w:t>
            </w:r>
          </w:p>
          <w:p w14:paraId="42345F17">
            <w:pPr>
              <w:spacing w:line="360" w:lineRule="auto"/>
              <w:ind w:firstLine="480" w:firstLineChars="200"/>
              <w:jc w:val="left"/>
              <w:rPr>
                <w:rFonts w:hint="default"/>
                <w:bCs/>
                <w:color w:val="auto"/>
                <w:sz w:val="24"/>
                <w:highlight w:val="none"/>
                <w:lang w:val="en-US" w:eastAsia="zh-CN" w:bidi="zh-TW"/>
              </w:rPr>
            </w:pPr>
            <w:r>
              <w:rPr>
                <w:bCs/>
                <w:color w:val="auto"/>
                <w:sz w:val="24"/>
                <w:highlight w:val="none"/>
              </w:rPr>
              <w:t>由于现有工程建成时间较早，殡葬服务设施不够完善。随着城市建设步伐的加快，杭锦旗人口数量在不断增加，社会人口老龄化发展接近高峰期，同时居民环保意识、文明</w:t>
            </w:r>
            <w:r>
              <w:rPr>
                <w:rFonts w:hint="eastAsia"/>
                <w:bCs/>
                <w:color w:val="auto"/>
                <w:sz w:val="24"/>
                <w:highlight w:val="none"/>
                <w:lang w:eastAsia="zh-CN"/>
              </w:rPr>
              <w:t>意识</w:t>
            </w:r>
            <w:r>
              <w:rPr>
                <w:bCs/>
                <w:color w:val="auto"/>
                <w:sz w:val="24"/>
                <w:highlight w:val="none"/>
              </w:rPr>
              <w:t>也在逐步增强，选择公墓</w:t>
            </w:r>
            <w:r>
              <w:rPr>
                <w:rFonts w:hint="eastAsia"/>
                <w:bCs/>
                <w:color w:val="auto"/>
                <w:sz w:val="24"/>
                <w:highlight w:val="none"/>
                <w:lang w:eastAsia="zh-CN"/>
              </w:rPr>
              <w:t>成为</w:t>
            </w:r>
            <w:r>
              <w:rPr>
                <w:bCs/>
                <w:color w:val="auto"/>
                <w:sz w:val="24"/>
                <w:highlight w:val="none"/>
              </w:rPr>
              <w:t>唯一合法的专业治丧场所的人数也在不断增加。为完善杭锦旗城市发展及完善城市设施，需新建一处符合规范的骨灰堂</w:t>
            </w:r>
            <w:r>
              <w:rPr>
                <w:rFonts w:hint="eastAsia"/>
                <w:bCs/>
                <w:color w:val="auto"/>
                <w:sz w:val="24"/>
                <w:highlight w:val="none"/>
                <w:lang w:eastAsia="zh-CN"/>
              </w:rPr>
              <w:t>，</w:t>
            </w:r>
            <w:r>
              <w:rPr>
                <w:rFonts w:hint="eastAsia"/>
                <w:bCs/>
                <w:color w:val="auto"/>
                <w:sz w:val="24"/>
                <w:highlight w:val="none"/>
                <w:lang w:val="en-US" w:eastAsia="zh-CN"/>
              </w:rPr>
              <w:t>并购置</w:t>
            </w:r>
            <w:r>
              <w:rPr>
                <w:rFonts w:hint="eastAsia"/>
                <w:bCs/>
                <w:color w:val="auto"/>
                <w:sz w:val="24"/>
                <w:highlight w:val="none"/>
                <w:lang w:eastAsia="zh-CN"/>
              </w:rPr>
              <w:t>焚烧炉1台，</w:t>
            </w:r>
            <w:r>
              <w:rPr>
                <w:rFonts w:hint="eastAsia"/>
                <w:bCs/>
                <w:color w:val="auto"/>
                <w:sz w:val="24"/>
                <w:highlight w:val="none"/>
                <w:lang w:val="en-US" w:eastAsia="zh-CN"/>
              </w:rPr>
              <w:t>用于焚烧祭奠用品</w:t>
            </w:r>
            <w:r>
              <w:rPr>
                <w:bCs/>
                <w:color w:val="auto"/>
                <w:sz w:val="24"/>
                <w:highlight w:val="none"/>
              </w:rPr>
              <w:t>。</w:t>
            </w:r>
            <w:r>
              <w:rPr>
                <w:rFonts w:hint="default"/>
                <w:bCs/>
                <w:color w:val="auto"/>
                <w:sz w:val="24"/>
                <w:highlight w:val="none"/>
                <w:lang w:val="en-US" w:eastAsia="zh-CN" w:bidi="zh-TW"/>
              </w:rPr>
              <w:t>本项目由杭锦旗民政局负责建设，后期由杭锦旗殡仪馆负责运营。</w:t>
            </w:r>
          </w:p>
          <w:p w14:paraId="4A364F4D">
            <w:pPr>
              <w:spacing w:line="360" w:lineRule="auto"/>
              <w:ind w:firstLine="480" w:firstLineChars="200"/>
              <w:jc w:val="left"/>
              <w:rPr>
                <w:bCs/>
                <w:color w:val="auto"/>
                <w:sz w:val="24"/>
                <w:highlight w:val="none"/>
                <w:lang w:bidi="zh-TW"/>
              </w:rPr>
            </w:pPr>
            <w:r>
              <w:rPr>
                <w:bCs/>
                <w:color w:val="auto"/>
                <w:sz w:val="24"/>
                <w:highlight w:val="none"/>
                <w:lang w:bidi="zh-TW"/>
              </w:rPr>
              <w:t>根据《建设项目环境影响评价分类管理名录（2021版）》，本项目属于</w:t>
            </w:r>
            <w:r>
              <w:rPr>
                <w:rFonts w:hint="eastAsia" w:asciiTheme="minorEastAsia" w:hAnsiTheme="minorEastAsia" w:eastAsiaTheme="minorEastAsia" w:cstheme="minorEastAsia"/>
                <w:bCs/>
                <w:color w:val="auto"/>
                <w:sz w:val="24"/>
                <w:highlight w:val="none"/>
                <w:lang w:eastAsia="zh-CN" w:bidi="zh-TW"/>
              </w:rPr>
              <w:t>“</w:t>
            </w:r>
            <w:r>
              <w:rPr>
                <w:rFonts w:hint="eastAsia" w:asciiTheme="minorEastAsia" w:hAnsiTheme="minorEastAsia" w:eastAsiaTheme="minorEastAsia" w:cstheme="minorEastAsia"/>
                <w:bCs/>
                <w:color w:val="auto"/>
                <w:sz w:val="24"/>
                <w:highlight w:val="none"/>
                <w:lang w:bidi="zh-TW"/>
              </w:rPr>
              <w:t>五十、社会事业与服务业</w:t>
            </w:r>
            <w:r>
              <w:rPr>
                <w:rFonts w:hint="eastAsia" w:asciiTheme="minorEastAsia" w:hAnsiTheme="minorEastAsia" w:eastAsiaTheme="minorEastAsia" w:cstheme="minorEastAsia"/>
                <w:bCs/>
                <w:color w:val="auto"/>
                <w:sz w:val="24"/>
                <w:highlight w:val="none"/>
                <w:lang w:eastAsia="zh-CN" w:bidi="zh-TW"/>
              </w:rPr>
              <w:t>”</w:t>
            </w:r>
            <w:r>
              <w:rPr>
                <w:bCs/>
                <w:color w:val="auto"/>
                <w:sz w:val="24"/>
                <w:highlight w:val="none"/>
                <w:lang w:bidi="zh-TW"/>
              </w:rPr>
              <w:t>类中</w:t>
            </w:r>
            <w:r>
              <w:rPr>
                <w:rFonts w:hint="eastAsia"/>
                <w:bCs/>
                <w:color w:val="auto"/>
                <w:sz w:val="24"/>
                <w:highlight w:val="none"/>
                <w:lang w:eastAsia="zh-CN" w:bidi="zh-TW"/>
              </w:rPr>
              <w:t>“</w:t>
            </w:r>
            <w:r>
              <w:rPr>
                <w:bCs/>
                <w:color w:val="auto"/>
                <w:sz w:val="24"/>
                <w:highlight w:val="none"/>
                <w:lang w:bidi="zh-TW"/>
              </w:rPr>
              <w:t>122、殡仪馆、陵园、公墓</w:t>
            </w:r>
            <w:r>
              <w:rPr>
                <w:rFonts w:hint="eastAsia"/>
                <w:bCs/>
                <w:color w:val="auto"/>
                <w:sz w:val="24"/>
                <w:highlight w:val="none"/>
                <w:lang w:eastAsia="zh-CN" w:bidi="zh-TW"/>
              </w:rPr>
              <w:t>”</w:t>
            </w:r>
            <w:r>
              <w:rPr>
                <w:bCs/>
                <w:color w:val="auto"/>
                <w:sz w:val="24"/>
                <w:highlight w:val="none"/>
                <w:lang w:bidi="zh-TW"/>
              </w:rPr>
              <w:t>中的殡仪馆项目，需编制环境影响报告表。因此，</w:t>
            </w:r>
            <w:r>
              <w:rPr>
                <w:bCs/>
                <w:color w:val="auto"/>
                <w:sz w:val="24"/>
                <w:highlight w:val="none"/>
              </w:rPr>
              <w:t>杭锦旗民政局</w:t>
            </w:r>
            <w:r>
              <w:rPr>
                <w:bCs/>
                <w:color w:val="auto"/>
                <w:sz w:val="24"/>
                <w:highlight w:val="none"/>
                <w:lang w:bidi="zh-TW"/>
              </w:rPr>
              <w:t>委托我公司承担了本项目的环境影响评价工作。接到委托后，我公司第一时间进行现场踏勘、必要的现状监测及工程分析，依据《建设项目环境影响报告表编制技术指南（污染影响类）（试行）》的要求编制完成了本项目的环境影响评价报告表。</w:t>
            </w:r>
          </w:p>
          <w:p w14:paraId="0AC3F47C">
            <w:pPr>
              <w:spacing w:line="360" w:lineRule="auto"/>
              <w:jc w:val="left"/>
              <w:rPr>
                <w:rFonts w:hint="default"/>
                <w:b/>
                <w:bCs w:val="0"/>
                <w:color w:val="auto"/>
                <w:sz w:val="24"/>
                <w:highlight w:val="none"/>
                <w:lang w:val="en-US" w:eastAsia="zh-CN" w:bidi="zh-TW"/>
              </w:rPr>
            </w:pPr>
            <w:r>
              <w:rPr>
                <w:rFonts w:hint="default"/>
                <w:b/>
                <w:bCs w:val="0"/>
                <w:color w:val="auto"/>
                <w:sz w:val="24"/>
                <w:highlight w:val="none"/>
                <w:lang w:bidi="zh-TW"/>
              </w:rPr>
              <w:t>2.</w:t>
            </w:r>
            <w:r>
              <w:rPr>
                <w:rFonts w:hint="default"/>
                <w:b/>
                <w:bCs w:val="0"/>
                <w:color w:val="auto"/>
                <w:sz w:val="24"/>
                <w:highlight w:val="none"/>
                <w:lang w:val="en-US" w:eastAsia="zh-CN" w:bidi="zh-TW"/>
              </w:rPr>
              <w:t>现有工程概况</w:t>
            </w:r>
          </w:p>
          <w:p w14:paraId="648AAFBB">
            <w:pPr>
              <w:spacing w:line="360" w:lineRule="auto"/>
              <w:ind w:firstLine="482" w:firstLineChars="200"/>
              <w:jc w:val="left"/>
              <w:rPr>
                <w:rFonts w:hint="default"/>
                <w:b/>
                <w:bCs w:val="0"/>
                <w:color w:val="auto"/>
                <w:sz w:val="24"/>
                <w:highlight w:val="none"/>
                <w:lang w:val="en-US" w:eastAsia="zh-CN" w:bidi="zh-TW"/>
              </w:rPr>
            </w:pPr>
            <w:r>
              <w:rPr>
                <w:rFonts w:hint="default"/>
                <w:b/>
                <w:bCs w:val="0"/>
                <w:color w:val="auto"/>
                <w:sz w:val="24"/>
                <w:highlight w:val="none"/>
                <w:lang w:val="en-US" w:eastAsia="zh-CN" w:bidi="zh-TW"/>
              </w:rPr>
              <w:t>2.1现有项目环保手续履行情况</w:t>
            </w:r>
          </w:p>
          <w:p w14:paraId="1BCC2FE7">
            <w:pPr>
              <w:spacing w:line="360" w:lineRule="auto"/>
              <w:ind w:firstLine="480" w:firstLineChars="200"/>
              <w:jc w:val="left"/>
              <w:rPr>
                <w:rFonts w:hint="eastAsia"/>
                <w:bCs/>
                <w:color w:val="auto"/>
                <w:sz w:val="24"/>
                <w:highlight w:val="none"/>
                <w:lang w:eastAsia="zh-CN"/>
              </w:rPr>
            </w:pPr>
            <w:r>
              <w:rPr>
                <w:bCs/>
                <w:color w:val="auto"/>
                <w:sz w:val="24"/>
                <w:highlight w:val="none"/>
              </w:rPr>
              <w:t>2010年6月，《鄂尔多斯市杭锦旗</w:t>
            </w:r>
            <w:r>
              <w:rPr>
                <w:rFonts w:hint="eastAsia"/>
                <w:bCs/>
                <w:color w:val="auto"/>
                <w:sz w:val="24"/>
                <w:highlight w:val="none"/>
                <w:lang w:eastAsia="zh-CN"/>
              </w:rPr>
              <w:t>福寿</w:t>
            </w:r>
            <w:r>
              <w:rPr>
                <w:bCs/>
                <w:color w:val="auto"/>
                <w:sz w:val="24"/>
                <w:highlight w:val="none"/>
              </w:rPr>
              <w:t>龙陵园建设项目环境影响登记表》取得原杭锦旗环境保护局审批意见。项目建设殡葬服务区1400</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2</w:t>
            </w:r>
            <w:r>
              <w:rPr>
                <w:bCs/>
                <w:color w:val="auto"/>
                <w:sz w:val="24"/>
                <w:highlight w:val="none"/>
              </w:rPr>
              <w:t>；商务办公区500</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2</w:t>
            </w:r>
            <w:r>
              <w:rPr>
                <w:bCs/>
                <w:color w:val="auto"/>
                <w:sz w:val="24"/>
                <w:highlight w:val="none"/>
              </w:rPr>
              <w:t>；生活服务区550</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2</w:t>
            </w:r>
            <w:r>
              <w:rPr>
                <w:bCs/>
                <w:color w:val="auto"/>
                <w:sz w:val="24"/>
                <w:highlight w:val="none"/>
              </w:rPr>
              <w:t>；公墓建设标准化网围栏4.62</w:t>
            </w:r>
            <w:r>
              <w:rPr>
                <w:rFonts w:hint="eastAsia"/>
                <w:bCs/>
                <w:color w:val="auto"/>
                <w:sz w:val="24"/>
                <w:highlight w:val="none"/>
                <w:lang w:val="en-US" w:eastAsia="zh-CN"/>
              </w:rPr>
              <w:t>km</w:t>
            </w:r>
            <w:r>
              <w:rPr>
                <w:bCs/>
                <w:color w:val="auto"/>
                <w:sz w:val="24"/>
                <w:highlight w:val="none"/>
              </w:rPr>
              <w:t>；镇区至公墓柏油公路3.5</w:t>
            </w:r>
            <w:r>
              <w:rPr>
                <w:rFonts w:hint="eastAsia"/>
                <w:bCs/>
                <w:color w:val="auto"/>
                <w:sz w:val="24"/>
                <w:highlight w:val="none"/>
                <w:lang w:val="en-US" w:eastAsia="zh-CN"/>
              </w:rPr>
              <w:t>km</w:t>
            </w:r>
            <w:r>
              <w:rPr>
                <w:bCs/>
                <w:color w:val="auto"/>
                <w:sz w:val="24"/>
                <w:highlight w:val="none"/>
              </w:rPr>
              <w:t>；防风林带150亩；园艺、景观林种植150亩。</w:t>
            </w:r>
            <w:r>
              <w:rPr>
                <w:rFonts w:hint="eastAsia"/>
                <w:bCs/>
                <w:color w:val="auto"/>
                <w:sz w:val="24"/>
                <w:highlight w:val="none"/>
                <w:lang w:val="en-US" w:eastAsia="zh-CN"/>
              </w:rPr>
              <w:t>其中批复的火化机</w:t>
            </w:r>
            <w:r>
              <w:rPr>
                <w:bCs/>
                <w:color w:val="auto"/>
                <w:sz w:val="24"/>
                <w:highlight w:val="none"/>
              </w:rPr>
              <w:t>于2017年购置</w:t>
            </w:r>
            <w:r>
              <w:rPr>
                <w:rFonts w:hint="eastAsia"/>
                <w:bCs/>
                <w:color w:val="auto"/>
                <w:sz w:val="24"/>
                <w:highlight w:val="none"/>
                <w:lang w:eastAsia="zh-CN"/>
              </w:rPr>
              <w:t>。</w:t>
            </w:r>
          </w:p>
          <w:p w14:paraId="7031F19A">
            <w:pPr>
              <w:spacing w:line="360" w:lineRule="auto"/>
              <w:ind w:firstLine="480" w:firstLineChars="200"/>
              <w:jc w:val="left"/>
              <w:rPr>
                <w:bCs/>
                <w:color w:val="auto"/>
                <w:sz w:val="24"/>
                <w:highlight w:val="none"/>
                <w:lang w:bidi="zh-TW"/>
              </w:rPr>
            </w:pPr>
            <w:r>
              <w:rPr>
                <w:bCs/>
                <w:color w:val="auto"/>
                <w:sz w:val="24"/>
                <w:highlight w:val="none"/>
              </w:rPr>
              <w:t>2019年7月，《杭锦旗</w:t>
            </w:r>
            <w:r>
              <w:rPr>
                <w:rFonts w:hint="eastAsia"/>
                <w:bCs/>
                <w:color w:val="auto"/>
                <w:sz w:val="24"/>
                <w:highlight w:val="none"/>
                <w:lang w:eastAsia="zh-CN"/>
              </w:rPr>
              <w:t>福寿</w:t>
            </w:r>
            <w:r>
              <w:rPr>
                <w:bCs/>
                <w:color w:val="auto"/>
                <w:sz w:val="24"/>
                <w:highlight w:val="none"/>
              </w:rPr>
              <w:t>龙陵园建设项目环境影响登记表》进行备案。项目总占地面积152209.4</w:t>
            </w:r>
            <w:r>
              <w:rPr>
                <w:rFonts w:hint="eastAsia"/>
                <w:bCs/>
                <w:color w:val="auto"/>
                <w:sz w:val="24"/>
                <w:highlight w:val="none"/>
                <w:vertAlign w:val="baseline"/>
                <w:lang w:val="en-US" w:eastAsia="zh-CN"/>
              </w:rPr>
              <w:t>m</w:t>
            </w:r>
            <w:r>
              <w:rPr>
                <w:rFonts w:hint="eastAsia"/>
                <w:bCs/>
                <w:color w:val="auto"/>
                <w:sz w:val="24"/>
                <w:highlight w:val="none"/>
                <w:vertAlign w:val="superscript"/>
                <w:lang w:val="en-US" w:eastAsia="zh-CN"/>
              </w:rPr>
              <w:t>2</w:t>
            </w:r>
            <w:r>
              <w:rPr>
                <w:bCs/>
                <w:color w:val="auto"/>
                <w:sz w:val="24"/>
                <w:highlight w:val="none"/>
              </w:rPr>
              <w:t>。其中，建设公路面积30363.841</w:t>
            </w:r>
            <w:r>
              <w:rPr>
                <w:rFonts w:hint="eastAsia"/>
                <w:bCs/>
                <w:color w:val="auto"/>
                <w:sz w:val="24"/>
                <w:highlight w:val="none"/>
                <w:vertAlign w:val="baseline"/>
                <w:lang w:val="en-US" w:eastAsia="zh-CN"/>
              </w:rPr>
              <w:t>m</w:t>
            </w:r>
            <w:r>
              <w:rPr>
                <w:rFonts w:hint="eastAsia"/>
                <w:bCs/>
                <w:color w:val="auto"/>
                <w:sz w:val="24"/>
                <w:highlight w:val="none"/>
                <w:vertAlign w:val="superscript"/>
                <w:lang w:val="en-US" w:eastAsia="zh-CN"/>
              </w:rPr>
              <w:t>2</w:t>
            </w:r>
            <w:r>
              <w:rPr>
                <w:bCs/>
                <w:color w:val="auto"/>
                <w:sz w:val="24"/>
                <w:highlight w:val="none"/>
              </w:rPr>
              <w:t>；建设公墓面积106185.066</w:t>
            </w:r>
            <w:r>
              <w:rPr>
                <w:rFonts w:hint="eastAsia"/>
                <w:bCs/>
                <w:color w:val="auto"/>
                <w:sz w:val="24"/>
                <w:highlight w:val="none"/>
                <w:vertAlign w:val="baseline"/>
                <w:lang w:val="en-US" w:eastAsia="zh-CN"/>
              </w:rPr>
              <w:t>m</w:t>
            </w:r>
            <w:r>
              <w:rPr>
                <w:rFonts w:hint="eastAsia"/>
                <w:bCs/>
                <w:color w:val="auto"/>
                <w:sz w:val="24"/>
                <w:highlight w:val="none"/>
                <w:vertAlign w:val="superscript"/>
                <w:lang w:val="en-US" w:eastAsia="zh-CN"/>
              </w:rPr>
              <w:t>2</w:t>
            </w:r>
            <w:r>
              <w:rPr>
                <w:bCs/>
                <w:color w:val="auto"/>
                <w:sz w:val="24"/>
                <w:highlight w:val="none"/>
              </w:rPr>
              <w:t>；陵园硬化面积15660.493</w:t>
            </w:r>
            <w:r>
              <w:rPr>
                <w:rFonts w:hint="eastAsia"/>
                <w:bCs/>
                <w:color w:val="auto"/>
                <w:sz w:val="24"/>
                <w:highlight w:val="none"/>
                <w:vertAlign w:val="baseline"/>
                <w:lang w:val="en-US" w:eastAsia="zh-CN"/>
              </w:rPr>
              <w:t>m</w:t>
            </w:r>
            <w:r>
              <w:rPr>
                <w:rFonts w:hint="eastAsia"/>
                <w:bCs/>
                <w:color w:val="auto"/>
                <w:sz w:val="24"/>
                <w:highlight w:val="none"/>
                <w:vertAlign w:val="superscript"/>
                <w:lang w:val="en-US" w:eastAsia="zh-CN"/>
              </w:rPr>
              <w:t>2</w:t>
            </w:r>
            <w:r>
              <w:rPr>
                <w:bCs/>
                <w:color w:val="auto"/>
                <w:sz w:val="24"/>
                <w:highlight w:val="none"/>
              </w:rPr>
              <w:t>。</w:t>
            </w:r>
          </w:p>
          <w:p w14:paraId="2F9962DF">
            <w:pPr>
              <w:spacing w:line="360" w:lineRule="auto"/>
              <w:ind w:firstLine="482" w:firstLineChars="200"/>
              <w:jc w:val="left"/>
              <w:rPr>
                <w:rFonts w:hint="default" w:ascii="Times New Roman" w:hAnsi="Times New Roman" w:eastAsia="宋体" w:cs="Times New Roman"/>
                <w:b/>
                <w:bCs w:val="0"/>
                <w:color w:val="auto"/>
                <w:sz w:val="24"/>
                <w:highlight w:val="none"/>
                <w:lang w:val="en-US" w:eastAsia="zh-CN" w:bidi="zh-TW"/>
              </w:rPr>
            </w:pPr>
            <w:r>
              <w:rPr>
                <w:rFonts w:hint="default" w:ascii="Times New Roman" w:hAnsi="Times New Roman" w:eastAsia="宋体" w:cs="Times New Roman"/>
                <w:b/>
                <w:bCs w:val="0"/>
                <w:color w:val="auto"/>
                <w:sz w:val="24"/>
                <w:highlight w:val="none"/>
                <w:lang w:val="en-US" w:eastAsia="zh-CN" w:bidi="zh-TW"/>
              </w:rPr>
              <w:t>2.2现有项目建设情况</w:t>
            </w:r>
          </w:p>
          <w:p w14:paraId="149E3C97">
            <w:pPr>
              <w:pStyle w:val="29"/>
              <w:rPr>
                <w:color w:val="auto"/>
                <w:highlight w:val="none"/>
              </w:rPr>
            </w:pPr>
            <w:r>
              <w:rPr>
                <w:color w:val="auto"/>
                <w:highlight w:val="none"/>
              </w:rPr>
              <w:t>表2-1 现有工程建设内容组成一览表</w:t>
            </w:r>
          </w:p>
          <w:tbl>
            <w:tblPr>
              <w:tblStyle w:val="20"/>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1444"/>
              <w:gridCol w:w="5961"/>
            </w:tblGrid>
            <w:tr w14:paraId="1B74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tcBorders>
                    <w:bottom w:val="single" w:color="auto" w:sz="4" w:space="0"/>
                  </w:tcBorders>
                  <w:tcMar>
                    <w:left w:w="28" w:type="dxa"/>
                    <w:right w:w="28" w:type="dxa"/>
                  </w:tcMar>
                  <w:vAlign w:val="center"/>
                </w:tcPr>
                <w:p w14:paraId="661C99B2">
                  <w:pPr>
                    <w:adjustRightInd w:val="0"/>
                    <w:snapToGrid w:val="0"/>
                    <w:jc w:val="center"/>
                    <w:rPr>
                      <w:b/>
                      <w:bCs/>
                      <w:color w:val="auto"/>
                      <w:szCs w:val="21"/>
                      <w:highlight w:val="none"/>
                    </w:rPr>
                  </w:pPr>
                  <w:r>
                    <w:rPr>
                      <w:b/>
                      <w:bCs/>
                      <w:color w:val="auto"/>
                      <w:szCs w:val="21"/>
                      <w:highlight w:val="none"/>
                    </w:rPr>
                    <w:t>类别</w:t>
                  </w:r>
                </w:p>
              </w:tc>
              <w:tc>
                <w:tcPr>
                  <w:tcW w:w="1444" w:type="dxa"/>
                  <w:tcMar>
                    <w:left w:w="28" w:type="dxa"/>
                    <w:right w:w="28" w:type="dxa"/>
                  </w:tcMar>
                  <w:vAlign w:val="center"/>
                </w:tcPr>
                <w:p w14:paraId="401E6C3F">
                  <w:pPr>
                    <w:adjustRightInd w:val="0"/>
                    <w:snapToGrid w:val="0"/>
                    <w:jc w:val="center"/>
                    <w:rPr>
                      <w:b/>
                      <w:bCs/>
                      <w:color w:val="auto"/>
                      <w:szCs w:val="21"/>
                      <w:highlight w:val="none"/>
                    </w:rPr>
                  </w:pPr>
                  <w:r>
                    <w:rPr>
                      <w:b/>
                      <w:bCs/>
                      <w:color w:val="auto"/>
                      <w:szCs w:val="21"/>
                      <w:highlight w:val="none"/>
                    </w:rPr>
                    <w:t>工程名称</w:t>
                  </w:r>
                </w:p>
              </w:tc>
              <w:tc>
                <w:tcPr>
                  <w:tcW w:w="5961" w:type="dxa"/>
                  <w:tcMar>
                    <w:left w:w="28" w:type="dxa"/>
                    <w:right w:w="28" w:type="dxa"/>
                  </w:tcMar>
                  <w:vAlign w:val="center"/>
                </w:tcPr>
                <w:p w14:paraId="2F6E3E11">
                  <w:pPr>
                    <w:adjustRightInd w:val="0"/>
                    <w:snapToGrid w:val="0"/>
                    <w:jc w:val="center"/>
                    <w:rPr>
                      <w:b/>
                      <w:bCs/>
                      <w:color w:val="auto"/>
                      <w:szCs w:val="21"/>
                      <w:highlight w:val="none"/>
                    </w:rPr>
                  </w:pPr>
                  <w:r>
                    <w:rPr>
                      <w:b/>
                      <w:bCs/>
                      <w:color w:val="auto"/>
                      <w:szCs w:val="21"/>
                      <w:highlight w:val="none"/>
                    </w:rPr>
                    <w:t>建设内容及规模</w:t>
                  </w:r>
                </w:p>
              </w:tc>
            </w:tr>
            <w:tr w14:paraId="78A8F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Merge w:val="restart"/>
                  <w:tcBorders>
                    <w:top w:val="single" w:color="auto" w:sz="4" w:space="0"/>
                    <w:left w:val="single" w:color="auto" w:sz="4" w:space="0"/>
                    <w:right w:val="single" w:color="auto" w:sz="4" w:space="0"/>
                  </w:tcBorders>
                  <w:tcMar>
                    <w:left w:w="28" w:type="dxa"/>
                    <w:right w:w="28" w:type="dxa"/>
                  </w:tcMar>
                  <w:vAlign w:val="center"/>
                </w:tcPr>
                <w:p w14:paraId="6C788925">
                  <w:pPr>
                    <w:adjustRightInd w:val="0"/>
                    <w:snapToGrid w:val="0"/>
                    <w:jc w:val="center"/>
                    <w:rPr>
                      <w:color w:val="auto"/>
                      <w:szCs w:val="21"/>
                      <w:highlight w:val="none"/>
                    </w:rPr>
                  </w:pPr>
                  <w:r>
                    <w:rPr>
                      <w:color w:val="auto"/>
                      <w:szCs w:val="21"/>
                      <w:highlight w:val="none"/>
                    </w:rPr>
                    <w:t>主体</w:t>
                  </w:r>
                </w:p>
                <w:p w14:paraId="6B109189">
                  <w:pPr>
                    <w:adjustRightInd w:val="0"/>
                    <w:snapToGrid w:val="0"/>
                    <w:jc w:val="center"/>
                    <w:rPr>
                      <w:color w:val="auto"/>
                      <w:szCs w:val="21"/>
                      <w:highlight w:val="none"/>
                    </w:rPr>
                  </w:pPr>
                  <w:r>
                    <w:rPr>
                      <w:color w:val="auto"/>
                      <w:szCs w:val="21"/>
                      <w:highlight w:val="none"/>
                    </w:rPr>
                    <w:t>工程</w:t>
                  </w:r>
                </w:p>
              </w:tc>
              <w:tc>
                <w:tcPr>
                  <w:tcW w:w="1444" w:type="dxa"/>
                  <w:tcBorders>
                    <w:left w:val="single" w:color="auto" w:sz="4" w:space="0"/>
                  </w:tcBorders>
                  <w:tcMar>
                    <w:left w:w="28" w:type="dxa"/>
                    <w:right w:w="28" w:type="dxa"/>
                  </w:tcMar>
                  <w:vAlign w:val="center"/>
                </w:tcPr>
                <w:p w14:paraId="5E266E30">
                  <w:pPr>
                    <w:adjustRightInd w:val="0"/>
                    <w:snapToGrid w:val="0"/>
                    <w:jc w:val="center"/>
                    <w:rPr>
                      <w:color w:val="auto"/>
                      <w:szCs w:val="21"/>
                      <w:highlight w:val="none"/>
                    </w:rPr>
                  </w:pPr>
                  <w:r>
                    <w:rPr>
                      <w:rFonts w:hint="eastAsia"/>
                      <w:color w:val="auto"/>
                      <w:szCs w:val="21"/>
                      <w:highlight w:val="none"/>
                      <w:lang w:eastAsia="zh-CN"/>
                    </w:rPr>
                    <w:t>火化吊唁楼（</w:t>
                  </w:r>
                  <w:r>
                    <w:rPr>
                      <w:rFonts w:hint="eastAsia"/>
                      <w:color w:val="auto"/>
                      <w:szCs w:val="21"/>
                      <w:highlight w:val="none"/>
                      <w:lang w:val="en-US" w:eastAsia="zh-CN"/>
                    </w:rPr>
                    <w:t>原</w:t>
                  </w:r>
                  <w:r>
                    <w:rPr>
                      <w:color w:val="auto"/>
                      <w:szCs w:val="21"/>
                      <w:highlight w:val="none"/>
                    </w:rPr>
                    <w:t>殡葬服务区</w:t>
                  </w:r>
                  <w:r>
                    <w:rPr>
                      <w:rFonts w:hint="eastAsia"/>
                      <w:color w:val="auto"/>
                      <w:szCs w:val="21"/>
                      <w:highlight w:val="none"/>
                      <w:lang w:eastAsia="zh-CN"/>
                    </w:rPr>
                    <w:t>）</w:t>
                  </w:r>
                </w:p>
              </w:tc>
              <w:tc>
                <w:tcPr>
                  <w:tcW w:w="5961" w:type="dxa"/>
                  <w:tcMar>
                    <w:left w:w="28" w:type="dxa"/>
                    <w:right w:w="28" w:type="dxa"/>
                  </w:tcMar>
                  <w:vAlign w:val="center"/>
                </w:tcPr>
                <w:p w14:paraId="69D94EB4">
                  <w:pPr>
                    <w:adjustRightInd w:val="0"/>
                    <w:snapToGrid w:val="0"/>
                    <w:rPr>
                      <w:color w:val="auto"/>
                      <w:szCs w:val="21"/>
                      <w:highlight w:val="none"/>
                    </w:rPr>
                  </w:pPr>
                  <w:r>
                    <w:rPr>
                      <w:color w:val="auto"/>
                      <w:szCs w:val="21"/>
                      <w:highlight w:val="none"/>
                    </w:rPr>
                    <w:t>一栋1F，占地面积3000</w:t>
                  </w:r>
                  <w:r>
                    <w:rPr>
                      <w:rFonts w:hint="eastAsia"/>
                      <w:color w:val="auto"/>
                      <w:szCs w:val="21"/>
                      <w:highlight w:val="none"/>
                      <w:vertAlign w:val="baseline"/>
                      <w:lang w:eastAsia="zh-CN"/>
                    </w:rPr>
                    <w:t>m</w:t>
                  </w:r>
                  <w:r>
                    <w:rPr>
                      <w:rFonts w:hint="eastAsia"/>
                      <w:color w:val="auto"/>
                      <w:szCs w:val="21"/>
                      <w:highlight w:val="none"/>
                      <w:vertAlign w:val="superscript"/>
                      <w:lang w:eastAsia="zh-CN"/>
                    </w:rPr>
                    <w:t>2</w:t>
                  </w:r>
                  <w:r>
                    <w:rPr>
                      <w:color w:val="auto"/>
                      <w:szCs w:val="21"/>
                      <w:highlight w:val="none"/>
                    </w:rPr>
                    <w:t>（75</w:t>
                  </w:r>
                  <w:r>
                    <w:rPr>
                      <w:rFonts w:hint="eastAsia"/>
                      <w:color w:val="auto"/>
                      <w:szCs w:val="21"/>
                      <w:highlight w:val="none"/>
                      <w:lang w:eastAsia="zh-CN"/>
                    </w:rPr>
                    <w:t>m</w:t>
                  </w:r>
                  <w:r>
                    <w:rPr>
                      <w:color w:val="auto"/>
                      <w:szCs w:val="21"/>
                      <w:highlight w:val="none"/>
                    </w:rPr>
                    <w:t>×40</w:t>
                  </w:r>
                  <w:r>
                    <w:rPr>
                      <w:rFonts w:hint="eastAsia"/>
                      <w:color w:val="auto"/>
                      <w:szCs w:val="21"/>
                      <w:highlight w:val="none"/>
                      <w:lang w:eastAsia="zh-CN"/>
                    </w:rPr>
                    <w:t>m</w:t>
                  </w:r>
                  <w:r>
                    <w:rPr>
                      <w:color w:val="auto"/>
                      <w:szCs w:val="21"/>
                      <w:highlight w:val="none"/>
                    </w:rPr>
                    <w:t>），内部设置6间告别厅、1间骨灰寄存室、1间停尸室、1间解剖室、1间技术资料室、1间物证保管室、1间家属等候室、1间火化车间等。火化车间共设置2台拣灰式火化机。</w:t>
                  </w:r>
                </w:p>
              </w:tc>
            </w:tr>
            <w:tr w14:paraId="2933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Merge w:val="continue"/>
                  <w:tcBorders>
                    <w:left w:val="single" w:color="auto" w:sz="4" w:space="0"/>
                    <w:bottom w:val="single" w:color="auto" w:sz="4" w:space="0"/>
                    <w:right w:val="single" w:color="auto" w:sz="4" w:space="0"/>
                  </w:tcBorders>
                  <w:tcMar>
                    <w:left w:w="28" w:type="dxa"/>
                    <w:right w:w="28" w:type="dxa"/>
                  </w:tcMar>
                  <w:vAlign w:val="center"/>
                </w:tcPr>
                <w:p w14:paraId="14B8FCED">
                  <w:pPr>
                    <w:adjustRightInd w:val="0"/>
                    <w:snapToGrid w:val="0"/>
                    <w:jc w:val="center"/>
                    <w:rPr>
                      <w:color w:val="auto"/>
                      <w:szCs w:val="21"/>
                      <w:highlight w:val="none"/>
                    </w:rPr>
                  </w:pPr>
                </w:p>
              </w:tc>
              <w:tc>
                <w:tcPr>
                  <w:tcW w:w="1444" w:type="dxa"/>
                  <w:tcBorders>
                    <w:left w:val="single" w:color="auto" w:sz="4" w:space="0"/>
                  </w:tcBorders>
                  <w:tcMar>
                    <w:left w:w="28" w:type="dxa"/>
                    <w:right w:w="28" w:type="dxa"/>
                  </w:tcMar>
                  <w:vAlign w:val="center"/>
                </w:tcPr>
                <w:p w14:paraId="2DA28EB4">
                  <w:pPr>
                    <w:adjustRightInd w:val="0"/>
                    <w:snapToGrid w:val="0"/>
                    <w:jc w:val="center"/>
                    <w:rPr>
                      <w:rFonts w:hint="eastAsia"/>
                      <w:color w:val="auto"/>
                      <w:szCs w:val="21"/>
                      <w:highlight w:val="none"/>
                      <w:lang w:eastAsia="zh-CN"/>
                    </w:rPr>
                  </w:pPr>
                  <w:r>
                    <w:rPr>
                      <w:rFonts w:hint="eastAsia"/>
                      <w:color w:val="auto"/>
                      <w:szCs w:val="21"/>
                      <w:highlight w:val="none"/>
                      <w:lang w:eastAsia="zh-CN"/>
                    </w:rPr>
                    <w:t>公墓</w:t>
                  </w:r>
                </w:p>
              </w:tc>
              <w:tc>
                <w:tcPr>
                  <w:tcW w:w="5961" w:type="dxa"/>
                  <w:tcMar>
                    <w:left w:w="28" w:type="dxa"/>
                    <w:right w:w="28" w:type="dxa"/>
                  </w:tcMar>
                  <w:vAlign w:val="center"/>
                </w:tcPr>
                <w:p w14:paraId="02402754">
                  <w:pPr>
                    <w:adjustRightInd w:val="0"/>
                    <w:snapToGrid w:val="0"/>
                    <w:rPr>
                      <w:rFonts w:hint="default" w:eastAsia="宋体"/>
                      <w:color w:val="auto"/>
                      <w:szCs w:val="21"/>
                      <w:highlight w:val="none"/>
                      <w:lang w:val="en-US" w:eastAsia="zh-CN"/>
                    </w:rPr>
                  </w:pPr>
                  <w:r>
                    <w:rPr>
                      <w:color w:val="auto"/>
                      <w:szCs w:val="21"/>
                      <w:highlight w:val="none"/>
                    </w:rPr>
                    <w:t>面积106185.066</w:t>
                  </w:r>
                  <w:r>
                    <w:rPr>
                      <w:rFonts w:hint="eastAsia"/>
                      <w:color w:val="auto"/>
                      <w:szCs w:val="21"/>
                      <w:highlight w:val="none"/>
                      <w:vertAlign w:val="baseline"/>
                      <w:lang w:val="en-US" w:eastAsia="zh-CN"/>
                    </w:rPr>
                    <w:t>m</w:t>
                  </w:r>
                  <w:r>
                    <w:rPr>
                      <w:rFonts w:hint="eastAsia"/>
                      <w:color w:val="auto"/>
                      <w:szCs w:val="21"/>
                      <w:highlight w:val="none"/>
                      <w:vertAlign w:val="superscript"/>
                      <w:lang w:val="en-US" w:eastAsia="zh-CN"/>
                    </w:rPr>
                    <w:t>2</w:t>
                  </w:r>
                  <w:r>
                    <w:rPr>
                      <w:rFonts w:hint="eastAsia"/>
                      <w:color w:val="auto"/>
                      <w:szCs w:val="21"/>
                      <w:highlight w:val="none"/>
                      <w:lang w:val="en-US" w:eastAsia="zh-CN"/>
                    </w:rPr>
                    <w:t>。</w:t>
                  </w:r>
                </w:p>
              </w:tc>
            </w:tr>
            <w:tr w14:paraId="49C2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Merge w:val="restart"/>
                  <w:tcBorders>
                    <w:top w:val="single" w:color="auto" w:sz="4" w:space="0"/>
                    <w:bottom w:val="single" w:color="auto" w:sz="4" w:space="0"/>
                  </w:tcBorders>
                  <w:shd w:val="clear" w:color="auto" w:fill="auto"/>
                  <w:tcMar>
                    <w:left w:w="28" w:type="dxa"/>
                    <w:right w:w="28" w:type="dxa"/>
                  </w:tcMar>
                  <w:vAlign w:val="center"/>
                </w:tcPr>
                <w:p w14:paraId="20EC2738">
                  <w:pPr>
                    <w:autoSpaceDE w:val="0"/>
                    <w:autoSpaceDN w:val="0"/>
                    <w:adjustRightInd w:val="0"/>
                    <w:snapToGrid w:val="0"/>
                    <w:jc w:val="center"/>
                    <w:rPr>
                      <w:color w:val="auto"/>
                      <w:szCs w:val="21"/>
                      <w:highlight w:val="none"/>
                    </w:rPr>
                  </w:pPr>
                  <w:r>
                    <w:rPr>
                      <w:color w:val="auto"/>
                      <w:szCs w:val="21"/>
                      <w:highlight w:val="none"/>
                    </w:rPr>
                    <w:t>储运工程</w:t>
                  </w:r>
                </w:p>
              </w:tc>
              <w:tc>
                <w:tcPr>
                  <w:tcW w:w="1444" w:type="dxa"/>
                  <w:shd w:val="clear" w:color="auto" w:fill="auto"/>
                  <w:tcMar>
                    <w:left w:w="28" w:type="dxa"/>
                    <w:right w:w="28" w:type="dxa"/>
                  </w:tcMar>
                  <w:vAlign w:val="center"/>
                </w:tcPr>
                <w:p w14:paraId="7FB09C3D">
                  <w:pPr>
                    <w:autoSpaceDE w:val="0"/>
                    <w:autoSpaceDN w:val="0"/>
                    <w:adjustRightInd w:val="0"/>
                    <w:snapToGrid w:val="0"/>
                    <w:jc w:val="center"/>
                    <w:rPr>
                      <w:color w:val="auto"/>
                      <w:szCs w:val="21"/>
                      <w:highlight w:val="none"/>
                    </w:rPr>
                  </w:pPr>
                  <w:r>
                    <w:rPr>
                      <w:color w:val="auto"/>
                      <w:szCs w:val="21"/>
                      <w:highlight w:val="none"/>
                    </w:rPr>
                    <w:t>柴油储罐</w:t>
                  </w:r>
                </w:p>
              </w:tc>
              <w:tc>
                <w:tcPr>
                  <w:tcW w:w="5961" w:type="dxa"/>
                  <w:shd w:val="clear" w:color="auto" w:fill="auto"/>
                  <w:tcMar>
                    <w:left w:w="28" w:type="dxa"/>
                    <w:right w:w="28" w:type="dxa"/>
                  </w:tcMar>
                  <w:vAlign w:val="center"/>
                </w:tcPr>
                <w:p w14:paraId="1B6CB6CD">
                  <w:pPr>
                    <w:autoSpaceDE w:val="0"/>
                    <w:autoSpaceDN w:val="0"/>
                    <w:adjustRightInd w:val="0"/>
                    <w:snapToGrid w:val="0"/>
                    <w:rPr>
                      <w:color w:val="auto"/>
                      <w:szCs w:val="21"/>
                      <w:highlight w:val="none"/>
                    </w:rPr>
                  </w:pPr>
                  <w:r>
                    <w:rPr>
                      <w:color w:val="auto"/>
                      <w:kern w:val="0"/>
                      <w:szCs w:val="21"/>
                      <w:highlight w:val="none"/>
                    </w:rPr>
                    <w:t>采用柴油作为火化遗体的辅助燃料，项目设1个300L柴油储罐</w:t>
                  </w:r>
                  <w:r>
                    <w:rPr>
                      <w:rStyle w:val="25"/>
                      <w:rFonts w:hint="eastAsia"/>
                      <w:color w:val="auto"/>
                      <w:highlight w:val="none"/>
                    </w:rPr>
                    <w:t>，为双层罐</w:t>
                  </w:r>
                  <w:r>
                    <w:rPr>
                      <w:color w:val="auto"/>
                      <w:kern w:val="0"/>
                      <w:szCs w:val="21"/>
                      <w:highlight w:val="none"/>
                    </w:rPr>
                    <w:t>，置于火化车间旁边的储油室。同时储油室内的地面已进行重点防渗。</w:t>
                  </w:r>
                </w:p>
              </w:tc>
            </w:tr>
            <w:tr w14:paraId="199C3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Merge w:val="continue"/>
                  <w:tcBorders>
                    <w:top w:val="single" w:color="auto" w:sz="4" w:space="0"/>
                    <w:bottom w:val="single" w:color="auto" w:sz="4" w:space="0"/>
                  </w:tcBorders>
                  <w:shd w:val="clear" w:color="auto" w:fill="auto"/>
                  <w:tcMar>
                    <w:left w:w="28" w:type="dxa"/>
                    <w:right w:w="28" w:type="dxa"/>
                  </w:tcMar>
                  <w:vAlign w:val="center"/>
                </w:tcPr>
                <w:p w14:paraId="3C89C4D6">
                  <w:pPr>
                    <w:autoSpaceDE w:val="0"/>
                    <w:autoSpaceDN w:val="0"/>
                    <w:adjustRightInd w:val="0"/>
                    <w:snapToGrid w:val="0"/>
                    <w:jc w:val="center"/>
                    <w:rPr>
                      <w:color w:val="auto"/>
                      <w:szCs w:val="21"/>
                      <w:highlight w:val="none"/>
                    </w:rPr>
                  </w:pPr>
                </w:p>
              </w:tc>
              <w:tc>
                <w:tcPr>
                  <w:tcW w:w="1444" w:type="dxa"/>
                  <w:shd w:val="clear" w:color="auto" w:fill="auto"/>
                  <w:tcMar>
                    <w:left w:w="28" w:type="dxa"/>
                    <w:right w:w="28" w:type="dxa"/>
                  </w:tcMar>
                  <w:vAlign w:val="center"/>
                </w:tcPr>
                <w:p w14:paraId="2163BDA6">
                  <w:pPr>
                    <w:autoSpaceDE w:val="0"/>
                    <w:autoSpaceDN w:val="0"/>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道路及硬化</w:t>
                  </w:r>
                </w:p>
              </w:tc>
              <w:tc>
                <w:tcPr>
                  <w:tcW w:w="5961" w:type="dxa"/>
                  <w:shd w:val="clear" w:color="auto" w:fill="auto"/>
                  <w:tcMar>
                    <w:left w:w="28" w:type="dxa"/>
                    <w:right w:w="28" w:type="dxa"/>
                  </w:tcMar>
                  <w:vAlign w:val="center"/>
                </w:tcPr>
                <w:p w14:paraId="291A11AA">
                  <w:pPr>
                    <w:autoSpaceDE w:val="0"/>
                    <w:autoSpaceDN w:val="0"/>
                    <w:adjustRightInd w:val="0"/>
                    <w:snapToGrid w:val="0"/>
                    <w:rPr>
                      <w:rFonts w:hint="eastAsia" w:eastAsia="宋体"/>
                      <w:color w:val="auto"/>
                      <w:kern w:val="0"/>
                      <w:szCs w:val="21"/>
                      <w:highlight w:val="none"/>
                      <w:lang w:eastAsia="zh-CN"/>
                    </w:rPr>
                  </w:pPr>
                  <w:r>
                    <w:rPr>
                      <w:color w:val="auto"/>
                      <w:kern w:val="0"/>
                      <w:szCs w:val="21"/>
                      <w:highlight w:val="none"/>
                    </w:rPr>
                    <w:t>镇区至公墓柏油公路3.5</w:t>
                  </w:r>
                  <w:r>
                    <w:rPr>
                      <w:rFonts w:hint="eastAsia"/>
                      <w:color w:val="auto"/>
                      <w:kern w:val="0"/>
                      <w:szCs w:val="21"/>
                      <w:highlight w:val="none"/>
                      <w:lang w:val="en-US" w:eastAsia="zh-CN"/>
                    </w:rPr>
                    <w:t>km</w:t>
                  </w:r>
                  <w:r>
                    <w:rPr>
                      <w:rFonts w:hint="eastAsia"/>
                      <w:color w:val="auto"/>
                      <w:kern w:val="0"/>
                      <w:szCs w:val="21"/>
                      <w:highlight w:val="none"/>
                      <w:lang w:eastAsia="zh-CN"/>
                    </w:rPr>
                    <w:t>，陵园硬化面积15660.493</w:t>
                  </w:r>
                  <w:r>
                    <w:rPr>
                      <w:rFonts w:hint="eastAsia"/>
                      <w:color w:val="auto"/>
                      <w:kern w:val="0"/>
                      <w:szCs w:val="21"/>
                      <w:highlight w:val="none"/>
                      <w:vertAlign w:val="baseline"/>
                      <w:lang w:val="en-US" w:eastAsia="zh-CN"/>
                    </w:rPr>
                    <w:t>m</w:t>
                  </w:r>
                  <w:r>
                    <w:rPr>
                      <w:rFonts w:hint="eastAsia"/>
                      <w:color w:val="auto"/>
                      <w:kern w:val="0"/>
                      <w:szCs w:val="21"/>
                      <w:highlight w:val="none"/>
                      <w:vertAlign w:val="superscript"/>
                      <w:lang w:val="en-US" w:eastAsia="zh-CN"/>
                    </w:rPr>
                    <w:t>2</w:t>
                  </w:r>
                  <w:r>
                    <w:rPr>
                      <w:rFonts w:hint="eastAsia"/>
                      <w:color w:val="auto"/>
                      <w:kern w:val="0"/>
                      <w:szCs w:val="21"/>
                      <w:highlight w:val="none"/>
                      <w:lang w:val="en-US" w:eastAsia="zh-CN"/>
                    </w:rPr>
                    <w:t>，</w:t>
                  </w:r>
                  <w:r>
                    <w:rPr>
                      <w:rFonts w:hint="eastAsia"/>
                      <w:color w:val="auto"/>
                      <w:kern w:val="0"/>
                      <w:szCs w:val="21"/>
                      <w:highlight w:val="none"/>
                      <w:lang w:eastAsia="zh-CN"/>
                    </w:rPr>
                    <w:t>建设公路面积30363.841</w:t>
                  </w:r>
                  <w:r>
                    <w:rPr>
                      <w:rFonts w:hint="eastAsia"/>
                      <w:color w:val="auto"/>
                      <w:kern w:val="0"/>
                      <w:szCs w:val="21"/>
                      <w:highlight w:val="none"/>
                      <w:vertAlign w:val="baseline"/>
                      <w:lang w:val="en-US" w:eastAsia="zh-CN"/>
                    </w:rPr>
                    <w:t>m</w:t>
                  </w:r>
                  <w:r>
                    <w:rPr>
                      <w:rFonts w:hint="eastAsia"/>
                      <w:color w:val="auto"/>
                      <w:kern w:val="0"/>
                      <w:szCs w:val="21"/>
                      <w:highlight w:val="none"/>
                      <w:vertAlign w:val="superscript"/>
                      <w:lang w:val="en-US" w:eastAsia="zh-CN"/>
                    </w:rPr>
                    <w:t>2</w:t>
                  </w:r>
                  <w:r>
                    <w:rPr>
                      <w:rFonts w:hint="eastAsia"/>
                      <w:color w:val="auto"/>
                      <w:kern w:val="0"/>
                      <w:szCs w:val="21"/>
                      <w:highlight w:val="none"/>
                      <w:vertAlign w:val="baseline"/>
                      <w:lang w:val="en-US" w:eastAsia="zh-CN"/>
                    </w:rPr>
                    <w:t>。</w:t>
                  </w:r>
                </w:p>
              </w:tc>
            </w:tr>
            <w:tr w14:paraId="7CE80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tcBorders>
                    <w:top w:val="single" w:color="auto" w:sz="4" w:space="0"/>
                    <w:bottom w:val="single" w:color="auto" w:sz="4" w:space="0"/>
                  </w:tcBorders>
                  <w:tcMar>
                    <w:left w:w="28" w:type="dxa"/>
                    <w:right w:w="28" w:type="dxa"/>
                  </w:tcMar>
                  <w:vAlign w:val="center"/>
                </w:tcPr>
                <w:p w14:paraId="65F38484">
                  <w:pPr>
                    <w:adjustRightInd w:val="0"/>
                    <w:snapToGrid w:val="0"/>
                    <w:jc w:val="center"/>
                    <w:rPr>
                      <w:color w:val="auto"/>
                      <w:szCs w:val="21"/>
                      <w:highlight w:val="none"/>
                    </w:rPr>
                  </w:pPr>
                  <w:r>
                    <w:rPr>
                      <w:color w:val="auto"/>
                      <w:szCs w:val="21"/>
                      <w:highlight w:val="none"/>
                    </w:rPr>
                    <w:t>辅助工程</w:t>
                  </w:r>
                </w:p>
              </w:tc>
              <w:tc>
                <w:tcPr>
                  <w:tcW w:w="1444" w:type="dxa"/>
                  <w:tcBorders>
                    <w:top w:val="single" w:color="auto" w:sz="4" w:space="0"/>
                  </w:tcBorders>
                  <w:shd w:val="clear" w:color="auto" w:fill="auto"/>
                  <w:tcMar>
                    <w:left w:w="28" w:type="dxa"/>
                    <w:right w:w="28" w:type="dxa"/>
                  </w:tcMar>
                  <w:vAlign w:val="center"/>
                </w:tcPr>
                <w:p w14:paraId="7D6FD116">
                  <w:pPr>
                    <w:adjustRightInd w:val="0"/>
                    <w:snapToGrid w:val="0"/>
                    <w:jc w:val="center"/>
                    <w:rPr>
                      <w:rFonts w:hint="eastAsia" w:eastAsia="宋体"/>
                      <w:color w:val="auto"/>
                      <w:kern w:val="0"/>
                      <w:szCs w:val="21"/>
                      <w:highlight w:val="none"/>
                      <w:lang w:eastAsia="zh-CN"/>
                    </w:rPr>
                  </w:pPr>
                  <w:r>
                    <w:rPr>
                      <w:color w:val="auto"/>
                      <w:kern w:val="0"/>
                      <w:szCs w:val="21"/>
                      <w:highlight w:val="none"/>
                    </w:rPr>
                    <w:t>办公住宿楼</w:t>
                  </w:r>
                  <w:r>
                    <w:rPr>
                      <w:rFonts w:hint="eastAsia"/>
                      <w:color w:val="auto"/>
                      <w:kern w:val="0"/>
                      <w:szCs w:val="21"/>
                      <w:highlight w:val="none"/>
                      <w:lang w:eastAsia="zh-CN"/>
                    </w:rPr>
                    <w:t>（</w:t>
                  </w:r>
                  <w:r>
                    <w:rPr>
                      <w:rFonts w:hint="eastAsia"/>
                      <w:color w:val="auto"/>
                      <w:kern w:val="0"/>
                      <w:szCs w:val="21"/>
                      <w:highlight w:val="none"/>
                      <w:lang w:val="en-US" w:eastAsia="zh-CN"/>
                    </w:rPr>
                    <w:t>原</w:t>
                  </w:r>
                  <w:r>
                    <w:rPr>
                      <w:rFonts w:hint="eastAsia"/>
                      <w:color w:val="auto"/>
                      <w:kern w:val="0"/>
                      <w:szCs w:val="21"/>
                      <w:highlight w:val="none"/>
                      <w:lang w:eastAsia="zh-CN"/>
                    </w:rPr>
                    <w:t>商务办公区、生活服务区）</w:t>
                  </w:r>
                </w:p>
              </w:tc>
              <w:tc>
                <w:tcPr>
                  <w:tcW w:w="5961" w:type="dxa"/>
                  <w:tcBorders>
                    <w:top w:val="single" w:color="auto" w:sz="4" w:space="0"/>
                  </w:tcBorders>
                  <w:shd w:val="clear" w:color="auto" w:fill="auto"/>
                  <w:tcMar>
                    <w:left w:w="28" w:type="dxa"/>
                    <w:right w:w="28" w:type="dxa"/>
                  </w:tcMar>
                  <w:vAlign w:val="center"/>
                </w:tcPr>
                <w:p w14:paraId="03110138">
                  <w:pPr>
                    <w:adjustRightInd w:val="0"/>
                    <w:snapToGrid w:val="0"/>
                    <w:rPr>
                      <w:color w:val="auto"/>
                      <w:szCs w:val="21"/>
                      <w:highlight w:val="none"/>
                    </w:rPr>
                  </w:pPr>
                  <w:r>
                    <w:rPr>
                      <w:color w:val="auto"/>
                      <w:szCs w:val="21"/>
                      <w:highlight w:val="none"/>
                    </w:rPr>
                    <w:t>一栋2F，占地面积2800</w:t>
                  </w:r>
                  <w:r>
                    <w:rPr>
                      <w:rFonts w:hint="eastAsia"/>
                      <w:color w:val="auto"/>
                      <w:szCs w:val="21"/>
                      <w:highlight w:val="none"/>
                      <w:vertAlign w:val="baseline"/>
                      <w:lang w:eastAsia="zh-CN"/>
                    </w:rPr>
                    <w:t>m</w:t>
                  </w:r>
                  <w:r>
                    <w:rPr>
                      <w:rFonts w:hint="eastAsia"/>
                      <w:color w:val="auto"/>
                      <w:szCs w:val="21"/>
                      <w:highlight w:val="none"/>
                      <w:vertAlign w:val="superscript"/>
                      <w:lang w:eastAsia="zh-CN"/>
                    </w:rPr>
                    <w:t>2</w:t>
                  </w:r>
                  <w:r>
                    <w:rPr>
                      <w:color w:val="auto"/>
                      <w:szCs w:val="21"/>
                      <w:highlight w:val="none"/>
                    </w:rPr>
                    <w:t>，内设办公区、餐饮区、住宿区。</w:t>
                  </w:r>
                </w:p>
              </w:tc>
            </w:tr>
            <w:tr w14:paraId="2D011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Merge w:val="restart"/>
                  <w:tcBorders>
                    <w:top w:val="single" w:color="auto" w:sz="4" w:space="0"/>
                    <w:bottom w:val="single" w:color="auto" w:sz="4" w:space="0"/>
                  </w:tcBorders>
                  <w:tcMar>
                    <w:left w:w="28" w:type="dxa"/>
                    <w:right w:w="28" w:type="dxa"/>
                  </w:tcMar>
                  <w:vAlign w:val="center"/>
                </w:tcPr>
                <w:p w14:paraId="30BE6159">
                  <w:pPr>
                    <w:adjustRightInd w:val="0"/>
                    <w:snapToGrid w:val="0"/>
                    <w:jc w:val="center"/>
                    <w:rPr>
                      <w:color w:val="auto"/>
                      <w:szCs w:val="21"/>
                      <w:highlight w:val="none"/>
                    </w:rPr>
                  </w:pPr>
                  <w:r>
                    <w:rPr>
                      <w:color w:val="auto"/>
                      <w:szCs w:val="21"/>
                      <w:highlight w:val="none"/>
                    </w:rPr>
                    <w:t>公用</w:t>
                  </w:r>
                </w:p>
                <w:p w14:paraId="2A80CD45">
                  <w:pPr>
                    <w:adjustRightInd w:val="0"/>
                    <w:snapToGrid w:val="0"/>
                    <w:jc w:val="center"/>
                    <w:rPr>
                      <w:color w:val="auto"/>
                      <w:szCs w:val="21"/>
                      <w:highlight w:val="none"/>
                    </w:rPr>
                  </w:pPr>
                  <w:r>
                    <w:rPr>
                      <w:color w:val="auto"/>
                      <w:szCs w:val="21"/>
                      <w:highlight w:val="none"/>
                    </w:rPr>
                    <w:t>工程</w:t>
                  </w:r>
                </w:p>
              </w:tc>
              <w:tc>
                <w:tcPr>
                  <w:tcW w:w="1444" w:type="dxa"/>
                  <w:tcMar>
                    <w:left w:w="28" w:type="dxa"/>
                    <w:right w:w="28" w:type="dxa"/>
                  </w:tcMar>
                  <w:vAlign w:val="center"/>
                </w:tcPr>
                <w:p w14:paraId="3D133F5D">
                  <w:pPr>
                    <w:adjustRightInd w:val="0"/>
                    <w:snapToGrid w:val="0"/>
                    <w:jc w:val="center"/>
                    <w:rPr>
                      <w:color w:val="auto"/>
                      <w:szCs w:val="21"/>
                      <w:highlight w:val="none"/>
                    </w:rPr>
                  </w:pPr>
                  <w:r>
                    <w:rPr>
                      <w:color w:val="auto"/>
                      <w:szCs w:val="21"/>
                      <w:highlight w:val="none"/>
                    </w:rPr>
                    <w:t>给水工程</w:t>
                  </w:r>
                </w:p>
              </w:tc>
              <w:tc>
                <w:tcPr>
                  <w:tcW w:w="5961" w:type="dxa"/>
                  <w:tcMar>
                    <w:left w:w="28" w:type="dxa"/>
                    <w:right w:w="28" w:type="dxa"/>
                  </w:tcMar>
                  <w:vAlign w:val="center"/>
                </w:tcPr>
                <w:p w14:paraId="5A7FDE4B">
                  <w:pPr>
                    <w:adjustRightInd w:val="0"/>
                    <w:snapToGrid w:val="0"/>
                    <w:rPr>
                      <w:color w:val="auto"/>
                      <w:szCs w:val="21"/>
                      <w:highlight w:val="none"/>
                    </w:rPr>
                  </w:pPr>
                  <w:r>
                    <w:rPr>
                      <w:color w:val="auto"/>
                      <w:szCs w:val="21"/>
                      <w:highlight w:val="none"/>
                    </w:rPr>
                    <w:t>项目用水由企业征地内现有水井提供，能保证项目正常用水需求。</w:t>
                  </w:r>
                </w:p>
              </w:tc>
            </w:tr>
            <w:tr w14:paraId="0FB2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Merge w:val="continue"/>
                  <w:tcBorders>
                    <w:top w:val="single" w:color="auto" w:sz="4" w:space="0"/>
                    <w:bottom w:val="single" w:color="auto" w:sz="4" w:space="0"/>
                  </w:tcBorders>
                  <w:tcMar>
                    <w:left w:w="28" w:type="dxa"/>
                    <w:right w:w="28" w:type="dxa"/>
                  </w:tcMar>
                  <w:vAlign w:val="center"/>
                </w:tcPr>
                <w:p w14:paraId="4EF3D54C">
                  <w:pPr>
                    <w:adjustRightInd w:val="0"/>
                    <w:snapToGrid w:val="0"/>
                    <w:jc w:val="center"/>
                    <w:rPr>
                      <w:color w:val="auto"/>
                      <w:szCs w:val="21"/>
                      <w:highlight w:val="none"/>
                    </w:rPr>
                  </w:pPr>
                </w:p>
              </w:tc>
              <w:tc>
                <w:tcPr>
                  <w:tcW w:w="1444" w:type="dxa"/>
                  <w:tcMar>
                    <w:left w:w="28" w:type="dxa"/>
                    <w:right w:w="28" w:type="dxa"/>
                  </w:tcMar>
                  <w:vAlign w:val="center"/>
                </w:tcPr>
                <w:p w14:paraId="2A0E8F33">
                  <w:pPr>
                    <w:adjustRightInd w:val="0"/>
                    <w:snapToGrid w:val="0"/>
                    <w:jc w:val="center"/>
                    <w:rPr>
                      <w:color w:val="auto"/>
                      <w:szCs w:val="21"/>
                      <w:highlight w:val="none"/>
                    </w:rPr>
                  </w:pPr>
                  <w:r>
                    <w:rPr>
                      <w:color w:val="auto"/>
                      <w:szCs w:val="21"/>
                      <w:highlight w:val="none"/>
                    </w:rPr>
                    <w:t>排水工程</w:t>
                  </w:r>
                </w:p>
              </w:tc>
              <w:tc>
                <w:tcPr>
                  <w:tcW w:w="5961" w:type="dxa"/>
                  <w:tcMar>
                    <w:left w:w="28" w:type="dxa"/>
                    <w:right w:w="28" w:type="dxa"/>
                  </w:tcMar>
                  <w:vAlign w:val="center"/>
                </w:tcPr>
                <w:p w14:paraId="1256FB5E">
                  <w:pPr>
                    <w:adjustRightInd w:val="0"/>
                    <w:snapToGrid w:val="0"/>
                    <w:rPr>
                      <w:color w:val="auto"/>
                      <w:szCs w:val="21"/>
                      <w:highlight w:val="none"/>
                    </w:rPr>
                  </w:pPr>
                  <w:r>
                    <w:rPr>
                      <w:color w:val="auto"/>
                      <w:szCs w:val="21"/>
                      <w:highlight w:val="none"/>
                    </w:rPr>
                    <w:t>本项目生活污水经化粪池收集后，定期拉运至杭锦旗锡尼镇污水处理厂处理。</w:t>
                  </w:r>
                </w:p>
              </w:tc>
            </w:tr>
            <w:tr w14:paraId="7830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Merge w:val="continue"/>
                  <w:tcBorders>
                    <w:top w:val="single" w:color="auto" w:sz="4" w:space="0"/>
                    <w:bottom w:val="single" w:color="auto" w:sz="4" w:space="0"/>
                  </w:tcBorders>
                  <w:tcMar>
                    <w:left w:w="28" w:type="dxa"/>
                    <w:right w:w="28" w:type="dxa"/>
                  </w:tcMar>
                  <w:vAlign w:val="center"/>
                </w:tcPr>
                <w:p w14:paraId="1402D83F">
                  <w:pPr>
                    <w:adjustRightInd w:val="0"/>
                    <w:snapToGrid w:val="0"/>
                    <w:jc w:val="center"/>
                    <w:rPr>
                      <w:color w:val="auto"/>
                      <w:szCs w:val="21"/>
                      <w:highlight w:val="none"/>
                    </w:rPr>
                  </w:pPr>
                </w:p>
              </w:tc>
              <w:tc>
                <w:tcPr>
                  <w:tcW w:w="1444" w:type="dxa"/>
                  <w:tcMar>
                    <w:left w:w="28" w:type="dxa"/>
                    <w:right w:w="28" w:type="dxa"/>
                  </w:tcMar>
                  <w:vAlign w:val="center"/>
                </w:tcPr>
                <w:p w14:paraId="6F40A3D1">
                  <w:pPr>
                    <w:adjustRightInd w:val="0"/>
                    <w:snapToGrid w:val="0"/>
                    <w:jc w:val="center"/>
                    <w:rPr>
                      <w:color w:val="auto"/>
                      <w:szCs w:val="21"/>
                      <w:highlight w:val="none"/>
                    </w:rPr>
                  </w:pPr>
                  <w:r>
                    <w:rPr>
                      <w:color w:val="auto"/>
                      <w:szCs w:val="21"/>
                      <w:highlight w:val="none"/>
                    </w:rPr>
                    <w:t>供电工程</w:t>
                  </w:r>
                </w:p>
              </w:tc>
              <w:tc>
                <w:tcPr>
                  <w:tcW w:w="5961" w:type="dxa"/>
                  <w:tcMar>
                    <w:left w:w="28" w:type="dxa"/>
                    <w:right w:w="28" w:type="dxa"/>
                  </w:tcMar>
                  <w:vAlign w:val="center"/>
                </w:tcPr>
                <w:p w14:paraId="239C7416">
                  <w:pPr>
                    <w:adjustRightInd w:val="0"/>
                    <w:snapToGrid w:val="0"/>
                    <w:rPr>
                      <w:color w:val="auto"/>
                      <w:szCs w:val="21"/>
                      <w:highlight w:val="none"/>
                    </w:rPr>
                  </w:pPr>
                  <w:r>
                    <w:rPr>
                      <w:color w:val="auto"/>
                      <w:szCs w:val="21"/>
                      <w:highlight w:val="none"/>
                    </w:rPr>
                    <w:t>由当地电网供</w:t>
                  </w:r>
                  <w:r>
                    <w:rPr>
                      <w:rFonts w:hint="eastAsia" w:eastAsia="宋体"/>
                      <w:color w:val="auto"/>
                      <w:szCs w:val="21"/>
                      <w:highlight w:val="none"/>
                      <w:lang w:eastAsia="zh-CN"/>
                    </w:rPr>
                    <w:t>电</w:t>
                  </w:r>
                  <w:r>
                    <w:rPr>
                      <w:color w:val="auto"/>
                      <w:szCs w:val="21"/>
                      <w:highlight w:val="none"/>
                    </w:rPr>
                    <w:t>。</w:t>
                  </w:r>
                </w:p>
              </w:tc>
            </w:tr>
            <w:tr w14:paraId="17F75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Merge w:val="continue"/>
                  <w:tcBorders>
                    <w:top w:val="single" w:color="auto" w:sz="4" w:space="0"/>
                    <w:bottom w:val="single" w:color="auto" w:sz="4" w:space="0"/>
                  </w:tcBorders>
                  <w:tcMar>
                    <w:left w:w="28" w:type="dxa"/>
                    <w:right w:w="28" w:type="dxa"/>
                  </w:tcMar>
                  <w:vAlign w:val="center"/>
                </w:tcPr>
                <w:p w14:paraId="7A4F75CA">
                  <w:pPr>
                    <w:adjustRightInd w:val="0"/>
                    <w:snapToGrid w:val="0"/>
                    <w:jc w:val="center"/>
                    <w:rPr>
                      <w:color w:val="auto"/>
                      <w:szCs w:val="21"/>
                      <w:highlight w:val="none"/>
                    </w:rPr>
                  </w:pPr>
                </w:p>
              </w:tc>
              <w:tc>
                <w:tcPr>
                  <w:tcW w:w="1444" w:type="dxa"/>
                  <w:tcMar>
                    <w:left w:w="28" w:type="dxa"/>
                    <w:right w:w="28" w:type="dxa"/>
                  </w:tcMar>
                  <w:vAlign w:val="center"/>
                </w:tcPr>
                <w:p w14:paraId="326C9457">
                  <w:pPr>
                    <w:adjustRightInd w:val="0"/>
                    <w:snapToGrid w:val="0"/>
                    <w:jc w:val="center"/>
                    <w:rPr>
                      <w:color w:val="auto"/>
                      <w:szCs w:val="21"/>
                      <w:highlight w:val="none"/>
                    </w:rPr>
                  </w:pPr>
                  <w:r>
                    <w:rPr>
                      <w:color w:val="auto"/>
                      <w:szCs w:val="21"/>
                      <w:highlight w:val="none"/>
                    </w:rPr>
                    <w:t>供暖工程</w:t>
                  </w:r>
                </w:p>
              </w:tc>
              <w:tc>
                <w:tcPr>
                  <w:tcW w:w="5961" w:type="dxa"/>
                  <w:tcMar>
                    <w:left w:w="28" w:type="dxa"/>
                    <w:right w:w="28" w:type="dxa"/>
                  </w:tcMar>
                  <w:vAlign w:val="center"/>
                </w:tcPr>
                <w:p w14:paraId="1711D78F">
                  <w:pPr>
                    <w:adjustRightInd w:val="0"/>
                    <w:snapToGrid w:val="0"/>
                    <w:rPr>
                      <w:color w:val="auto"/>
                      <w:szCs w:val="21"/>
                      <w:highlight w:val="none"/>
                    </w:rPr>
                  </w:pPr>
                  <w:r>
                    <w:rPr>
                      <w:color w:val="auto"/>
                      <w:szCs w:val="21"/>
                      <w:highlight w:val="none"/>
                    </w:rPr>
                    <w:t>冬季取暖采用电暖气。</w:t>
                  </w:r>
                </w:p>
              </w:tc>
            </w:tr>
            <w:tr w14:paraId="6A7B9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Merge w:val="restart"/>
                  <w:tcBorders>
                    <w:top w:val="single" w:color="auto" w:sz="4" w:space="0"/>
                    <w:bottom w:val="single" w:color="auto" w:sz="4" w:space="0"/>
                  </w:tcBorders>
                  <w:tcMar>
                    <w:left w:w="28" w:type="dxa"/>
                    <w:right w:w="28" w:type="dxa"/>
                  </w:tcMar>
                  <w:vAlign w:val="center"/>
                </w:tcPr>
                <w:p w14:paraId="14E2DECE">
                  <w:pPr>
                    <w:adjustRightInd w:val="0"/>
                    <w:snapToGrid w:val="0"/>
                    <w:jc w:val="center"/>
                    <w:rPr>
                      <w:color w:val="auto"/>
                      <w:szCs w:val="21"/>
                      <w:highlight w:val="none"/>
                    </w:rPr>
                  </w:pPr>
                  <w:r>
                    <w:rPr>
                      <w:color w:val="auto"/>
                      <w:szCs w:val="21"/>
                      <w:highlight w:val="none"/>
                    </w:rPr>
                    <w:t>环保</w:t>
                  </w:r>
                </w:p>
                <w:p w14:paraId="4FCC2090">
                  <w:pPr>
                    <w:adjustRightInd w:val="0"/>
                    <w:snapToGrid w:val="0"/>
                    <w:jc w:val="center"/>
                    <w:rPr>
                      <w:color w:val="auto"/>
                      <w:szCs w:val="21"/>
                      <w:highlight w:val="none"/>
                    </w:rPr>
                  </w:pPr>
                  <w:r>
                    <w:rPr>
                      <w:color w:val="auto"/>
                      <w:szCs w:val="21"/>
                      <w:highlight w:val="none"/>
                    </w:rPr>
                    <w:t>工程</w:t>
                  </w:r>
                </w:p>
              </w:tc>
              <w:tc>
                <w:tcPr>
                  <w:tcW w:w="1444" w:type="dxa"/>
                  <w:tcMar>
                    <w:left w:w="28" w:type="dxa"/>
                    <w:right w:w="28" w:type="dxa"/>
                  </w:tcMar>
                  <w:vAlign w:val="center"/>
                </w:tcPr>
                <w:p w14:paraId="5AEEEEE9">
                  <w:pPr>
                    <w:adjustRightInd w:val="0"/>
                    <w:snapToGrid w:val="0"/>
                    <w:jc w:val="center"/>
                    <w:rPr>
                      <w:color w:val="auto"/>
                      <w:szCs w:val="21"/>
                      <w:highlight w:val="none"/>
                    </w:rPr>
                  </w:pPr>
                  <w:r>
                    <w:rPr>
                      <w:color w:val="auto"/>
                      <w:szCs w:val="21"/>
                      <w:highlight w:val="none"/>
                    </w:rPr>
                    <w:t>废气</w:t>
                  </w:r>
                </w:p>
              </w:tc>
              <w:tc>
                <w:tcPr>
                  <w:tcW w:w="5961" w:type="dxa"/>
                  <w:tcMar>
                    <w:left w:w="28" w:type="dxa"/>
                    <w:right w:w="28" w:type="dxa"/>
                  </w:tcMar>
                  <w:vAlign w:val="center"/>
                </w:tcPr>
                <w:p w14:paraId="77079B0C">
                  <w:pPr>
                    <w:adjustRightInd w:val="0"/>
                    <w:snapToGrid w:val="0"/>
                    <w:rPr>
                      <w:color w:val="auto"/>
                      <w:szCs w:val="21"/>
                      <w:highlight w:val="none"/>
                    </w:rPr>
                  </w:pPr>
                  <w:r>
                    <w:rPr>
                      <w:color w:val="auto"/>
                      <w:szCs w:val="21"/>
                      <w:highlight w:val="none"/>
                    </w:rPr>
                    <w:t>遗体火化废气：本项目设置两台</w:t>
                  </w:r>
                  <w:r>
                    <w:rPr>
                      <w:rFonts w:hint="eastAsia"/>
                      <w:color w:val="auto"/>
                      <w:szCs w:val="21"/>
                      <w:highlight w:val="none"/>
                      <w:lang w:eastAsia="zh-CN"/>
                    </w:rPr>
                    <w:t>火化机</w:t>
                  </w:r>
                  <w:r>
                    <w:rPr>
                      <w:color w:val="auto"/>
                      <w:szCs w:val="21"/>
                      <w:highlight w:val="none"/>
                    </w:rPr>
                    <w:t>，</w:t>
                  </w:r>
                  <w:r>
                    <w:rPr>
                      <w:rFonts w:hint="eastAsia"/>
                      <w:color w:val="auto"/>
                      <w:szCs w:val="21"/>
                      <w:highlight w:val="none"/>
                      <w:lang w:eastAsia="zh-CN"/>
                    </w:rPr>
                    <w:t>火化机</w:t>
                  </w:r>
                  <w:r>
                    <w:rPr>
                      <w:color w:val="auto"/>
                      <w:szCs w:val="21"/>
                      <w:highlight w:val="none"/>
                    </w:rPr>
                    <w:t>燃烧废气经1套</w:t>
                  </w:r>
                  <w:r>
                    <w:rPr>
                      <w:rFonts w:hint="eastAsia"/>
                      <w:color w:val="auto"/>
                      <w:szCs w:val="21"/>
                      <w:highlight w:val="none"/>
                      <w:lang w:val="zh-CN"/>
                    </w:rPr>
                    <w:t>“</w:t>
                  </w:r>
                  <w:r>
                    <w:rPr>
                      <w:rFonts w:hint="eastAsia" w:ascii="Times New Roman"/>
                      <w:color w:val="auto"/>
                      <w:szCs w:val="21"/>
                      <w:highlight w:val="none"/>
                      <w:lang w:val="zh-CN"/>
                    </w:rPr>
                    <w:t>烟气急冷系统+消石灰+旋风除尘器</w:t>
                  </w:r>
                  <w:r>
                    <w:rPr>
                      <w:color w:val="auto"/>
                      <w:szCs w:val="21"/>
                      <w:highlight w:val="none"/>
                    </w:rPr>
                    <w:t>+</w:t>
                  </w:r>
                  <w:r>
                    <w:rPr>
                      <w:rFonts w:hint="eastAsia" w:eastAsia="宋体"/>
                      <w:color w:val="auto"/>
                      <w:szCs w:val="21"/>
                      <w:highlight w:val="none"/>
                      <w:lang w:eastAsia="zh-CN"/>
                    </w:rPr>
                    <w:t>活性炭喷射装置+布袋除尘器</w:t>
                  </w:r>
                  <w:r>
                    <w:rPr>
                      <w:rFonts w:hint="eastAsia"/>
                      <w:color w:val="auto"/>
                      <w:szCs w:val="21"/>
                      <w:highlight w:val="none"/>
                      <w:lang w:eastAsia="zh-CN"/>
                    </w:rPr>
                    <w:t>”</w:t>
                  </w:r>
                  <w:r>
                    <w:rPr>
                      <w:color w:val="auto"/>
                      <w:szCs w:val="21"/>
                      <w:highlight w:val="none"/>
                    </w:rPr>
                    <w:t>处理后经12</w:t>
                  </w:r>
                  <w:r>
                    <w:rPr>
                      <w:rFonts w:hint="eastAsia"/>
                      <w:color w:val="auto"/>
                      <w:szCs w:val="21"/>
                      <w:highlight w:val="none"/>
                      <w:lang w:eastAsia="zh-CN"/>
                    </w:rPr>
                    <w:t>m</w:t>
                  </w:r>
                  <w:r>
                    <w:rPr>
                      <w:color w:val="auto"/>
                      <w:szCs w:val="21"/>
                      <w:highlight w:val="none"/>
                    </w:rPr>
                    <w:t>高排气筒排放。</w:t>
                  </w:r>
                </w:p>
              </w:tc>
            </w:tr>
            <w:tr w14:paraId="56AF6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Merge w:val="continue"/>
                  <w:tcBorders>
                    <w:top w:val="single" w:color="auto" w:sz="4" w:space="0"/>
                    <w:bottom w:val="single" w:color="auto" w:sz="4" w:space="0"/>
                  </w:tcBorders>
                  <w:tcMar>
                    <w:left w:w="28" w:type="dxa"/>
                    <w:right w:w="28" w:type="dxa"/>
                  </w:tcMar>
                  <w:vAlign w:val="center"/>
                </w:tcPr>
                <w:p w14:paraId="2ED70854">
                  <w:pPr>
                    <w:adjustRightInd w:val="0"/>
                    <w:snapToGrid w:val="0"/>
                    <w:jc w:val="center"/>
                    <w:rPr>
                      <w:color w:val="auto"/>
                      <w:szCs w:val="21"/>
                      <w:highlight w:val="none"/>
                    </w:rPr>
                  </w:pPr>
                </w:p>
              </w:tc>
              <w:tc>
                <w:tcPr>
                  <w:tcW w:w="1444" w:type="dxa"/>
                  <w:tcMar>
                    <w:left w:w="28" w:type="dxa"/>
                    <w:right w:w="28" w:type="dxa"/>
                  </w:tcMar>
                  <w:vAlign w:val="center"/>
                </w:tcPr>
                <w:p w14:paraId="3CDC0B00">
                  <w:pPr>
                    <w:adjustRightInd w:val="0"/>
                    <w:snapToGrid w:val="0"/>
                    <w:jc w:val="center"/>
                    <w:rPr>
                      <w:color w:val="auto"/>
                      <w:szCs w:val="21"/>
                      <w:highlight w:val="none"/>
                    </w:rPr>
                  </w:pPr>
                  <w:r>
                    <w:rPr>
                      <w:color w:val="auto"/>
                      <w:szCs w:val="21"/>
                      <w:highlight w:val="none"/>
                    </w:rPr>
                    <w:t>废水</w:t>
                  </w:r>
                </w:p>
              </w:tc>
              <w:tc>
                <w:tcPr>
                  <w:tcW w:w="5961" w:type="dxa"/>
                  <w:tcMar>
                    <w:left w:w="28" w:type="dxa"/>
                    <w:right w:w="28" w:type="dxa"/>
                  </w:tcMar>
                  <w:vAlign w:val="center"/>
                </w:tcPr>
                <w:p w14:paraId="36A41FCF">
                  <w:pPr>
                    <w:adjustRightInd w:val="0"/>
                    <w:snapToGrid w:val="0"/>
                    <w:rPr>
                      <w:color w:val="auto"/>
                      <w:szCs w:val="21"/>
                      <w:highlight w:val="none"/>
                    </w:rPr>
                  </w:pPr>
                  <w:r>
                    <w:rPr>
                      <w:color w:val="auto"/>
                      <w:szCs w:val="21"/>
                      <w:highlight w:val="none"/>
                    </w:rPr>
                    <w:t>生活污水、餐饮废水、遗体处置废水、解剖废水、殡仪车辆清洗废水</w:t>
                  </w:r>
                  <w:r>
                    <w:rPr>
                      <w:rFonts w:hint="eastAsia"/>
                      <w:color w:val="auto"/>
                      <w:szCs w:val="21"/>
                      <w:highlight w:val="none"/>
                      <w:lang w:eastAsia="zh-CN"/>
                    </w:rPr>
                    <w:t>等</w:t>
                  </w:r>
                  <w:r>
                    <w:rPr>
                      <w:color w:val="auto"/>
                      <w:szCs w:val="21"/>
                      <w:highlight w:val="none"/>
                    </w:rPr>
                    <w:t>暂存于化粪池（20</w:t>
                  </w:r>
                  <w:r>
                    <w:rPr>
                      <w:rFonts w:hint="eastAsia"/>
                      <w:color w:val="auto"/>
                      <w:szCs w:val="21"/>
                      <w:highlight w:val="none"/>
                      <w:vertAlign w:val="baseline"/>
                      <w:lang w:eastAsia="zh-CN"/>
                    </w:rPr>
                    <w:t>m</w:t>
                  </w:r>
                  <w:r>
                    <w:rPr>
                      <w:rFonts w:hint="eastAsia"/>
                      <w:color w:val="auto"/>
                      <w:szCs w:val="21"/>
                      <w:highlight w:val="none"/>
                      <w:vertAlign w:val="superscript"/>
                      <w:lang w:eastAsia="zh-CN"/>
                    </w:rPr>
                    <w:t>3</w:t>
                  </w:r>
                  <w:r>
                    <w:rPr>
                      <w:color w:val="auto"/>
                      <w:szCs w:val="21"/>
                      <w:highlight w:val="none"/>
                    </w:rPr>
                    <w:t>）内，定期拉运至杭锦旗锡尼镇污水处理厂处理</w:t>
                  </w:r>
                  <w:r>
                    <w:rPr>
                      <w:rFonts w:hint="eastAsia"/>
                      <w:color w:val="auto"/>
                      <w:szCs w:val="21"/>
                      <w:highlight w:val="none"/>
                    </w:rPr>
                    <w:t>。</w:t>
                  </w:r>
                </w:p>
              </w:tc>
            </w:tr>
            <w:tr w14:paraId="7C82D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Merge w:val="continue"/>
                  <w:tcBorders>
                    <w:top w:val="single" w:color="auto" w:sz="4" w:space="0"/>
                    <w:bottom w:val="single" w:color="auto" w:sz="4" w:space="0"/>
                  </w:tcBorders>
                  <w:tcMar>
                    <w:left w:w="28" w:type="dxa"/>
                    <w:right w:w="28" w:type="dxa"/>
                  </w:tcMar>
                  <w:vAlign w:val="center"/>
                </w:tcPr>
                <w:p w14:paraId="1570C6CE">
                  <w:pPr>
                    <w:adjustRightInd w:val="0"/>
                    <w:snapToGrid w:val="0"/>
                    <w:jc w:val="center"/>
                    <w:rPr>
                      <w:color w:val="auto"/>
                      <w:szCs w:val="21"/>
                      <w:highlight w:val="none"/>
                    </w:rPr>
                  </w:pPr>
                </w:p>
              </w:tc>
              <w:tc>
                <w:tcPr>
                  <w:tcW w:w="1444" w:type="dxa"/>
                  <w:vMerge w:val="restart"/>
                  <w:tcMar>
                    <w:left w:w="28" w:type="dxa"/>
                    <w:right w:w="28" w:type="dxa"/>
                  </w:tcMar>
                  <w:vAlign w:val="center"/>
                </w:tcPr>
                <w:p w14:paraId="7BCEE578">
                  <w:pPr>
                    <w:adjustRightInd w:val="0"/>
                    <w:snapToGrid w:val="0"/>
                    <w:jc w:val="center"/>
                    <w:rPr>
                      <w:color w:val="auto"/>
                      <w:szCs w:val="21"/>
                      <w:highlight w:val="none"/>
                    </w:rPr>
                  </w:pPr>
                  <w:r>
                    <w:rPr>
                      <w:color w:val="auto"/>
                      <w:szCs w:val="21"/>
                      <w:highlight w:val="none"/>
                    </w:rPr>
                    <w:t>固废</w:t>
                  </w:r>
                </w:p>
              </w:tc>
              <w:tc>
                <w:tcPr>
                  <w:tcW w:w="5961" w:type="dxa"/>
                  <w:tcMar>
                    <w:left w:w="28" w:type="dxa"/>
                    <w:right w:w="28" w:type="dxa"/>
                  </w:tcMar>
                  <w:vAlign w:val="center"/>
                </w:tcPr>
                <w:p w14:paraId="0FB7397F">
                  <w:pPr>
                    <w:adjustRightInd w:val="0"/>
                    <w:snapToGrid w:val="0"/>
                    <w:rPr>
                      <w:color w:val="auto"/>
                      <w:szCs w:val="21"/>
                      <w:highlight w:val="none"/>
                    </w:rPr>
                  </w:pPr>
                  <w:r>
                    <w:rPr>
                      <w:color w:val="auto"/>
                      <w:szCs w:val="21"/>
                      <w:highlight w:val="none"/>
                    </w:rPr>
                    <w:t>生活垃圾经厂内垃圾箱收集后交由当地环卫部门定期清运处理。</w:t>
                  </w:r>
                </w:p>
              </w:tc>
            </w:tr>
            <w:tr w14:paraId="22EBB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Merge w:val="continue"/>
                  <w:tcBorders>
                    <w:top w:val="single" w:color="auto" w:sz="4" w:space="0"/>
                    <w:bottom w:val="single" w:color="auto" w:sz="4" w:space="0"/>
                  </w:tcBorders>
                  <w:tcMar>
                    <w:left w:w="28" w:type="dxa"/>
                    <w:right w:w="28" w:type="dxa"/>
                  </w:tcMar>
                  <w:vAlign w:val="center"/>
                </w:tcPr>
                <w:p w14:paraId="4CE4B7DF">
                  <w:pPr>
                    <w:adjustRightInd w:val="0"/>
                    <w:snapToGrid w:val="0"/>
                    <w:jc w:val="center"/>
                    <w:rPr>
                      <w:color w:val="auto"/>
                      <w:szCs w:val="21"/>
                      <w:highlight w:val="none"/>
                    </w:rPr>
                  </w:pPr>
                </w:p>
              </w:tc>
              <w:tc>
                <w:tcPr>
                  <w:tcW w:w="1444" w:type="dxa"/>
                  <w:vMerge w:val="continue"/>
                  <w:tcMar>
                    <w:left w:w="28" w:type="dxa"/>
                    <w:right w:w="28" w:type="dxa"/>
                  </w:tcMar>
                  <w:vAlign w:val="center"/>
                </w:tcPr>
                <w:p w14:paraId="13F5B332">
                  <w:pPr>
                    <w:adjustRightInd w:val="0"/>
                    <w:snapToGrid w:val="0"/>
                    <w:jc w:val="center"/>
                    <w:rPr>
                      <w:color w:val="auto"/>
                      <w:szCs w:val="21"/>
                      <w:highlight w:val="none"/>
                    </w:rPr>
                  </w:pPr>
                </w:p>
              </w:tc>
              <w:tc>
                <w:tcPr>
                  <w:tcW w:w="5961" w:type="dxa"/>
                  <w:tcMar>
                    <w:left w:w="28" w:type="dxa"/>
                    <w:right w:w="28" w:type="dxa"/>
                  </w:tcMar>
                  <w:vAlign w:val="center"/>
                </w:tcPr>
                <w:p w14:paraId="48382E3A">
                  <w:pPr>
                    <w:adjustRightInd w:val="0"/>
                    <w:snapToGrid w:val="0"/>
                    <w:rPr>
                      <w:color w:val="auto"/>
                      <w:szCs w:val="21"/>
                      <w:highlight w:val="none"/>
                    </w:rPr>
                  </w:pPr>
                  <w:r>
                    <w:rPr>
                      <w:color w:val="auto"/>
                      <w:szCs w:val="21"/>
                      <w:highlight w:val="none"/>
                    </w:rPr>
                    <w:t>除尘灰</w:t>
                  </w:r>
                  <w:r>
                    <w:rPr>
                      <w:rFonts w:hint="eastAsia" w:eastAsia="宋体"/>
                      <w:color w:val="auto"/>
                      <w:szCs w:val="21"/>
                      <w:highlight w:val="none"/>
                      <w:lang w:eastAsia="zh-CN"/>
                    </w:rPr>
                    <w:t>（</w:t>
                  </w:r>
                  <w:r>
                    <w:rPr>
                      <w:rFonts w:hint="eastAsia" w:ascii="Times New Roman" w:eastAsia="宋体"/>
                      <w:color w:val="auto"/>
                      <w:szCs w:val="21"/>
                      <w:highlight w:val="none"/>
                      <w:lang w:val="en-US" w:eastAsia="zh-CN"/>
                    </w:rPr>
                    <w:t>含废活性炭</w:t>
                  </w:r>
                  <w:r>
                    <w:rPr>
                      <w:rFonts w:hint="eastAsia" w:eastAsia="宋体"/>
                      <w:color w:val="auto"/>
                      <w:szCs w:val="21"/>
                      <w:highlight w:val="none"/>
                      <w:lang w:eastAsia="zh-CN"/>
                    </w:rPr>
                    <w:t>）</w:t>
                  </w:r>
                  <w:r>
                    <w:rPr>
                      <w:color w:val="auto"/>
                      <w:szCs w:val="21"/>
                      <w:highlight w:val="none"/>
                    </w:rPr>
                    <w:t>、</w:t>
                  </w:r>
                  <w:r>
                    <w:rPr>
                      <w:rFonts w:hint="eastAsia"/>
                      <w:color w:val="auto"/>
                      <w:szCs w:val="21"/>
                      <w:highlight w:val="none"/>
                    </w:rPr>
                    <w:t>除酸废渣</w:t>
                  </w:r>
                  <w:r>
                    <w:rPr>
                      <w:color w:val="auto"/>
                      <w:szCs w:val="21"/>
                      <w:highlight w:val="none"/>
                    </w:rPr>
                    <w:t>集中收集至暂存间暂存，最终交有资质单位</w:t>
                  </w:r>
                  <w:r>
                    <w:rPr>
                      <w:rFonts w:hint="eastAsia"/>
                      <w:color w:val="auto"/>
                      <w:szCs w:val="21"/>
                      <w:highlight w:val="none"/>
                      <w:lang w:eastAsia="zh-CN"/>
                    </w:rPr>
                    <w:t>进行</w:t>
                  </w:r>
                  <w:r>
                    <w:rPr>
                      <w:color w:val="auto"/>
                      <w:szCs w:val="21"/>
                      <w:highlight w:val="none"/>
                    </w:rPr>
                    <w:t>处置。</w:t>
                  </w:r>
                </w:p>
              </w:tc>
            </w:tr>
            <w:tr w14:paraId="2D9D7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Merge w:val="continue"/>
                  <w:tcBorders>
                    <w:top w:val="single" w:color="auto" w:sz="4" w:space="0"/>
                    <w:bottom w:val="single" w:color="auto" w:sz="4" w:space="0"/>
                  </w:tcBorders>
                  <w:tcMar>
                    <w:left w:w="28" w:type="dxa"/>
                    <w:right w:w="28" w:type="dxa"/>
                  </w:tcMar>
                  <w:vAlign w:val="center"/>
                </w:tcPr>
                <w:p w14:paraId="30C4240A">
                  <w:pPr>
                    <w:adjustRightInd w:val="0"/>
                    <w:snapToGrid w:val="0"/>
                    <w:jc w:val="center"/>
                    <w:rPr>
                      <w:color w:val="auto"/>
                      <w:szCs w:val="21"/>
                      <w:highlight w:val="none"/>
                    </w:rPr>
                  </w:pPr>
                </w:p>
              </w:tc>
              <w:tc>
                <w:tcPr>
                  <w:tcW w:w="1444" w:type="dxa"/>
                  <w:tcMar>
                    <w:left w:w="28" w:type="dxa"/>
                    <w:right w:w="28" w:type="dxa"/>
                  </w:tcMar>
                  <w:vAlign w:val="center"/>
                </w:tcPr>
                <w:p w14:paraId="6D2B8F88">
                  <w:pPr>
                    <w:adjustRightInd w:val="0"/>
                    <w:snapToGrid w:val="0"/>
                    <w:jc w:val="center"/>
                    <w:rPr>
                      <w:color w:val="auto"/>
                      <w:szCs w:val="21"/>
                      <w:highlight w:val="none"/>
                    </w:rPr>
                  </w:pPr>
                  <w:r>
                    <w:rPr>
                      <w:color w:val="auto"/>
                      <w:szCs w:val="21"/>
                      <w:highlight w:val="none"/>
                    </w:rPr>
                    <w:t>噪声</w:t>
                  </w:r>
                </w:p>
              </w:tc>
              <w:tc>
                <w:tcPr>
                  <w:tcW w:w="5961" w:type="dxa"/>
                  <w:tcMar>
                    <w:left w:w="28" w:type="dxa"/>
                    <w:right w:w="28" w:type="dxa"/>
                  </w:tcMar>
                  <w:vAlign w:val="center"/>
                </w:tcPr>
                <w:p w14:paraId="216EE2BE">
                  <w:pPr>
                    <w:adjustRightInd w:val="0"/>
                    <w:snapToGrid w:val="0"/>
                    <w:rPr>
                      <w:color w:val="auto"/>
                      <w:szCs w:val="21"/>
                      <w:highlight w:val="none"/>
                    </w:rPr>
                  </w:pPr>
                  <w:r>
                    <w:rPr>
                      <w:color w:val="auto"/>
                      <w:szCs w:val="21"/>
                      <w:highlight w:val="none"/>
                    </w:rPr>
                    <w:t>采用减振、消声、隔音等措施。</w:t>
                  </w:r>
                </w:p>
              </w:tc>
            </w:tr>
            <w:tr w14:paraId="3C41A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Merge w:val="continue"/>
                  <w:tcBorders>
                    <w:top w:val="single" w:color="auto" w:sz="4" w:space="0"/>
                    <w:bottom w:val="single" w:color="auto" w:sz="4" w:space="0"/>
                  </w:tcBorders>
                  <w:tcMar>
                    <w:left w:w="28" w:type="dxa"/>
                    <w:right w:w="28" w:type="dxa"/>
                  </w:tcMar>
                  <w:vAlign w:val="center"/>
                </w:tcPr>
                <w:p w14:paraId="3489D306">
                  <w:pPr>
                    <w:adjustRightInd w:val="0"/>
                    <w:snapToGrid w:val="0"/>
                    <w:jc w:val="center"/>
                    <w:rPr>
                      <w:color w:val="auto"/>
                      <w:szCs w:val="21"/>
                      <w:highlight w:val="none"/>
                    </w:rPr>
                  </w:pPr>
                </w:p>
              </w:tc>
              <w:tc>
                <w:tcPr>
                  <w:tcW w:w="1444" w:type="dxa"/>
                  <w:tcMar>
                    <w:left w:w="28" w:type="dxa"/>
                    <w:right w:w="28" w:type="dxa"/>
                  </w:tcMar>
                  <w:vAlign w:val="center"/>
                </w:tcPr>
                <w:p w14:paraId="55ED3842">
                  <w:pPr>
                    <w:adjustRightInd w:val="0"/>
                    <w:snapToGrid w:val="0"/>
                    <w:jc w:val="center"/>
                    <w:rPr>
                      <w:color w:val="auto"/>
                      <w:szCs w:val="21"/>
                      <w:highlight w:val="none"/>
                    </w:rPr>
                  </w:pPr>
                  <w:r>
                    <w:rPr>
                      <w:color w:val="auto"/>
                      <w:szCs w:val="21"/>
                      <w:highlight w:val="none"/>
                    </w:rPr>
                    <w:t>防渗</w:t>
                  </w:r>
                </w:p>
              </w:tc>
              <w:tc>
                <w:tcPr>
                  <w:tcW w:w="5961" w:type="dxa"/>
                  <w:tcMar>
                    <w:left w:w="28" w:type="dxa"/>
                    <w:right w:w="28" w:type="dxa"/>
                  </w:tcMar>
                  <w:vAlign w:val="center"/>
                </w:tcPr>
                <w:p w14:paraId="0A5F4253">
                  <w:pPr>
                    <w:widowControl/>
                    <w:rPr>
                      <w:color w:val="auto"/>
                      <w:kern w:val="0"/>
                      <w:szCs w:val="21"/>
                      <w:highlight w:val="none"/>
                    </w:rPr>
                  </w:pPr>
                  <w:r>
                    <w:rPr>
                      <w:color w:val="auto"/>
                      <w:kern w:val="0"/>
                      <w:szCs w:val="21"/>
                      <w:highlight w:val="none"/>
                    </w:rPr>
                    <w:t>一般防渗区：采用玻璃钢化粪池。</w:t>
                  </w:r>
                </w:p>
                <w:p w14:paraId="70341288">
                  <w:pPr>
                    <w:adjustRightInd w:val="0"/>
                    <w:snapToGrid w:val="0"/>
                    <w:rPr>
                      <w:color w:val="auto"/>
                      <w:szCs w:val="21"/>
                      <w:highlight w:val="none"/>
                    </w:rPr>
                  </w:pPr>
                  <w:r>
                    <w:rPr>
                      <w:color w:val="auto"/>
                      <w:kern w:val="0"/>
                      <w:szCs w:val="21"/>
                      <w:highlight w:val="none"/>
                    </w:rPr>
                    <w:t>简单防渗区：其他区域采用水泥进行地面硬化。</w:t>
                  </w:r>
                </w:p>
              </w:tc>
            </w:tr>
          </w:tbl>
          <w:p w14:paraId="3C6A6D2E">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jc w:val="left"/>
              <w:textAlignment w:val="auto"/>
              <w:rPr>
                <w:rFonts w:hint="default"/>
                <w:b/>
                <w:bCs/>
                <w:color w:val="auto"/>
                <w:sz w:val="24"/>
                <w:highlight w:val="none"/>
                <w:lang w:val="en-US" w:eastAsia="zh-CN"/>
              </w:rPr>
            </w:pPr>
            <w:r>
              <w:rPr>
                <w:rFonts w:hint="eastAsia"/>
                <w:b/>
                <w:bCs/>
                <w:color w:val="auto"/>
                <w:sz w:val="24"/>
                <w:highlight w:val="none"/>
                <w:lang w:val="en-US" w:eastAsia="zh-CN"/>
              </w:rPr>
              <w:t>2.3现有项目火化机建设及批复情况</w:t>
            </w:r>
          </w:p>
          <w:p w14:paraId="2AC32E6A">
            <w:pPr>
              <w:spacing w:line="360" w:lineRule="auto"/>
              <w:ind w:firstLine="480" w:firstLineChars="200"/>
              <w:jc w:val="left"/>
              <w:rPr>
                <w:rFonts w:hint="default"/>
                <w:b w:val="0"/>
                <w:bCs w:val="0"/>
                <w:color w:val="auto"/>
                <w:sz w:val="24"/>
                <w:highlight w:val="none"/>
                <w:lang w:val="en-US" w:eastAsia="zh-CN"/>
              </w:rPr>
            </w:pPr>
            <w:r>
              <w:rPr>
                <w:rFonts w:hint="default"/>
                <w:b w:val="0"/>
                <w:bCs w:val="0"/>
                <w:color w:val="auto"/>
                <w:sz w:val="24"/>
                <w:highlight w:val="none"/>
                <w:lang w:val="en-US" w:eastAsia="zh-CN"/>
              </w:rPr>
              <w:t>2010年6月，《鄂尔多斯市杭锦旗</w:t>
            </w:r>
            <w:r>
              <w:rPr>
                <w:rFonts w:hint="eastAsia"/>
                <w:b w:val="0"/>
                <w:bCs w:val="0"/>
                <w:color w:val="auto"/>
                <w:sz w:val="24"/>
                <w:highlight w:val="none"/>
                <w:lang w:val="en-US" w:eastAsia="zh-CN"/>
              </w:rPr>
              <w:t>福寿</w:t>
            </w:r>
            <w:r>
              <w:rPr>
                <w:rFonts w:hint="default"/>
                <w:b w:val="0"/>
                <w:bCs w:val="0"/>
                <w:color w:val="auto"/>
                <w:sz w:val="24"/>
                <w:highlight w:val="none"/>
                <w:lang w:val="en-US" w:eastAsia="zh-CN"/>
              </w:rPr>
              <w:t>龙陵园建设项目环境影响登记表》取得原杭锦旗环境保护局审批意见。</w:t>
            </w:r>
            <w:r>
              <w:rPr>
                <w:rFonts w:hint="eastAsia"/>
                <w:b w:val="0"/>
                <w:bCs w:val="0"/>
                <w:color w:val="auto"/>
                <w:sz w:val="24"/>
                <w:highlight w:val="none"/>
                <w:lang w:val="en-US" w:eastAsia="zh-CN"/>
              </w:rPr>
              <w:t>登记表中对火化机的建设情况进行了简要描述，但并未对其排污状况进行定量分析。批复的火化机已于2017年购置并安装。本次扩建遗物祭品焚烧车间后，需对杭锦旗殡仪馆大气主要污染物排放总量指标进行确认，因此本报告补充了对火化机排污情况的定量分析。</w:t>
            </w:r>
          </w:p>
          <w:p w14:paraId="39329856">
            <w:pPr>
              <w:spacing w:line="360" w:lineRule="auto"/>
              <w:jc w:val="left"/>
              <w:rPr>
                <w:b/>
                <w:bCs/>
                <w:color w:val="auto"/>
                <w:sz w:val="24"/>
                <w:highlight w:val="none"/>
              </w:rPr>
            </w:pPr>
            <w:r>
              <w:rPr>
                <w:rFonts w:hint="eastAsia"/>
                <w:b/>
                <w:bCs/>
                <w:color w:val="auto"/>
                <w:sz w:val="24"/>
                <w:highlight w:val="none"/>
                <w:lang w:val="en-US" w:eastAsia="zh-CN"/>
              </w:rPr>
              <w:t>3</w:t>
            </w:r>
            <w:r>
              <w:rPr>
                <w:b/>
                <w:bCs/>
                <w:color w:val="auto"/>
                <w:sz w:val="24"/>
                <w:highlight w:val="none"/>
              </w:rPr>
              <w:t>.</w:t>
            </w:r>
            <w:r>
              <w:rPr>
                <w:rFonts w:hint="eastAsia"/>
                <w:b/>
                <w:bCs/>
                <w:color w:val="auto"/>
                <w:sz w:val="24"/>
                <w:highlight w:val="none"/>
                <w:lang w:val="en-US" w:eastAsia="zh-CN"/>
              </w:rPr>
              <w:t>本项目</w:t>
            </w:r>
            <w:r>
              <w:rPr>
                <w:b/>
                <w:bCs/>
                <w:color w:val="auto"/>
                <w:sz w:val="24"/>
                <w:highlight w:val="none"/>
              </w:rPr>
              <w:t>建设内容</w:t>
            </w:r>
          </w:p>
          <w:p w14:paraId="2A801B1B">
            <w:pPr>
              <w:spacing w:line="360" w:lineRule="auto"/>
              <w:ind w:firstLine="482" w:firstLineChars="200"/>
              <w:jc w:val="left"/>
              <w:rPr>
                <w:bCs/>
                <w:color w:val="auto"/>
                <w:sz w:val="24"/>
                <w:highlight w:val="none"/>
              </w:rPr>
            </w:pPr>
            <w:r>
              <w:rPr>
                <w:b/>
                <w:bCs/>
                <w:color w:val="auto"/>
                <w:sz w:val="24"/>
                <w:highlight w:val="none"/>
              </w:rPr>
              <w:t>项目名称：</w:t>
            </w:r>
            <w:r>
              <w:rPr>
                <w:bCs/>
                <w:color w:val="auto"/>
                <w:sz w:val="24"/>
                <w:highlight w:val="none"/>
              </w:rPr>
              <w:t>杭锦旗殡仪馆项目</w:t>
            </w:r>
          </w:p>
          <w:p w14:paraId="3B481BFA">
            <w:pPr>
              <w:spacing w:line="360" w:lineRule="auto"/>
              <w:ind w:firstLine="482" w:firstLineChars="200"/>
              <w:jc w:val="left"/>
              <w:rPr>
                <w:bCs/>
                <w:color w:val="auto"/>
                <w:sz w:val="24"/>
                <w:highlight w:val="none"/>
              </w:rPr>
            </w:pPr>
            <w:r>
              <w:rPr>
                <w:b/>
                <w:bCs/>
                <w:color w:val="auto"/>
                <w:sz w:val="24"/>
                <w:highlight w:val="none"/>
              </w:rPr>
              <w:t>建设单位：</w:t>
            </w:r>
            <w:r>
              <w:rPr>
                <w:bCs/>
                <w:color w:val="auto"/>
                <w:sz w:val="24"/>
                <w:highlight w:val="none"/>
              </w:rPr>
              <w:t>杭锦旗民政局</w:t>
            </w:r>
          </w:p>
          <w:p w14:paraId="75880DDF">
            <w:pPr>
              <w:spacing w:line="360" w:lineRule="auto"/>
              <w:ind w:firstLine="482" w:firstLineChars="200"/>
              <w:jc w:val="left"/>
              <w:rPr>
                <w:b/>
                <w:bCs/>
                <w:color w:val="auto"/>
                <w:sz w:val="24"/>
                <w:highlight w:val="none"/>
              </w:rPr>
            </w:pPr>
            <w:r>
              <w:rPr>
                <w:b/>
                <w:bCs/>
                <w:color w:val="auto"/>
                <w:sz w:val="24"/>
                <w:highlight w:val="none"/>
              </w:rPr>
              <w:t>建设性质：</w:t>
            </w:r>
            <w:r>
              <w:rPr>
                <w:rFonts w:hint="eastAsia"/>
                <w:color w:val="auto"/>
                <w:sz w:val="24"/>
                <w:highlight w:val="none"/>
              </w:rPr>
              <w:t>扩建</w:t>
            </w:r>
          </w:p>
          <w:p w14:paraId="3C5B235E">
            <w:pPr>
              <w:spacing w:line="360" w:lineRule="auto"/>
              <w:ind w:firstLine="482" w:firstLineChars="200"/>
              <w:jc w:val="left"/>
              <w:rPr>
                <w:bCs/>
                <w:color w:val="auto"/>
                <w:sz w:val="24"/>
                <w:highlight w:val="none"/>
              </w:rPr>
            </w:pPr>
            <w:r>
              <w:rPr>
                <w:b/>
                <w:bCs/>
                <w:color w:val="auto"/>
                <w:sz w:val="24"/>
                <w:highlight w:val="none"/>
              </w:rPr>
              <w:t>建设地点：</w:t>
            </w:r>
            <w:bookmarkStart w:id="4" w:name="_Hlk172558676"/>
            <w:r>
              <w:rPr>
                <w:bCs/>
                <w:color w:val="auto"/>
                <w:sz w:val="24"/>
                <w:highlight w:val="none"/>
              </w:rPr>
              <w:t>项目位于内蒙古自治区鄂尔多斯市</w:t>
            </w:r>
            <w:bookmarkStart w:id="5" w:name="_Hlk179452711"/>
            <w:r>
              <w:rPr>
                <w:bCs/>
                <w:color w:val="auto"/>
                <w:sz w:val="24"/>
                <w:highlight w:val="none"/>
              </w:rPr>
              <w:t>杭锦旗</w:t>
            </w:r>
            <w:bookmarkEnd w:id="4"/>
            <w:bookmarkEnd w:id="5"/>
            <w:r>
              <w:rPr>
                <w:bCs/>
                <w:color w:val="auto"/>
                <w:sz w:val="24"/>
                <w:highlight w:val="none"/>
              </w:rPr>
              <w:t>锡尼镇巴音布拉格嘎查，厂址中心地理坐标为：E108</w:t>
            </w:r>
            <w:r>
              <w:rPr>
                <w:rFonts w:hint="eastAsia"/>
                <w:bCs/>
                <w:color w:val="auto"/>
                <w:sz w:val="24"/>
                <w:highlight w:val="none"/>
                <w:lang w:val="en-US" w:eastAsia="zh-CN"/>
              </w:rPr>
              <w:t>°</w:t>
            </w:r>
            <w:r>
              <w:rPr>
                <w:bCs/>
                <w:color w:val="auto"/>
                <w:sz w:val="24"/>
                <w:highlight w:val="none"/>
              </w:rPr>
              <w:t>39</w:t>
            </w:r>
            <w:r>
              <w:rPr>
                <w:rFonts w:hint="eastAsia"/>
                <w:bCs/>
                <w:color w:val="auto"/>
                <w:sz w:val="24"/>
                <w:highlight w:val="none"/>
                <w:lang w:eastAsia="zh-CN"/>
              </w:rPr>
              <w:t>′</w:t>
            </w:r>
            <w:r>
              <w:rPr>
                <w:bCs/>
                <w:color w:val="auto"/>
                <w:sz w:val="24"/>
                <w:highlight w:val="none"/>
              </w:rPr>
              <w:t>16.898</w:t>
            </w:r>
            <w:r>
              <w:rPr>
                <w:rFonts w:hint="eastAsia"/>
                <w:bCs/>
                <w:color w:val="auto"/>
                <w:sz w:val="24"/>
                <w:highlight w:val="none"/>
                <w:lang w:eastAsia="zh-CN"/>
              </w:rPr>
              <w:t>″</w:t>
            </w:r>
            <w:r>
              <w:rPr>
                <w:bCs/>
                <w:color w:val="auto"/>
                <w:sz w:val="24"/>
                <w:highlight w:val="none"/>
              </w:rPr>
              <w:t>，N39</w:t>
            </w:r>
            <w:r>
              <w:rPr>
                <w:rFonts w:hint="eastAsia"/>
                <w:bCs/>
                <w:color w:val="auto"/>
                <w:sz w:val="24"/>
                <w:highlight w:val="none"/>
                <w:lang w:val="en-US" w:eastAsia="zh-CN"/>
              </w:rPr>
              <w:t>°</w:t>
            </w:r>
            <w:r>
              <w:rPr>
                <w:bCs/>
                <w:color w:val="auto"/>
                <w:sz w:val="24"/>
                <w:highlight w:val="none"/>
              </w:rPr>
              <w:t>45</w:t>
            </w:r>
            <w:r>
              <w:rPr>
                <w:rFonts w:hint="eastAsia"/>
                <w:bCs/>
                <w:color w:val="auto"/>
                <w:sz w:val="24"/>
                <w:highlight w:val="none"/>
                <w:lang w:eastAsia="zh-CN"/>
              </w:rPr>
              <w:t>′</w:t>
            </w:r>
            <w:r>
              <w:rPr>
                <w:bCs/>
                <w:color w:val="auto"/>
                <w:sz w:val="24"/>
                <w:highlight w:val="none"/>
              </w:rPr>
              <w:t>37.601</w:t>
            </w:r>
            <w:r>
              <w:rPr>
                <w:rFonts w:hint="eastAsia"/>
                <w:bCs/>
                <w:color w:val="auto"/>
                <w:sz w:val="24"/>
                <w:highlight w:val="none"/>
                <w:lang w:eastAsia="zh-CN"/>
              </w:rPr>
              <w:t>″</w:t>
            </w:r>
            <w:r>
              <w:rPr>
                <w:bCs/>
                <w:color w:val="auto"/>
                <w:sz w:val="24"/>
                <w:highlight w:val="none"/>
              </w:rPr>
              <w:t>。项目地理位置图见附图2。</w:t>
            </w:r>
          </w:p>
          <w:p w14:paraId="27AB66F9">
            <w:pPr>
              <w:spacing w:line="360" w:lineRule="auto"/>
              <w:ind w:firstLine="482" w:firstLineChars="200"/>
              <w:jc w:val="left"/>
              <w:rPr>
                <w:rFonts w:hint="default" w:eastAsia="宋体"/>
                <w:bCs/>
                <w:color w:val="auto"/>
                <w:sz w:val="24"/>
                <w:highlight w:val="none"/>
                <w:lang w:val="en-US" w:eastAsia="zh-CN"/>
              </w:rPr>
            </w:pPr>
            <w:r>
              <w:rPr>
                <w:b/>
                <w:bCs/>
                <w:color w:val="auto"/>
                <w:sz w:val="24"/>
                <w:highlight w:val="none"/>
              </w:rPr>
              <w:t>建设内容及规模：</w:t>
            </w:r>
            <w:bookmarkStart w:id="6" w:name="_Hlk179452742"/>
            <w:r>
              <w:rPr>
                <w:color w:val="auto"/>
                <w:sz w:val="24"/>
                <w:highlight w:val="none"/>
              </w:rPr>
              <w:t>杭锦旗殡仪馆</w:t>
            </w:r>
            <w:r>
              <w:rPr>
                <w:rFonts w:hint="eastAsia"/>
                <w:color w:val="auto"/>
                <w:sz w:val="24"/>
                <w:highlight w:val="none"/>
                <w:lang w:val="en-US" w:eastAsia="zh-CN"/>
              </w:rPr>
              <w:t>已</w:t>
            </w:r>
            <w:r>
              <w:rPr>
                <w:color w:val="auto"/>
                <w:sz w:val="24"/>
                <w:highlight w:val="none"/>
              </w:rPr>
              <w:t>建</w:t>
            </w:r>
            <w:r>
              <w:rPr>
                <w:rFonts w:hint="eastAsia"/>
                <w:color w:val="auto"/>
                <w:sz w:val="24"/>
                <w:highlight w:val="none"/>
                <w:lang w:val="en-US" w:eastAsia="zh-CN"/>
              </w:rPr>
              <w:t>有</w:t>
            </w:r>
            <w:r>
              <w:rPr>
                <w:color w:val="auto"/>
                <w:sz w:val="24"/>
                <w:highlight w:val="none"/>
              </w:rPr>
              <w:t>火化吊唁楼、办公住宿楼及配套辅助工程、储运工程、公用工程、环保工程等，年火化遗体数量为260具</w:t>
            </w:r>
            <w:r>
              <w:rPr>
                <w:bCs/>
                <w:color w:val="auto"/>
                <w:sz w:val="24"/>
                <w:highlight w:val="none"/>
              </w:rPr>
              <w:t>。</w:t>
            </w:r>
            <w:bookmarkEnd w:id="6"/>
            <w:r>
              <w:rPr>
                <w:rFonts w:hint="eastAsia"/>
                <w:bCs/>
                <w:color w:val="auto"/>
                <w:sz w:val="24"/>
                <w:highlight w:val="none"/>
                <w:lang w:val="en-US" w:eastAsia="zh-CN"/>
              </w:rPr>
              <w:t>本次新建</w:t>
            </w:r>
            <w:r>
              <w:rPr>
                <w:rFonts w:hint="eastAsia"/>
                <w:color w:val="auto"/>
                <w:sz w:val="24"/>
                <w:highlight w:val="none"/>
                <w:lang w:val="en-US" w:eastAsia="zh-CN"/>
              </w:rPr>
              <w:t>1栋</w:t>
            </w:r>
            <w:r>
              <w:rPr>
                <w:color w:val="auto"/>
                <w:sz w:val="24"/>
                <w:highlight w:val="none"/>
              </w:rPr>
              <w:t>骨灰堂、</w:t>
            </w:r>
            <w:r>
              <w:rPr>
                <w:rFonts w:hint="eastAsia"/>
                <w:color w:val="auto"/>
                <w:sz w:val="24"/>
                <w:highlight w:val="none"/>
                <w:lang w:val="en-US" w:eastAsia="zh-CN"/>
              </w:rPr>
              <w:t>1间</w:t>
            </w:r>
            <w:r>
              <w:rPr>
                <w:color w:val="auto"/>
                <w:sz w:val="24"/>
                <w:highlight w:val="none"/>
              </w:rPr>
              <w:t>遗物祭品焚烧车间</w:t>
            </w:r>
            <w:r>
              <w:rPr>
                <w:rFonts w:hint="eastAsia"/>
                <w:color w:val="auto"/>
                <w:sz w:val="24"/>
                <w:highlight w:val="none"/>
                <w:lang w:val="en-US" w:eastAsia="zh-CN"/>
              </w:rPr>
              <w:t>及配套环保设施。</w:t>
            </w:r>
          </w:p>
          <w:p w14:paraId="5C4510AC">
            <w:pPr>
              <w:spacing w:line="360" w:lineRule="auto"/>
              <w:ind w:firstLine="482" w:firstLineChars="200"/>
              <w:jc w:val="left"/>
              <w:rPr>
                <w:b/>
                <w:bCs/>
                <w:color w:val="auto"/>
                <w:sz w:val="24"/>
                <w:highlight w:val="none"/>
              </w:rPr>
            </w:pPr>
            <w:r>
              <w:rPr>
                <w:b/>
                <w:bCs/>
                <w:color w:val="auto"/>
                <w:sz w:val="24"/>
                <w:highlight w:val="none"/>
              </w:rPr>
              <w:t>占地面积：</w:t>
            </w:r>
            <w:r>
              <w:rPr>
                <w:color w:val="auto"/>
                <w:sz w:val="24"/>
                <w:highlight w:val="none"/>
              </w:rPr>
              <w:t>本项目占地面积31456</w:t>
            </w:r>
            <w:r>
              <w:rPr>
                <w:rFonts w:hint="eastAsia"/>
                <w:color w:val="auto"/>
                <w:sz w:val="24"/>
                <w:highlight w:val="none"/>
                <w:vertAlign w:val="baseline"/>
                <w:lang w:eastAsia="zh-CN"/>
              </w:rPr>
              <w:t>m</w:t>
            </w:r>
            <w:r>
              <w:rPr>
                <w:rFonts w:hint="eastAsia"/>
                <w:color w:val="auto"/>
                <w:sz w:val="24"/>
                <w:highlight w:val="none"/>
                <w:vertAlign w:val="superscript"/>
                <w:lang w:eastAsia="zh-CN"/>
              </w:rPr>
              <w:t>2</w:t>
            </w:r>
            <w:r>
              <w:rPr>
                <w:color w:val="auto"/>
                <w:sz w:val="24"/>
                <w:highlight w:val="none"/>
              </w:rPr>
              <w:t>。</w:t>
            </w:r>
          </w:p>
          <w:p w14:paraId="17BE284D">
            <w:pPr>
              <w:spacing w:line="360" w:lineRule="auto"/>
              <w:ind w:firstLine="482" w:firstLineChars="200"/>
              <w:jc w:val="left"/>
              <w:rPr>
                <w:b/>
                <w:bCs/>
                <w:iCs/>
                <w:color w:val="auto"/>
                <w:sz w:val="24"/>
                <w:highlight w:val="none"/>
              </w:rPr>
            </w:pPr>
            <w:r>
              <w:rPr>
                <w:b/>
                <w:bCs/>
                <w:color w:val="auto"/>
                <w:sz w:val="24"/>
                <w:highlight w:val="none"/>
              </w:rPr>
              <w:t>项目投资：</w:t>
            </w:r>
            <w:r>
              <w:rPr>
                <w:bCs/>
                <w:color w:val="auto"/>
                <w:sz w:val="24"/>
                <w:highlight w:val="none"/>
              </w:rPr>
              <w:t>总投资为</w:t>
            </w:r>
            <w:r>
              <w:rPr>
                <w:rFonts w:hint="eastAsia"/>
                <w:bCs/>
                <w:color w:val="auto"/>
                <w:sz w:val="24"/>
                <w:highlight w:val="none"/>
                <w:lang w:val="en-US" w:eastAsia="zh-CN"/>
              </w:rPr>
              <w:t>1500</w:t>
            </w:r>
            <w:r>
              <w:rPr>
                <w:bCs/>
                <w:color w:val="auto"/>
                <w:sz w:val="24"/>
                <w:highlight w:val="none"/>
              </w:rPr>
              <w:t>万元，其中环保投资为</w:t>
            </w:r>
            <w:r>
              <w:rPr>
                <w:rFonts w:hint="eastAsia"/>
                <w:bCs/>
                <w:color w:val="auto"/>
                <w:sz w:val="24"/>
                <w:highlight w:val="none"/>
                <w:lang w:val="en-US" w:eastAsia="zh-CN"/>
              </w:rPr>
              <w:t>75</w:t>
            </w:r>
            <w:r>
              <w:rPr>
                <w:bCs/>
                <w:color w:val="auto"/>
                <w:sz w:val="24"/>
                <w:highlight w:val="none"/>
              </w:rPr>
              <w:t>万元，占总投资的</w:t>
            </w:r>
            <w:r>
              <w:rPr>
                <w:rFonts w:hint="eastAsia"/>
                <w:bCs/>
                <w:color w:val="auto"/>
                <w:sz w:val="24"/>
                <w:highlight w:val="none"/>
                <w:lang w:val="en-US" w:eastAsia="zh-CN"/>
              </w:rPr>
              <w:t>5</w:t>
            </w:r>
            <w:r>
              <w:rPr>
                <w:bCs/>
                <w:color w:val="auto"/>
                <w:sz w:val="24"/>
                <w:highlight w:val="none"/>
              </w:rPr>
              <w:t>%。</w:t>
            </w:r>
          </w:p>
          <w:p w14:paraId="4E70A53F">
            <w:pPr>
              <w:spacing w:line="360" w:lineRule="auto"/>
              <w:ind w:firstLine="480" w:firstLineChars="200"/>
              <w:jc w:val="left"/>
              <w:rPr>
                <w:bCs/>
                <w:color w:val="auto"/>
                <w:sz w:val="24"/>
                <w:highlight w:val="none"/>
              </w:rPr>
            </w:pPr>
            <w:r>
              <w:rPr>
                <w:bCs/>
                <w:color w:val="auto"/>
                <w:sz w:val="24"/>
                <w:highlight w:val="none"/>
              </w:rPr>
              <w:t>本项目工程具体组成见表2-1。</w:t>
            </w:r>
          </w:p>
          <w:p w14:paraId="7C6F915D">
            <w:pPr>
              <w:pStyle w:val="29"/>
              <w:rPr>
                <w:color w:val="auto"/>
                <w:highlight w:val="none"/>
              </w:rPr>
            </w:pPr>
            <w:r>
              <w:rPr>
                <w:color w:val="auto"/>
                <w:highlight w:val="none"/>
              </w:rPr>
              <w:t>表2-</w:t>
            </w:r>
            <w:r>
              <w:rPr>
                <w:rFonts w:hint="eastAsia"/>
                <w:color w:val="auto"/>
                <w:highlight w:val="none"/>
                <w:lang w:val="en-US" w:eastAsia="zh-CN"/>
              </w:rPr>
              <w:t>2</w:t>
            </w:r>
            <w:r>
              <w:rPr>
                <w:color w:val="auto"/>
                <w:highlight w:val="none"/>
              </w:rPr>
              <w:t xml:space="preserve"> 项目组成一览表</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1298"/>
              <w:gridCol w:w="5202"/>
              <w:gridCol w:w="1061"/>
            </w:tblGrid>
            <w:tr w14:paraId="49BB8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1" w:type="dxa"/>
                  <w:tcMar>
                    <w:left w:w="28" w:type="dxa"/>
                    <w:right w:w="28" w:type="dxa"/>
                  </w:tcMar>
                  <w:vAlign w:val="center"/>
                </w:tcPr>
                <w:p w14:paraId="482151DC">
                  <w:pPr>
                    <w:adjustRightInd w:val="0"/>
                    <w:snapToGrid w:val="0"/>
                    <w:jc w:val="center"/>
                    <w:rPr>
                      <w:b/>
                      <w:bCs/>
                      <w:color w:val="auto"/>
                      <w:szCs w:val="21"/>
                      <w:highlight w:val="none"/>
                    </w:rPr>
                  </w:pPr>
                  <w:r>
                    <w:rPr>
                      <w:b/>
                      <w:bCs/>
                      <w:color w:val="auto"/>
                      <w:szCs w:val="21"/>
                      <w:highlight w:val="none"/>
                    </w:rPr>
                    <w:t>类别</w:t>
                  </w:r>
                </w:p>
              </w:tc>
              <w:tc>
                <w:tcPr>
                  <w:tcW w:w="1298" w:type="dxa"/>
                  <w:tcMar>
                    <w:left w:w="28" w:type="dxa"/>
                    <w:right w:w="28" w:type="dxa"/>
                  </w:tcMar>
                  <w:vAlign w:val="center"/>
                </w:tcPr>
                <w:p w14:paraId="75911170">
                  <w:pPr>
                    <w:adjustRightInd w:val="0"/>
                    <w:snapToGrid w:val="0"/>
                    <w:jc w:val="center"/>
                    <w:rPr>
                      <w:b/>
                      <w:bCs/>
                      <w:color w:val="auto"/>
                      <w:szCs w:val="21"/>
                      <w:highlight w:val="none"/>
                    </w:rPr>
                  </w:pPr>
                  <w:r>
                    <w:rPr>
                      <w:b/>
                      <w:bCs/>
                      <w:color w:val="auto"/>
                      <w:szCs w:val="21"/>
                      <w:highlight w:val="none"/>
                    </w:rPr>
                    <w:t>工程名称</w:t>
                  </w:r>
                </w:p>
              </w:tc>
              <w:tc>
                <w:tcPr>
                  <w:tcW w:w="5202" w:type="dxa"/>
                  <w:tcMar>
                    <w:left w:w="28" w:type="dxa"/>
                    <w:right w:w="28" w:type="dxa"/>
                  </w:tcMar>
                  <w:vAlign w:val="center"/>
                </w:tcPr>
                <w:p w14:paraId="5203085B">
                  <w:pPr>
                    <w:adjustRightInd w:val="0"/>
                    <w:snapToGrid w:val="0"/>
                    <w:jc w:val="center"/>
                    <w:rPr>
                      <w:b/>
                      <w:bCs/>
                      <w:color w:val="auto"/>
                      <w:szCs w:val="21"/>
                      <w:highlight w:val="none"/>
                    </w:rPr>
                  </w:pPr>
                  <w:r>
                    <w:rPr>
                      <w:b/>
                      <w:bCs/>
                      <w:color w:val="auto"/>
                      <w:szCs w:val="21"/>
                      <w:highlight w:val="none"/>
                    </w:rPr>
                    <w:t>建设内容及规模</w:t>
                  </w:r>
                </w:p>
              </w:tc>
              <w:tc>
                <w:tcPr>
                  <w:tcW w:w="1061" w:type="dxa"/>
                  <w:vAlign w:val="center"/>
                </w:tcPr>
                <w:p w14:paraId="12C78216">
                  <w:pPr>
                    <w:adjustRightInd w:val="0"/>
                    <w:snapToGrid w:val="0"/>
                    <w:jc w:val="center"/>
                    <w:rPr>
                      <w:b/>
                      <w:bCs/>
                      <w:color w:val="auto"/>
                      <w:szCs w:val="21"/>
                      <w:highlight w:val="none"/>
                    </w:rPr>
                  </w:pPr>
                  <w:r>
                    <w:rPr>
                      <w:b/>
                      <w:bCs/>
                      <w:color w:val="auto"/>
                      <w:szCs w:val="21"/>
                      <w:highlight w:val="none"/>
                    </w:rPr>
                    <w:t>备注</w:t>
                  </w:r>
                </w:p>
              </w:tc>
            </w:tr>
            <w:tr w14:paraId="366BD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1" w:type="dxa"/>
                  <w:vMerge w:val="restart"/>
                  <w:tcMar>
                    <w:left w:w="28" w:type="dxa"/>
                    <w:right w:w="28" w:type="dxa"/>
                  </w:tcMar>
                  <w:vAlign w:val="center"/>
                </w:tcPr>
                <w:p w14:paraId="1F53AB9D">
                  <w:pPr>
                    <w:adjustRightInd w:val="0"/>
                    <w:snapToGrid w:val="0"/>
                    <w:jc w:val="center"/>
                    <w:rPr>
                      <w:color w:val="auto"/>
                      <w:szCs w:val="21"/>
                      <w:highlight w:val="none"/>
                    </w:rPr>
                  </w:pPr>
                  <w:r>
                    <w:rPr>
                      <w:color w:val="auto"/>
                      <w:szCs w:val="21"/>
                      <w:highlight w:val="none"/>
                    </w:rPr>
                    <w:t>主体</w:t>
                  </w:r>
                </w:p>
                <w:p w14:paraId="5B06522F">
                  <w:pPr>
                    <w:adjustRightInd w:val="0"/>
                    <w:snapToGrid w:val="0"/>
                    <w:jc w:val="center"/>
                    <w:rPr>
                      <w:color w:val="auto"/>
                      <w:szCs w:val="21"/>
                      <w:highlight w:val="none"/>
                    </w:rPr>
                  </w:pPr>
                  <w:r>
                    <w:rPr>
                      <w:color w:val="auto"/>
                      <w:szCs w:val="21"/>
                      <w:highlight w:val="none"/>
                    </w:rPr>
                    <w:t>工程</w:t>
                  </w:r>
                </w:p>
              </w:tc>
              <w:tc>
                <w:tcPr>
                  <w:tcW w:w="1298" w:type="dxa"/>
                  <w:tcMar>
                    <w:left w:w="28" w:type="dxa"/>
                    <w:right w:w="28" w:type="dxa"/>
                  </w:tcMar>
                  <w:vAlign w:val="center"/>
                </w:tcPr>
                <w:p w14:paraId="70E01054">
                  <w:pPr>
                    <w:adjustRightInd w:val="0"/>
                    <w:snapToGrid w:val="0"/>
                    <w:jc w:val="center"/>
                    <w:rPr>
                      <w:color w:val="auto"/>
                      <w:szCs w:val="21"/>
                      <w:highlight w:val="none"/>
                    </w:rPr>
                  </w:pPr>
                  <w:r>
                    <w:rPr>
                      <w:color w:val="auto"/>
                      <w:szCs w:val="21"/>
                      <w:highlight w:val="none"/>
                    </w:rPr>
                    <w:t>火化吊唁楼</w:t>
                  </w:r>
                </w:p>
              </w:tc>
              <w:tc>
                <w:tcPr>
                  <w:tcW w:w="5202" w:type="dxa"/>
                  <w:tcMar>
                    <w:left w:w="28" w:type="dxa"/>
                    <w:right w:w="28" w:type="dxa"/>
                  </w:tcMar>
                  <w:vAlign w:val="center"/>
                </w:tcPr>
                <w:p w14:paraId="5CB59BA2">
                  <w:pPr>
                    <w:adjustRightInd w:val="0"/>
                    <w:snapToGrid w:val="0"/>
                    <w:rPr>
                      <w:color w:val="auto"/>
                      <w:szCs w:val="21"/>
                      <w:highlight w:val="none"/>
                    </w:rPr>
                  </w:pPr>
                  <w:r>
                    <w:rPr>
                      <w:color w:val="auto"/>
                      <w:szCs w:val="21"/>
                      <w:highlight w:val="none"/>
                    </w:rPr>
                    <w:t>一栋1F，占地面积3000</w:t>
                  </w:r>
                  <w:r>
                    <w:rPr>
                      <w:rFonts w:hint="eastAsia"/>
                      <w:color w:val="auto"/>
                      <w:szCs w:val="21"/>
                      <w:highlight w:val="none"/>
                      <w:vertAlign w:val="baseline"/>
                      <w:lang w:eastAsia="zh-CN"/>
                    </w:rPr>
                    <w:t>m</w:t>
                  </w:r>
                  <w:r>
                    <w:rPr>
                      <w:rFonts w:hint="eastAsia"/>
                      <w:color w:val="auto"/>
                      <w:szCs w:val="21"/>
                      <w:highlight w:val="none"/>
                      <w:vertAlign w:val="superscript"/>
                      <w:lang w:eastAsia="zh-CN"/>
                    </w:rPr>
                    <w:t>2</w:t>
                  </w:r>
                  <w:r>
                    <w:rPr>
                      <w:color w:val="auto"/>
                      <w:szCs w:val="21"/>
                      <w:highlight w:val="none"/>
                    </w:rPr>
                    <w:t>（75</w:t>
                  </w:r>
                  <w:r>
                    <w:rPr>
                      <w:rFonts w:hint="eastAsia"/>
                      <w:color w:val="auto"/>
                      <w:szCs w:val="21"/>
                      <w:highlight w:val="none"/>
                      <w:lang w:eastAsia="zh-CN"/>
                    </w:rPr>
                    <w:t>m</w:t>
                  </w:r>
                  <w:r>
                    <w:rPr>
                      <w:color w:val="auto"/>
                      <w:szCs w:val="21"/>
                      <w:highlight w:val="none"/>
                    </w:rPr>
                    <w:t>×40</w:t>
                  </w:r>
                  <w:r>
                    <w:rPr>
                      <w:rFonts w:hint="eastAsia"/>
                      <w:color w:val="auto"/>
                      <w:szCs w:val="21"/>
                      <w:highlight w:val="none"/>
                      <w:lang w:eastAsia="zh-CN"/>
                    </w:rPr>
                    <w:t>m</w:t>
                  </w:r>
                  <w:r>
                    <w:rPr>
                      <w:color w:val="auto"/>
                      <w:szCs w:val="21"/>
                      <w:highlight w:val="none"/>
                    </w:rPr>
                    <w:t>），内部设置6间告别厅、1间骨灰寄存室、1间停尸室、1间解剖室、1间技术资料室、1间物证保管室、1间家属等候室、1间火化车间等。火化车间共设置2台拣灰式火化机。</w:t>
                  </w:r>
                </w:p>
              </w:tc>
              <w:tc>
                <w:tcPr>
                  <w:tcW w:w="1061" w:type="dxa"/>
                  <w:vAlign w:val="center"/>
                </w:tcPr>
                <w:p w14:paraId="5E41CD40">
                  <w:pPr>
                    <w:adjustRightInd w:val="0"/>
                    <w:snapToGrid w:val="0"/>
                    <w:jc w:val="center"/>
                    <w:rPr>
                      <w:rFonts w:hint="default" w:eastAsia="宋体"/>
                      <w:color w:val="auto"/>
                      <w:szCs w:val="21"/>
                      <w:highlight w:val="none"/>
                      <w:lang w:val="en-US" w:eastAsia="zh-CN"/>
                    </w:rPr>
                  </w:pPr>
                  <w:r>
                    <w:rPr>
                      <w:color w:val="auto"/>
                      <w:sz w:val="21"/>
                      <w:szCs w:val="21"/>
                      <w:highlight w:val="none"/>
                    </w:rPr>
                    <w:t>已建</w:t>
                  </w:r>
                  <w:r>
                    <w:rPr>
                      <w:rFonts w:hint="eastAsia"/>
                      <w:color w:val="auto"/>
                      <w:sz w:val="21"/>
                      <w:szCs w:val="21"/>
                      <w:highlight w:val="none"/>
                      <w:lang w:eastAsia="zh-CN"/>
                    </w:rPr>
                    <w:t>，</w:t>
                  </w:r>
                  <w:r>
                    <w:rPr>
                      <w:rFonts w:hint="eastAsia"/>
                      <w:bCs/>
                      <w:color w:val="auto"/>
                      <w:sz w:val="21"/>
                      <w:szCs w:val="21"/>
                      <w:highlight w:val="none"/>
                      <w:lang w:val="en-US" w:eastAsia="zh-CN"/>
                    </w:rPr>
                    <w:t>本次环评补充火化机排污定量分析</w:t>
                  </w:r>
                </w:p>
              </w:tc>
            </w:tr>
            <w:tr w14:paraId="0B88F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1" w:type="dxa"/>
                  <w:vMerge w:val="continue"/>
                  <w:tcMar>
                    <w:left w:w="28" w:type="dxa"/>
                    <w:right w:w="28" w:type="dxa"/>
                  </w:tcMar>
                  <w:vAlign w:val="center"/>
                </w:tcPr>
                <w:p w14:paraId="12D78EA7">
                  <w:pPr>
                    <w:adjustRightInd w:val="0"/>
                    <w:snapToGrid w:val="0"/>
                    <w:jc w:val="center"/>
                    <w:rPr>
                      <w:color w:val="auto"/>
                      <w:szCs w:val="21"/>
                      <w:highlight w:val="none"/>
                    </w:rPr>
                  </w:pPr>
                </w:p>
              </w:tc>
              <w:tc>
                <w:tcPr>
                  <w:tcW w:w="1298" w:type="dxa"/>
                  <w:tcMar>
                    <w:left w:w="28" w:type="dxa"/>
                    <w:right w:w="28" w:type="dxa"/>
                  </w:tcMar>
                  <w:vAlign w:val="center"/>
                </w:tcPr>
                <w:p w14:paraId="7FB725CD">
                  <w:pPr>
                    <w:adjustRightInd w:val="0"/>
                    <w:snapToGrid w:val="0"/>
                    <w:jc w:val="center"/>
                    <w:rPr>
                      <w:color w:val="auto"/>
                      <w:szCs w:val="21"/>
                      <w:highlight w:val="none"/>
                    </w:rPr>
                  </w:pPr>
                  <w:r>
                    <w:rPr>
                      <w:color w:val="auto"/>
                      <w:szCs w:val="21"/>
                      <w:highlight w:val="none"/>
                    </w:rPr>
                    <w:t>遗物祭品焚烧车间</w:t>
                  </w:r>
                </w:p>
              </w:tc>
              <w:tc>
                <w:tcPr>
                  <w:tcW w:w="5202" w:type="dxa"/>
                  <w:tcMar>
                    <w:left w:w="28" w:type="dxa"/>
                    <w:right w:w="28" w:type="dxa"/>
                  </w:tcMar>
                  <w:vAlign w:val="center"/>
                </w:tcPr>
                <w:p w14:paraId="2E25C2CB">
                  <w:pPr>
                    <w:adjustRightInd w:val="0"/>
                    <w:snapToGrid w:val="0"/>
                    <w:rPr>
                      <w:color w:val="auto"/>
                      <w:szCs w:val="21"/>
                      <w:highlight w:val="none"/>
                    </w:rPr>
                  </w:pPr>
                  <w:r>
                    <w:rPr>
                      <w:color w:val="auto"/>
                      <w:szCs w:val="21"/>
                      <w:highlight w:val="none"/>
                    </w:rPr>
                    <w:t>一栋1F，占地面积110</w:t>
                  </w:r>
                  <w:r>
                    <w:rPr>
                      <w:rFonts w:hint="eastAsia"/>
                      <w:color w:val="auto"/>
                      <w:szCs w:val="21"/>
                      <w:highlight w:val="none"/>
                      <w:vertAlign w:val="baseline"/>
                      <w:lang w:eastAsia="zh-CN"/>
                    </w:rPr>
                    <w:t>m</w:t>
                  </w:r>
                  <w:r>
                    <w:rPr>
                      <w:rFonts w:hint="eastAsia"/>
                      <w:color w:val="auto"/>
                      <w:szCs w:val="21"/>
                      <w:highlight w:val="none"/>
                      <w:vertAlign w:val="superscript"/>
                      <w:lang w:eastAsia="zh-CN"/>
                    </w:rPr>
                    <w:t>2</w:t>
                  </w:r>
                  <w:r>
                    <w:rPr>
                      <w:color w:val="auto"/>
                      <w:szCs w:val="21"/>
                      <w:highlight w:val="none"/>
                    </w:rPr>
                    <w:t>，内设遗物祭品焚烧炉一座。</w:t>
                  </w:r>
                </w:p>
              </w:tc>
              <w:tc>
                <w:tcPr>
                  <w:tcW w:w="1061" w:type="dxa"/>
                  <w:vAlign w:val="center"/>
                </w:tcPr>
                <w:p w14:paraId="4B38026A">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新建</w:t>
                  </w:r>
                </w:p>
              </w:tc>
            </w:tr>
            <w:tr w14:paraId="171BE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1" w:type="dxa"/>
                  <w:vMerge w:val="continue"/>
                  <w:tcMar>
                    <w:left w:w="28" w:type="dxa"/>
                    <w:right w:w="28" w:type="dxa"/>
                  </w:tcMar>
                  <w:vAlign w:val="center"/>
                </w:tcPr>
                <w:p w14:paraId="7F30A241">
                  <w:pPr>
                    <w:adjustRightInd w:val="0"/>
                    <w:snapToGrid w:val="0"/>
                    <w:jc w:val="center"/>
                    <w:rPr>
                      <w:color w:val="auto"/>
                      <w:szCs w:val="21"/>
                      <w:highlight w:val="none"/>
                    </w:rPr>
                  </w:pPr>
                </w:p>
              </w:tc>
              <w:tc>
                <w:tcPr>
                  <w:tcW w:w="1298" w:type="dxa"/>
                  <w:tcMar>
                    <w:left w:w="28" w:type="dxa"/>
                    <w:right w:w="28" w:type="dxa"/>
                  </w:tcMar>
                  <w:vAlign w:val="center"/>
                </w:tcPr>
                <w:p w14:paraId="7646FB03">
                  <w:pPr>
                    <w:adjustRightInd w:val="0"/>
                    <w:snapToGrid w:val="0"/>
                    <w:jc w:val="center"/>
                    <w:rPr>
                      <w:color w:val="auto"/>
                      <w:szCs w:val="21"/>
                      <w:highlight w:val="none"/>
                    </w:rPr>
                  </w:pPr>
                  <w:r>
                    <w:rPr>
                      <w:color w:val="auto"/>
                      <w:szCs w:val="21"/>
                      <w:highlight w:val="none"/>
                    </w:rPr>
                    <w:t>骨灰堂</w:t>
                  </w:r>
                </w:p>
              </w:tc>
              <w:tc>
                <w:tcPr>
                  <w:tcW w:w="5202" w:type="dxa"/>
                  <w:tcMar>
                    <w:left w:w="28" w:type="dxa"/>
                    <w:right w:w="28" w:type="dxa"/>
                  </w:tcMar>
                  <w:vAlign w:val="center"/>
                </w:tcPr>
                <w:p w14:paraId="1E727C21">
                  <w:pPr>
                    <w:adjustRightInd w:val="0"/>
                    <w:snapToGrid w:val="0"/>
                    <w:rPr>
                      <w:color w:val="auto"/>
                      <w:szCs w:val="21"/>
                      <w:highlight w:val="none"/>
                    </w:rPr>
                  </w:pPr>
                  <w:r>
                    <w:rPr>
                      <w:color w:val="auto"/>
                      <w:szCs w:val="21"/>
                      <w:highlight w:val="none"/>
                    </w:rPr>
                    <w:t>一栋1F，占地面积3333.35</w:t>
                  </w:r>
                  <w:r>
                    <w:rPr>
                      <w:rFonts w:hint="eastAsia"/>
                      <w:color w:val="auto"/>
                      <w:szCs w:val="21"/>
                      <w:highlight w:val="none"/>
                      <w:vertAlign w:val="baseline"/>
                      <w:lang w:eastAsia="zh-CN"/>
                    </w:rPr>
                    <w:t>m</w:t>
                  </w:r>
                  <w:r>
                    <w:rPr>
                      <w:rFonts w:hint="eastAsia"/>
                      <w:color w:val="auto"/>
                      <w:szCs w:val="21"/>
                      <w:highlight w:val="none"/>
                      <w:vertAlign w:val="superscript"/>
                      <w:lang w:eastAsia="zh-CN"/>
                    </w:rPr>
                    <w:t>2</w:t>
                  </w:r>
                  <w:r>
                    <w:rPr>
                      <w:color w:val="auto"/>
                      <w:szCs w:val="21"/>
                      <w:highlight w:val="none"/>
                    </w:rPr>
                    <w:t>，骨灰安置数5694个。</w:t>
                  </w:r>
                </w:p>
              </w:tc>
              <w:tc>
                <w:tcPr>
                  <w:tcW w:w="1061" w:type="dxa"/>
                  <w:vAlign w:val="center"/>
                </w:tcPr>
                <w:p w14:paraId="50696C57">
                  <w:pPr>
                    <w:adjustRightInd w:val="0"/>
                    <w:snapToGrid w:val="0"/>
                    <w:jc w:val="center"/>
                    <w:rPr>
                      <w:color w:val="auto"/>
                      <w:szCs w:val="21"/>
                      <w:highlight w:val="none"/>
                    </w:rPr>
                  </w:pPr>
                  <w:r>
                    <w:rPr>
                      <w:color w:val="auto"/>
                      <w:szCs w:val="21"/>
                      <w:highlight w:val="none"/>
                    </w:rPr>
                    <w:t>新建</w:t>
                  </w:r>
                </w:p>
              </w:tc>
            </w:tr>
            <w:tr w14:paraId="46C2D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1" w:type="dxa"/>
                  <w:shd w:val="clear" w:color="auto" w:fill="auto"/>
                  <w:tcMar>
                    <w:left w:w="28" w:type="dxa"/>
                    <w:right w:w="28" w:type="dxa"/>
                  </w:tcMar>
                  <w:vAlign w:val="center"/>
                </w:tcPr>
                <w:p w14:paraId="3937E240">
                  <w:pPr>
                    <w:autoSpaceDE w:val="0"/>
                    <w:autoSpaceDN w:val="0"/>
                    <w:adjustRightInd w:val="0"/>
                    <w:snapToGrid w:val="0"/>
                    <w:jc w:val="center"/>
                    <w:rPr>
                      <w:color w:val="auto"/>
                      <w:szCs w:val="21"/>
                      <w:highlight w:val="none"/>
                    </w:rPr>
                  </w:pPr>
                  <w:r>
                    <w:rPr>
                      <w:color w:val="auto"/>
                      <w:szCs w:val="21"/>
                      <w:highlight w:val="none"/>
                    </w:rPr>
                    <w:t>储运工程</w:t>
                  </w:r>
                </w:p>
              </w:tc>
              <w:tc>
                <w:tcPr>
                  <w:tcW w:w="1298" w:type="dxa"/>
                  <w:shd w:val="clear" w:color="auto" w:fill="auto"/>
                  <w:tcMar>
                    <w:left w:w="28" w:type="dxa"/>
                    <w:right w:w="28" w:type="dxa"/>
                  </w:tcMar>
                  <w:vAlign w:val="center"/>
                </w:tcPr>
                <w:p w14:paraId="2688FB5E">
                  <w:pPr>
                    <w:autoSpaceDE w:val="0"/>
                    <w:autoSpaceDN w:val="0"/>
                    <w:adjustRightInd w:val="0"/>
                    <w:snapToGrid w:val="0"/>
                    <w:jc w:val="center"/>
                    <w:rPr>
                      <w:color w:val="auto"/>
                      <w:szCs w:val="21"/>
                      <w:highlight w:val="none"/>
                    </w:rPr>
                  </w:pPr>
                  <w:r>
                    <w:rPr>
                      <w:color w:val="auto"/>
                      <w:szCs w:val="21"/>
                      <w:highlight w:val="none"/>
                    </w:rPr>
                    <w:t>柴油储罐</w:t>
                  </w:r>
                </w:p>
              </w:tc>
              <w:tc>
                <w:tcPr>
                  <w:tcW w:w="5202" w:type="dxa"/>
                  <w:shd w:val="clear" w:color="auto" w:fill="auto"/>
                  <w:tcMar>
                    <w:left w:w="28" w:type="dxa"/>
                    <w:right w:w="28" w:type="dxa"/>
                  </w:tcMar>
                  <w:vAlign w:val="center"/>
                </w:tcPr>
                <w:p w14:paraId="1287358E">
                  <w:pPr>
                    <w:autoSpaceDE w:val="0"/>
                    <w:autoSpaceDN w:val="0"/>
                    <w:adjustRightInd w:val="0"/>
                    <w:snapToGrid w:val="0"/>
                    <w:rPr>
                      <w:color w:val="auto"/>
                      <w:szCs w:val="21"/>
                      <w:highlight w:val="none"/>
                    </w:rPr>
                  </w:pPr>
                  <w:r>
                    <w:rPr>
                      <w:color w:val="auto"/>
                      <w:kern w:val="0"/>
                      <w:szCs w:val="21"/>
                      <w:highlight w:val="none"/>
                    </w:rPr>
                    <w:t>采用柴油作为火化遗体的辅助燃料，项目设1个300L柴油储罐</w:t>
                  </w:r>
                  <w:r>
                    <w:rPr>
                      <w:rStyle w:val="25"/>
                      <w:rFonts w:hint="eastAsia"/>
                      <w:color w:val="auto"/>
                      <w:highlight w:val="none"/>
                    </w:rPr>
                    <w:t>，为双层罐</w:t>
                  </w:r>
                  <w:r>
                    <w:rPr>
                      <w:color w:val="auto"/>
                      <w:kern w:val="0"/>
                      <w:szCs w:val="21"/>
                      <w:highlight w:val="none"/>
                    </w:rPr>
                    <w:t>，置于火化车间旁边的储油室。同时储油室内的地面已进行重点防渗。</w:t>
                  </w:r>
                </w:p>
              </w:tc>
              <w:tc>
                <w:tcPr>
                  <w:tcW w:w="1061" w:type="dxa"/>
                  <w:vAlign w:val="center"/>
                </w:tcPr>
                <w:p w14:paraId="0D7A5C46">
                  <w:pPr>
                    <w:adjustRightInd w:val="0"/>
                    <w:snapToGrid w:val="0"/>
                    <w:jc w:val="center"/>
                    <w:rPr>
                      <w:color w:val="auto"/>
                      <w:szCs w:val="21"/>
                      <w:highlight w:val="none"/>
                    </w:rPr>
                  </w:pPr>
                  <w:r>
                    <w:rPr>
                      <w:color w:val="auto"/>
                      <w:szCs w:val="21"/>
                      <w:highlight w:val="none"/>
                    </w:rPr>
                    <w:t>已建</w:t>
                  </w:r>
                </w:p>
              </w:tc>
            </w:tr>
            <w:tr w14:paraId="43284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1" w:type="dxa"/>
                  <w:vMerge w:val="restart"/>
                  <w:tcMar>
                    <w:left w:w="28" w:type="dxa"/>
                    <w:right w:w="28" w:type="dxa"/>
                  </w:tcMar>
                  <w:vAlign w:val="center"/>
                </w:tcPr>
                <w:p w14:paraId="1D4A9307">
                  <w:pPr>
                    <w:adjustRightInd w:val="0"/>
                    <w:snapToGrid w:val="0"/>
                    <w:jc w:val="center"/>
                    <w:rPr>
                      <w:color w:val="auto"/>
                      <w:szCs w:val="21"/>
                      <w:highlight w:val="none"/>
                    </w:rPr>
                  </w:pPr>
                  <w:r>
                    <w:rPr>
                      <w:color w:val="auto"/>
                      <w:szCs w:val="21"/>
                      <w:highlight w:val="none"/>
                    </w:rPr>
                    <w:t>辅助工程</w:t>
                  </w:r>
                </w:p>
              </w:tc>
              <w:tc>
                <w:tcPr>
                  <w:tcW w:w="1298" w:type="dxa"/>
                  <w:tcBorders>
                    <w:top w:val="single" w:color="auto" w:sz="4" w:space="0"/>
                  </w:tcBorders>
                  <w:shd w:val="clear" w:color="auto" w:fill="auto"/>
                  <w:tcMar>
                    <w:left w:w="28" w:type="dxa"/>
                    <w:right w:w="28" w:type="dxa"/>
                  </w:tcMar>
                  <w:vAlign w:val="center"/>
                </w:tcPr>
                <w:p w14:paraId="564206F3">
                  <w:pPr>
                    <w:adjustRightInd w:val="0"/>
                    <w:snapToGrid w:val="0"/>
                    <w:jc w:val="center"/>
                    <w:rPr>
                      <w:color w:val="auto"/>
                      <w:kern w:val="0"/>
                      <w:szCs w:val="21"/>
                      <w:highlight w:val="none"/>
                    </w:rPr>
                  </w:pPr>
                  <w:r>
                    <w:rPr>
                      <w:color w:val="auto"/>
                      <w:kern w:val="0"/>
                      <w:szCs w:val="21"/>
                      <w:highlight w:val="none"/>
                    </w:rPr>
                    <w:t>办公住宿楼</w:t>
                  </w:r>
                </w:p>
              </w:tc>
              <w:tc>
                <w:tcPr>
                  <w:tcW w:w="5202" w:type="dxa"/>
                  <w:tcBorders>
                    <w:top w:val="single" w:color="auto" w:sz="4" w:space="0"/>
                  </w:tcBorders>
                  <w:shd w:val="clear" w:color="auto" w:fill="auto"/>
                  <w:tcMar>
                    <w:left w:w="28" w:type="dxa"/>
                    <w:right w:w="28" w:type="dxa"/>
                  </w:tcMar>
                  <w:vAlign w:val="center"/>
                </w:tcPr>
                <w:p w14:paraId="5C851986">
                  <w:pPr>
                    <w:adjustRightInd w:val="0"/>
                    <w:snapToGrid w:val="0"/>
                    <w:rPr>
                      <w:color w:val="auto"/>
                      <w:szCs w:val="21"/>
                      <w:highlight w:val="none"/>
                    </w:rPr>
                  </w:pPr>
                  <w:r>
                    <w:rPr>
                      <w:color w:val="auto"/>
                      <w:szCs w:val="21"/>
                      <w:highlight w:val="none"/>
                    </w:rPr>
                    <w:t>一栋2F，占地面积2800</w:t>
                  </w:r>
                  <w:r>
                    <w:rPr>
                      <w:rFonts w:hint="eastAsia"/>
                      <w:color w:val="auto"/>
                      <w:szCs w:val="21"/>
                      <w:highlight w:val="none"/>
                      <w:vertAlign w:val="baseline"/>
                      <w:lang w:eastAsia="zh-CN"/>
                    </w:rPr>
                    <w:t>m</w:t>
                  </w:r>
                  <w:r>
                    <w:rPr>
                      <w:rFonts w:hint="eastAsia"/>
                      <w:color w:val="auto"/>
                      <w:szCs w:val="21"/>
                      <w:highlight w:val="none"/>
                      <w:vertAlign w:val="superscript"/>
                      <w:lang w:eastAsia="zh-CN"/>
                    </w:rPr>
                    <w:t>2</w:t>
                  </w:r>
                  <w:r>
                    <w:rPr>
                      <w:color w:val="auto"/>
                      <w:szCs w:val="21"/>
                      <w:highlight w:val="none"/>
                    </w:rPr>
                    <w:t>，内设办公区、餐饮区、住宿区。</w:t>
                  </w:r>
                </w:p>
              </w:tc>
              <w:tc>
                <w:tcPr>
                  <w:tcW w:w="1061" w:type="dxa"/>
                  <w:shd w:val="clear" w:color="auto" w:fill="auto"/>
                  <w:vAlign w:val="center"/>
                </w:tcPr>
                <w:p w14:paraId="609A0252">
                  <w:pPr>
                    <w:adjustRightInd w:val="0"/>
                    <w:snapToGrid w:val="0"/>
                    <w:jc w:val="center"/>
                    <w:rPr>
                      <w:color w:val="auto"/>
                      <w:szCs w:val="21"/>
                      <w:highlight w:val="none"/>
                    </w:rPr>
                  </w:pPr>
                  <w:r>
                    <w:rPr>
                      <w:color w:val="auto"/>
                      <w:szCs w:val="21"/>
                      <w:highlight w:val="none"/>
                    </w:rPr>
                    <w:t>已建</w:t>
                  </w:r>
                </w:p>
              </w:tc>
            </w:tr>
            <w:tr w14:paraId="7518B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1" w:type="dxa"/>
                  <w:vMerge w:val="continue"/>
                  <w:tcMar>
                    <w:left w:w="28" w:type="dxa"/>
                    <w:right w:w="28" w:type="dxa"/>
                  </w:tcMar>
                  <w:vAlign w:val="center"/>
                </w:tcPr>
                <w:p w14:paraId="7578F820">
                  <w:pPr>
                    <w:adjustRightInd w:val="0"/>
                    <w:snapToGrid w:val="0"/>
                    <w:jc w:val="center"/>
                    <w:rPr>
                      <w:color w:val="auto"/>
                      <w:szCs w:val="21"/>
                      <w:highlight w:val="none"/>
                    </w:rPr>
                  </w:pPr>
                </w:p>
              </w:tc>
              <w:tc>
                <w:tcPr>
                  <w:tcW w:w="1298" w:type="dxa"/>
                  <w:tcBorders>
                    <w:top w:val="single" w:color="auto" w:sz="4" w:space="0"/>
                  </w:tcBorders>
                  <w:shd w:val="clear" w:color="auto" w:fill="auto"/>
                  <w:tcMar>
                    <w:left w:w="28" w:type="dxa"/>
                    <w:right w:w="28" w:type="dxa"/>
                  </w:tcMar>
                  <w:vAlign w:val="center"/>
                </w:tcPr>
                <w:p w14:paraId="566C84CB">
                  <w:pPr>
                    <w:adjustRightInd w:val="0"/>
                    <w:snapToGrid w:val="0"/>
                    <w:jc w:val="center"/>
                    <w:rPr>
                      <w:color w:val="auto"/>
                      <w:kern w:val="0"/>
                      <w:szCs w:val="21"/>
                      <w:highlight w:val="none"/>
                    </w:rPr>
                  </w:pPr>
                  <w:r>
                    <w:rPr>
                      <w:color w:val="auto"/>
                      <w:kern w:val="0"/>
                      <w:szCs w:val="21"/>
                      <w:highlight w:val="none"/>
                    </w:rPr>
                    <w:t>危废暂存间</w:t>
                  </w:r>
                </w:p>
              </w:tc>
              <w:tc>
                <w:tcPr>
                  <w:tcW w:w="5202" w:type="dxa"/>
                  <w:tcBorders>
                    <w:top w:val="single" w:color="auto" w:sz="4" w:space="0"/>
                  </w:tcBorders>
                  <w:shd w:val="clear" w:color="auto" w:fill="auto"/>
                  <w:tcMar>
                    <w:left w:w="28" w:type="dxa"/>
                    <w:right w:w="28" w:type="dxa"/>
                  </w:tcMar>
                  <w:vAlign w:val="center"/>
                </w:tcPr>
                <w:p w14:paraId="27010260">
                  <w:pPr>
                    <w:adjustRightInd w:val="0"/>
                    <w:snapToGrid w:val="0"/>
                    <w:rPr>
                      <w:color w:val="auto"/>
                      <w:szCs w:val="21"/>
                      <w:highlight w:val="none"/>
                    </w:rPr>
                  </w:pPr>
                  <w:r>
                    <w:rPr>
                      <w:color w:val="auto"/>
                      <w:szCs w:val="21"/>
                      <w:highlight w:val="none"/>
                    </w:rPr>
                    <w:t>建筑面积</w:t>
                  </w:r>
                  <w:r>
                    <w:rPr>
                      <w:rFonts w:hint="eastAsia"/>
                      <w:color w:val="auto"/>
                      <w:szCs w:val="21"/>
                      <w:highlight w:val="none"/>
                      <w:lang w:eastAsia="zh-CN"/>
                    </w:rPr>
                    <w:t>为</w:t>
                  </w:r>
                  <w:r>
                    <w:rPr>
                      <w:color w:val="auto"/>
                      <w:szCs w:val="21"/>
                      <w:highlight w:val="none"/>
                    </w:rPr>
                    <w:t>20</w:t>
                  </w:r>
                  <w:r>
                    <w:rPr>
                      <w:rFonts w:hint="eastAsia"/>
                      <w:color w:val="auto"/>
                      <w:szCs w:val="21"/>
                      <w:highlight w:val="none"/>
                      <w:vertAlign w:val="baseline"/>
                      <w:lang w:eastAsia="zh-CN"/>
                    </w:rPr>
                    <w:t>m</w:t>
                  </w:r>
                  <w:r>
                    <w:rPr>
                      <w:rFonts w:hint="eastAsia"/>
                      <w:color w:val="auto"/>
                      <w:szCs w:val="21"/>
                      <w:highlight w:val="none"/>
                      <w:vertAlign w:val="superscript"/>
                      <w:lang w:eastAsia="zh-CN"/>
                    </w:rPr>
                    <w:t>2</w:t>
                  </w:r>
                  <w:r>
                    <w:rPr>
                      <w:color w:val="auto"/>
                      <w:szCs w:val="21"/>
                      <w:highlight w:val="none"/>
                    </w:rPr>
                    <w:t>，位于火化吊唁楼内南侧。用于暂存</w:t>
                  </w:r>
                  <w:r>
                    <w:rPr>
                      <w:rFonts w:hint="eastAsia"/>
                      <w:color w:val="auto"/>
                      <w:szCs w:val="21"/>
                      <w:highlight w:val="none"/>
                      <w:lang w:val="en-US" w:eastAsia="zh-CN"/>
                    </w:rPr>
                    <w:t>本项目产生的危险废物</w:t>
                  </w:r>
                  <w:r>
                    <w:rPr>
                      <w:color w:val="auto"/>
                      <w:szCs w:val="21"/>
                      <w:highlight w:val="none"/>
                    </w:rPr>
                    <w:t>。</w:t>
                  </w:r>
                </w:p>
              </w:tc>
              <w:tc>
                <w:tcPr>
                  <w:tcW w:w="1061" w:type="dxa"/>
                  <w:shd w:val="clear" w:color="auto" w:fill="auto"/>
                  <w:vAlign w:val="center"/>
                </w:tcPr>
                <w:p w14:paraId="1BFB4F60">
                  <w:pPr>
                    <w:adjustRightInd w:val="0"/>
                    <w:snapToGrid w:val="0"/>
                    <w:jc w:val="center"/>
                    <w:rPr>
                      <w:color w:val="auto"/>
                      <w:szCs w:val="21"/>
                      <w:highlight w:val="none"/>
                    </w:rPr>
                  </w:pPr>
                  <w:r>
                    <w:rPr>
                      <w:color w:val="auto"/>
                      <w:szCs w:val="21"/>
                      <w:highlight w:val="none"/>
                    </w:rPr>
                    <w:t>新建</w:t>
                  </w:r>
                </w:p>
              </w:tc>
            </w:tr>
            <w:tr w14:paraId="546F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1" w:type="dxa"/>
                  <w:vMerge w:val="restart"/>
                  <w:tcMar>
                    <w:left w:w="28" w:type="dxa"/>
                    <w:right w:w="28" w:type="dxa"/>
                  </w:tcMar>
                  <w:vAlign w:val="center"/>
                </w:tcPr>
                <w:p w14:paraId="3E23DB82">
                  <w:pPr>
                    <w:adjustRightInd w:val="0"/>
                    <w:snapToGrid w:val="0"/>
                    <w:jc w:val="center"/>
                    <w:rPr>
                      <w:color w:val="auto"/>
                      <w:szCs w:val="21"/>
                      <w:highlight w:val="none"/>
                    </w:rPr>
                  </w:pPr>
                  <w:r>
                    <w:rPr>
                      <w:color w:val="auto"/>
                      <w:szCs w:val="21"/>
                      <w:highlight w:val="none"/>
                    </w:rPr>
                    <w:t>公用</w:t>
                  </w:r>
                </w:p>
                <w:p w14:paraId="276CB5C9">
                  <w:pPr>
                    <w:adjustRightInd w:val="0"/>
                    <w:snapToGrid w:val="0"/>
                    <w:jc w:val="center"/>
                    <w:rPr>
                      <w:color w:val="auto"/>
                      <w:szCs w:val="21"/>
                      <w:highlight w:val="none"/>
                    </w:rPr>
                  </w:pPr>
                  <w:r>
                    <w:rPr>
                      <w:color w:val="auto"/>
                      <w:szCs w:val="21"/>
                      <w:highlight w:val="none"/>
                    </w:rPr>
                    <w:t>工程</w:t>
                  </w:r>
                </w:p>
              </w:tc>
              <w:tc>
                <w:tcPr>
                  <w:tcW w:w="1298" w:type="dxa"/>
                  <w:tcMar>
                    <w:left w:w="28" w:type="dxa"/>
                    <w:right w:w="28" w:type="dxa"/>
                  </w:tcMar>
                  <w:vAlign w:val="center"/>
                </w:tcPr>
                <w:p w14:paraId="2322DF5B">
                  <w:pPr>
                    <w:adjustRightInd w:val="0"/>
                    <w:snapToGrid w:val="0"/>
                    <w:jc w:val="center"/>
                    <w:rPr>
                      <w:color w:val="auto"/>
                      <w:szCs w:val="21"/>
                      <w:highlight w:val="none"/>
                    </w:rPr>
                  </w:pPr>
                  <w:r>
                    <w:rPr>
                      <w:color w:val="auto"/>
                      <w:szCs w:val="21"/>
                      <w:highlight w:val="none"/>
                    </w:rPr>
                    <w:t>给水工程</w:t>
                  </w:r>
                </w:p>
              </w:tc>
              <w:tc>
                <w:tcPr>
                  <w:tcW w:w="5202" w:type="dxa"/>
                  <w:tcMar>
                    <w:left w:w="28" w:type="dxa"/>
                    <w:right w:w="28" w:type="dxa"/>
                  </w:tcMar>
                  <w:vAlign w:val="center"/>
                </w:tcPr>
                <w:p w14:paraId="40C79F8C">
                  <w:pPr>
                    <w:adjustRightInd w:val="0"/>
                    <w:snapToGrid w:val="0"/>
                    <w:rPr>
                      <w:color w:val="auto"/>
                      <w:szCs w:val="21"/>
                      <w:highlight w:val="none"/>
                    </w:rPr>
                  </w:pPr>
                  <w:r>
                    <w:rPr>
                      <w:color w:val="auto"/>
                      <w:szCs w:val="21"/>
                      <w:highlight w:val="none"/>
                    </w:rPr>
                    <w:t>项目用水由企业征地内现有水井提供，能保证项目正常用水需求。</w:t>
                  </w:r>
                </w:p>
              </w:tc>
              <w:tc>
                <w:tcPr>
                  <w:tcW w:w="1061" w:type="dxa"/>
                  <w:vAlign w:val="center"/>
                </w:tcPr>
                <w:p w14:paraId="5477F42E">
                  <w:pPr>
                    <w:adjustRightInd w:val="0"/>
                    <w:snapToGrid w:val="0"/>
                    <w:jc w:val="center"/>
                    <w:rPr>
                      <w:rFonts w:hint="eastAsia" w:eastAsia="宋体"/>
                      <w:color w:val="auto"/>
                      <w:szCs w:val="21"/>
                      <w:highlight w:val="none"/>
                      <w:lang w:eastAsia="zh-CN"/>
                    </w:rPr>
                  </w:pPr>
                  <w:r>
                    <w:rPr>
                      <w:rFonts w:hint="eastAsia"/>
                      <w:color w:val="auto"/>
                      <w:szCs w:val="21"/>
                      <w:highlight w:val="none"/>
                      <w:lang w:val="en-US" w:eastAsia="zh-CN"/>
                    </w:rPr>
                    <w:t>/</w:t>
                  </w:r>
                </w:p>
              </w:tc>
            </w:tr>
            <w:tr w14:paraId="2C53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1" w:type="dxa"/>
                  <w:vMerge w:val="continue"/>
                  <w:tcMar>
                    <w:left w:w="28" w:type="dxa"/>
                    <w:right w:w="28" w:type="dxa"/>
                  </w:tcMar>
                  <w:vAlign w:val="center"/>
                </w:tcPr>
                <w:p w14:paraId="0C9D76E8">
                  <w:pPr>
                    <w:adjustRightInd w:val="0"/>
                    <w:snapToGrid w:val="0"/>
                    <w:jc w:val="center"/>
                    <w:rPr>
                      <w:color w:val="auto"/>
                      <w:szCs w:val="21"/>
                      <w:highlight w:val="none"/>
                    </w:rPr>
                  </w:pPr>
                </w:p>
              </w:tc>
              <w:tc>
                <w:tcPr>
                  <w:tcW w:w="1298" w:type="dxa"/>
                  <w:tcMar>
                    <w:left w:w="28" w:type="dxa"/>
                    <w:right w:w="28" w:type="dxa"/>
                  </w:tcMar>
                  <w:vAlign w:val="center"/>
                </w:tcPr>
                <w:p w14:paraId="73C1E495">
                  <w:pPr>
                    <w:adjustRightInd w:val="0"/>
                    <w:snapToGrid w:val="0"/>
                    <w:jc w:val="center"/>
                    <w:rPr>
                      <w:color w:val="auto"/>
                      <w:szCs w:val="21"/>
                      <w:highlight w:val="none"/>
                    </w:rPr>
                  </w:pPr>
                  <w:r>
                    <w:rPr>
                      <w:color w:val="auto"/>
                      <w:szCs w:val="21"/>
                      <w:highlight w:val="none"/>
                    </w:rPr>
                    <w:t>排水工程</w:t>
                  </w:r>
                </w:p>
              </w:tc>
              <w:tc>
                <w:tcPr>
                  <w:tcW w:w="5202" w:type="dxa"/>
                  <w:tcMar>
                    <w:left w:w="28" w:type="dxa"/>
                    <w:right w:w="28" w:type="dxa"/>
                  </w:tcMar>
                  <w:vAlign w:val="center"/>
                </w:tcPr>
                <w:p w14:paraId="221D43D0">
                  <w:pPr>
                    <w:adjustRightInd w:val="0"/>
                    <w:snapToGrid w:val="0"/>
                    <w:rPr>
                      <w:color w:val="auto"/>
                      <w:szCs w:val="21"/>
                      <w:highlight w:val="none"/>
                    </w:rPr>
                  </w:pPr>
                  <w:r>
                    <w:rPr>
                      <w:color w:val="auto"/>
                      <w:szCs w:val="21"/>
                      <w:highlight w:val="none"/>
                    </w:rPr>
                    <w:t>本项目生活污水经化粪池收集后，定期拉运至杭锦旗锡尼镇污水处理厂处理。</w:t>
                  </w:r>
                </w:p>
              </w:tc>
              <w:tc>
                <w:tcPr>
                  <w:tcW w:w="1061" w:type="dxa"/>
                  <w:vAlign w:val="center"/>
                </w:tcPr>
                <w:p w14:paraId="232999FF">
                  <w:pPr>
                    <w:adjustRightInd w:val="0"/>
                    <w:snapToGrid w:val="0"/>
                    <w:jc w:val="center"/>
                    <w:rPr>
                      <w:rFonts w:hint="eastAsia" w:eastAsia="宋体"/>
                      <w:color w:val="auto"/>
                      <w:szCs w:val="21"/>
                      <w:highlight w:val="none"/>
                      <w:lang w:eastAsia="zh-CN"/>
                    </w:rPr>
                  </w:pPr>
                  <w:r>
                    <w:rPr>
                      <w:rFonts w:hint="eastAsia"/>
                      <w:color w:val="auto"/>
                      <w:szCs w:val="21"/>
                      <w:highlight w:val="none"/>
                      <w:lang w:val="en-US" w:eastAsia="zh-CN"/>
                    </w:rPr>
                    <w:t>/</w:t>
                  </w:r>
                </w:p>
              </w:tc>
            </w:tr>
            <w:tr w14:paraId="71D3F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1" w:type="dxa"/>
                  <w:vMerge w:val="continue"/>
                  <w:tcMar>
                    <w:left w:w="28" w:type="dxa"/>
                    <w:right w:w="28" w:type="dxa"/>
                  </w:tcMar>
                  <w:vAlign w:val="center"/>
                </w:tcPr>
                <w:p w14:paraId="5714F4E3">
                  <w:pPr>
                    <w:adjustRightInd w:val="0"/>
                    <w:snapToGrid w:val="0"/>
                    <w:jc w:val="center"/>
                    <w:rPr>
                      <w:color w:val="auto"/>
                      <w:szCs w:val="21"/>
                      <w:highlight w:val="none"/>
                    </w:rPr>
                  </w:pPr>
                </w:p>
              </w:tc>
              <w:tc>
                <w:tcPr>
                  <w:tcW w:w="1298" w:type="dxa"/>
                  <w:tcMar>
                    <w:left w:w="28" w:type="dxa"/>
                    <w:right w:w="28" w:type="dxa"/>
                  </w:tcMar>
                  <w:vAlign w:val="center"/>
                </w:tcPr>
                <w:p w14:paraId="538ABB44">
                  <w:pPr>
                    <w:adjustRightInd w:val="0"/>
                    <w:snapToGrid w:val="0"/>
                    <w:jc w:val="center"/>
                    <w:rPr>
                      <w:color w:val="auto"/>
                      <w:szCs w:val="21"/>
                      <w:highlight w:val="none"/>
                    </w:rPr>
                  </w:pPr>
                  <w:r>
                    <w:rPr>
                      <w:color w:val="auto"/>
                      <w:szCs w:val="21"/>
                      <w:highlight w:val="none"/>
                    </w:rPr>
                    <w:t>供电工程</w:t>
                  </w:r>
                </w:p>
              </w:tc>
              <w:tc>
                <w:tcPr>
                  <w:tcW w:w="5202" w:type="dxa"/>
                  <w:tcMar>
                    <w:left w:w="28" w:type="dxa"/>
                    <w:right w:w="28" w:type="dxa"/>
                  </w:tcMar>
                  <w:vAlign w:val="center"/>
                </w:tcPr>
                <w:p w14:paraId="56B6D5DA">
                  <w:pPr>
                    <w:adjustRightInd w:val="0"/>
                    <w:snapToGrid w:val="0"/>
                    <w:rPr>
                      <w:color w:val="auto"/>
                      <w:szCs w:val="21"/>
                      <w:highlight w:val="none"/>
                    </w:rPr>
                  </w:pPr>
                  <w:r>
                    <w:rPr>
                      <w:color w:val="auto"/>
                      <w:szCs w:val="21"/>
                      <w:highlight w:val="none"/>
                    </w:rPr>
                    <w:t>由当地电网供</w:t>
                  </w:r>
                  <w:r>
                    <w:rPr>
                      <w:rFonts w:hint="eastAsia"/>
                      <w:color w:val="auto"/>
                      <w:szCs w:val="21"/>
                      <w:highlight w:val="none"/>
                      <w:lang w:eastAsia="zh-CN"/>
                    </w:rPr>
                    <w:t>电</w:t>
                  </w:r>
                  <w:r>
                    <w:rPr>
                      <w:color w:val="auto"/>
                      <w:szCs w:val="21"/>
                      <w:highlight w:val="none"/>
                    </w:rPr>
                    <w:t>。</w:t>
                  </w:r>
                </w:p>
              </w:tc>
              <w:tc>
                <w:tcPr>
                  <w:tcW w:w="1061" w:type="dxa"/>
                  <w:vAlign w:val="center"/>
                </w:tcPr>
                <w:p w14:paraId="4A5F22E0">
                  <w:pPr>
                    <w:adjustRightInd w:val="0"/>
                    <w:snapToGrid w:val="0"/>
                    <w:jc w:val="center"/>
                    <w:rPr>
                      <w:rFonts w:hint="eastAsia" w:eastAsia="宋体"/>
                      <w:color w:val="auto"/>
                      <w:szCs w:val="21"/>
                      <w:highlight w:val="none"/>
                      <w:lang w:eastAsia="zh-CN"/>
                    </w:rPr>
                  </w:pPr>
                  <w:r>
                    <w:rPr>
                      <w:rFonts w:hint="eastAsia"/>
                      <w:color w:val="auto"/>
                      <w:szCs w:val="21"/>
                      <w:highlight w:val="none"/>
                      <w:lang w:val="en-US" w:eastAsia="zh-CN"/>
                    </w:rPr>
                    <w:t>/</w:t>
                  </w:r>
                </w:p>
              </w:tc>
            </w:tr>
            <w:tr w14:paraId="123F3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1" w:type="dxa"/>
                  <w:vMerge w:val="continue"/>
                  <w:tcMar>
                    <w:left w:w="28" w:type="dxa"/>
                    <w:right w:w="28" w:type="dxa"/>
                  </w:tcMar>
                  <w:vAlign w:val="center"/>
                </w:tcPr>
                <w:p w14:paraId="3BBFB124">
                  <w:pPr>
                    <w:adjustRightInd w:val="0"/>
                    <w:snapToGrid w:val="0"/>
                    <w:jc w:val="center"/>
                    <w:rPr>
                      <w:color w:val="auto"/>
                      <w:szCs w:val="21"/>
                      <w:highlight w:val="none"/>
                    </w:rPr>
                  </w:pPr>
                </w:p>
              </w:tc>
              <w:tc>
                <w:tcPr>
                  <w:tcW w:w="1298" w:type="dxa"/>
                  <w:tcMar>
                    <w:left w:w="28" w:type="dxa"/>
                    <w:right w:w="28" w:type="dxa"/>
                  </w:tcMar>
                  <w:vAlign w:val="center"/>
                </w:tcPr>
                <w:p w14:paraId="1A1D6370">
                  <w:pPr>
                    <w:adjustRightInd w:val="0"/>
                    <w:snapToGrid w:val="0"/>
                    <w:jc w:val="center"/>
                    <w:rPr>
                      <w:color w:val="auto"/>
                      <w:szCs w:val="21"/>
                      <w:highlight w:val="none"/>
                    </w:rPr>
                  </w:pPr>
                  <w:r>
                    <w:rPr>
                      <w:color w:val="auto"/>
                      <w:szCs w:val="21"/>
                      <w:highlight w:val="none"/>
                    </w:rPr>
                    <w:t>供暖工程</w:t>
                  </w:r>
                </w:p>
              </w:tc>
              <w:tc>
                <w:tcPr>
                  <w:tcW w:w="5202" w:type="dxa"/>
                  <w:tcMar>
                    <w:left w:w="28" w:type="dxa"/>
                    <w:right w:w="28" w:type="dxa"/>
                  </w:tcMar>
                  <w:vAlign w:val="center"/>
                </w:tcPr>
                <w:p w14:paraId="7D73EC5A">
                  <w:pPr>
                    <w:adjustRightInd w:val="0"/>
                    <w:snapToGrid w:val="0"/>
                    <w:rPr>
                      <w:color w:val="auto"/>
                      <w:szCs w:val="21"/>
                      <w:highlight w:val="none"/>
                    </w:rPr>
                  </w:pPr>
                  <w:r>
                    <w:rPr>
                      <w:color w:val="auto"/>
                      <w:szCs w:val="21"/>
                      <w:highlight w:val="none"/>
                    </w:rPr>
                    <w:t>冬季取暖采用电暖气。</w:t>
                  </w:r>
                </w:p>
              </w:tc>
              <w:tc>
                <w:tcPr>
                  <w:tcW w:w="1061" w:type="dxa"/>
                  <w:vAlign w:val="center"/>
                </w:tcPr>
                <w:p w14:paraId="6F50BBDF">
                  <w:pPr>
                    <w:adjustRightInd w:val="0"/>
                    <w:snapToGrid w:val="0"/>
                    <w:jc w:val="center"/>
                    <w:rPr>
                      <w:rFonts w:hint="eastAsia" w:eastAsia="宋体"/>
                      <w:color w:val="auto"/>
                      <w:szCs w:val="21"/>
                      <w:highlight w:val="none"/>
                      <w:lang w:eastAsia="zh-CN"/>
                    </w:rPr>
                  </w:pPr>
                  <w:r>
                    <w:rPr>
                      <w:rFonts w:hint="eastAsia"/>
                      <w:color w:val="auto"/>
                      <w:szCs w:val="21"/>
                      <w:highlight w:val="none"/>
                      <w:lang w:val="en-US" w:eastAsia="zh-CN"/>
                    </w:rPr>
                    <w:t>/</w:t>
                  </w:r>
                </w:p>
              </w:tc>
            </w:tr>
            <w:tr w14:paraId="11F9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1" w:type="dxa"/>
                  <w:vMerge w:val="restart"/>
                  <w:tcMar>
                    <w:left w:w="28" w:type="dxa"/>
                    <w:right w:w="28" w:type="dxa"/>
                  </w:tcMar>
                  <w:vAlign w:val="center"/>
                </w:tcPr>
                <w:p w14:paraId="77D9BB9A">
                  <w:pPr>
                    <w:adjustRightInd w:val="0"/>
                    <w:snapToGrid w:val="0"/>
                    <w:jc w:val="center"/>
                    <w:rPr>
                      <w:color w:val="auto"/>
                      <w:szCs w:val="21"/>
                      <w:highlight w:val="none"/>
                    </w:rPr>
                  </w:pPr>
                  <w:r>
                    <w:rPr>
                      <w:color w:val="auto"/>
                      <w:szCs w:val="21"/>
                      <w:highlight w:val="none"/>
                    </w:rPr>
                    <w:t>环保</w:t>
                  </w:r>
                </w:p>
                <w:p w14:paraId="2F16603F">
                  <w:pPr>
                    <w:adjustRightInd w:val="0"/>
                    <w:snapToGrid w:val="0"/>
                    <w:jc w:val="center"/>
                    <w:rPr>
                      <w:color w:val="auto"/>
                      <w:szCs w:val="21"/>
                      <w:highlight w:val="none"/>
                    </w:rPr>
                  </w:pPr>
                  <w:r>
                    <w:rPr>
                      <w:color w:val="auto"/>
                      <w:szCs w:val="21"/>
                      <w:highlight w:val="none"/>
                    </w:rPr>
                    <w:t>工程</w:t>
                  </w:r>
                </w:p>
              </w:tc>
              <w:tc>
                <w:tcPr>
                  <w:tcW w:w="1298" w:type="dxa"/>
                  <w:vMerge w:val="restart"/>
                  <w:tcMar>
                    <w:left w:w="28" w:type="dxa"/>
                    <w:right w:w="28" w:type="dxa"/>
                  </w:tcMar>
                  <w:vAlign w:val="center"/>
                </w:tcPr>
                <w:p w14:paraId="4C3CBD69">
                  <w:pPr>
                    <w:adjustRightInd w:val="0"/>
                    <w:snapToGrid w:val="0"/>
                    <w:jc w:val="center"/>
                    <w:rPr>
                      <w:color w:val="auto"/>
                      <w:szCs w:val="21"/>
                      <w:highlight w:val="none"/>
                    </w:rPr>
                  </w:pPr>
                  <w:r>
                    <w:rPr>
                      <w:color w:val="auto"/>
                      <w:szCs w:val="21"/>
                      <w:highlight w:val="none"/>
                    </w:rPr>
                    <w:t>废气</w:t>
                  </w:r>
                </w:p>
              </w:tc>
              <w:tc>
                <w:tcPr>
                  <w:tcW w:w="5202" w:type="dxa"/>
                  <w:tcMar>
                    <w:left w:w="28" w:type="dxa"/>
                    <w:right w:w="28" w:type="dxa"/>
                  </w:tcMar>
                  <w:vAlign w:val="center"/>
                </w:tcPr>
                <w:p w14:paraId="1A922413">
                  <w:pPr>
                    <w:adjustRightInd w:val="0"/>
                    <w:snapToGrid w:val="0"/>
                    <w:rPr>
                      <w:color w:val="auto"/>
                      <w:szCs w:val="21"/>
                      <w:highlight w:val="none"/>
                    </w:rPr>
                  </w:pPr>
                  <w:r>
                    <w:rPr>
                      <w:color w:val="auto"/>
                      <w:szCs w:val="21"/>
                      <w:highlight w:val="none"/>
                    </w:rPr>
                    <w:t>遗体火化废气：本项目设置两台</w:t>
                  </w:r>
                  <w:r>
                    <w:rPr>
                      <w:rFonts w:hint="eastAsia"/>
                      <w:color w:val="auto"/>
                      <w:szCs w:val="21"/>
                      <w:highlight w:val="none"/>
                      <w:lang w:eastAsia="zh-CN"/>
                    </w:rPr>
                    <w:t>火化机</w:t>
                  </w:r>
                  <w:r>
                    <w:rPr>
                      <w:color w:val="auto"/>
                      <w:szCs w:val="21"/>
                      <w:highlight w:val="none"/>
                    </w:rPr>
                    <w:t>，</w:t>
                  </w:r>
                  <w:r>
                    <w:rPr>
                      <w:rFonts w:hint="eastAsia"/>
                      <w:color w:val="auto"/>
                      <w:szCs w:val="21"/>
                      <w:highlight w:val="none"/>
                      <w:lang w:eastAsia="zh-CN"/>
                    </w:rPr>
                    <w:t>火化机</w:t>
                  </w:r>
                  <w:r>
                    <w:rPr>
                      <w:color w:val="auto"/>
                      <w:szCs w:val="21"/>
                      <w:highlight w:val="none"/>
                    </w:rPr>
                    <w:t>燃烧废气经1套</w:t>
                  </w:r>
                  <w:r>
                    <w:rPr>
                      <w:rFonts w:hint="eastAsia"/>
                      <w:color w:val="auto"/>
                      <w:szCs w:val="21"/>
                      <w:highlight w:val="none"/>
                      <w:lang w:val="zh-CN"/>
                    </w:rPr>
                    <w:t>“烟气急冷系统+消石灰+旋风除尘器</w:t>
                  </w:r>
                  <w:r>
                    <w:rPr>
                      <w:color w:val="auto"/>
                      <w:szCs w:val="21"/>
                      <w:highlight w:val="none"/>
                    </w:rPr>
                    <w:t>+</w:t>
                  </w:r>
                  <w:r>
                    <w:rPr>
                      <w:rFonts w:hint="eastAsia"/>
                      <w:color w:val="auto"/>
                      <w:szCs w:val="21"/>
                      <w:highlight w:val="none"/>
                      <w:lang w:eastAsia="zh-CN"/>
                    </w:rPr>
                    <w:t>活性炭喷射装置+布袋除尘器”</w:t>
                  </w:r>
                  <w:r>
                    <w:rPr>
                      <w:color w:val="auto"/>
                      <w:szCs w:val="21"/>
                      <w:highlight w:val="none"/>
                    </w:rPr>
                    <w:t>处理后经12</w:t>
                  </w:r>
                  <w:r>
                    <w:rPr>
                      <w:rFonts w:hint="eastAsia"/>
                      <w:color w:val="auto"/>
                      <w:szCs w:val="21"/>
                      <w:highlight w:val="none"/>
                      <w:lang w:eastAsia="zh-CN"/>
                    </w:rPr>
                    <w:t>m</w:t>
                  </w:r>
                  <w:r>
                    <w:rPr>
                      <w:color w:val="auto"/>
                      <w:szCs w:val="21"/>
                      <w:highlight w:val="none"/>
                    </w:rPr>
                    <w:t>高排气筒排放。</w:t>
                  </w:r>
                </w:p>
              </w:tc>
              <w:tc>
                <w:tcPr>
                  <w:tcW w:w="1061" w:type="dxa"/>
                  <w:vAlign w:val="center"/>
                </w:tcPr>
                <w:p w14:paraId="1D7C8D85">
                  <w:pPr>
                    <w:adjustRightInd w:val="0"/>
                    <w:snapToGrid w:val="0"/>
                    <w:jc w:val="center"/>
                    <w:rPr>
                      <w:color w:val="auto"/>
                      <w:szCs w:val="21"/>
                      <w:highlight w:val="none"/>
                    </w:rPr>
                  </w:pPr>
                  <w:r>
                    <w:rPr>
                      <w:color w:val="auto"/>
                      <w:szCs w:val="21"/>
                      <w:highlight w:val="none"/>
                    </w:rPr>
                    <w:t>已建</w:t>
                  </w:r>
                </w:p>
              </w:tc>
            </w:tr>
            <w:tr w14:paraId="7E25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1" w:type="dxa"/>
                  <w:vMerge w:val="continue"/>
                  <w:tcMar>
                    <w:left w:w="28" w:type="dxa"/>
                    <w:right w:w="28" w:type="dxa"/>
                  </w:tcMar>
                  <w:vAlign w:val="center"/>
                </w:tcPr>
                <w:p w14:paraId="0369235E">
                  <w:pPr>
                    <w:adjustRightInd w:val="0"/>
                    <w:snapToGrid w:val="0"/>
                    <w:jc w:val="center"/>
                    <w:rPr>
                      <w:color w:val="auto"/>
                      <w:szCs w:val="21"/>
                      <w:highlight w:val="none"/>
                    </w:rPr>
                  </w:pPr>
                </w:p>
              </w:tc>
              <w:tc>
                <w:tcPr>
                  <w:tcW w:w="1298" w:type="dxa"/>
                  <w:vMerge w:val="continue"/>
                  <w:tcMar>
                    <w:left w:w="28" w:type="dxa"/>
                    <w:right w:w="28" w:type="dxa"/>
                  </w:tcMar>
                  <w:vAlign w:val="center"/>
                </w:tcPr>
                <w:p w14:paraId="6BA421DF">
                  <w:pPr>
                    <w:adjustRightInd w:val="0"/>
                    <w:snapToGrid w:val="0"/>
                    <w:jc w:val="center"/>
                    <w:rPr>
                      <w:color w:val="auto"/>
                      <w:szCs w:val="21"/>
                      <w:highlight w:val="none"/>
                    </w:rPr>
                  </w:pPr>
                </w:p>
              </w:tc>
              <w:tc>
                <w:tcPr>
                  <w:tcW w:w="5202" w:type="dxa"/>
                  <w:tcMar>
                    <w:left w:w="28" w:type="dxa"/>
                    <w:right w:w="28" w:type="dxa"/>
                  </w:tcMar>
                  <w:vAlign w:val="center"/>
                </w:tcPr>
                <w:p w14:paraId="3ADA1E57">
                  <w:pPr>
                    <w:adjustRightInd w:val="0"/>
                    <w:snapToGrid w:val="0"/>
                    <w:rPr>
                      <w:color w:val="auto"/>
                      <w:szCs w:val="21"/>
                      <w:highlight w:val="none"/>
                    </w:rPr>
                  </w:pPr>
                  <w:r>
                    <w:rPr>
                      <w:color w:val="auto"/>
                      <w:szCs w:val="21"/>
                      <w:highlight w:val="none"/>
                    </w:rPr>
                    <w:t>遗物焚烧废气：本项目设一台遗物祭品焚烧炉，焚烧炉燃烧废气经1套</w:t>
                  </w:r>
                  <w:r>
                    <w:rPr>
                      <w:rFonts w:hint="eastAsia"/>
                      <w:color w:val="auto"/>
                      <w:szCs w:val="21"/>
                      <w:highlight w:val="none"/>
                      <w:lang w:eastAsia="zh-CN"/>
                    </w:rPr>
                    <w:t>“</w:t>
                  </w:r>
                  <w:r>
                    <w:rPr>
                      <w:rFonts w:hint="eastAsia"/>
                      <w:color w:val="auto"/>
                      <w:szCs w:val="21"/>
                      <w:highlight w:val="none"/>
                    </w:rPr>
                    <w:t>烟气急冷系统+消石灰+</w:t>
                  </w:r>
                  <w:r>
                    <w:rPr>
                      <w:rFonts w:hint="eastAsia"/>
                      <w:color w:val="auto"/>
                      <w:szCs w:val="21"/>
                      <w:highlight w:val="none"/>
                      <w:lang w:eastAsia="zh-CN"/>
                    </w:rPr>
                    <w:t>旋风除尘器</w:t>
                  </w:r>
                  <w:r>
                    <w:rPr>
                      <w:color w:val="auto"/>
                      <w:szCs w:val="21"/>
                      <w:highlight w:val="none"/>
                    </w:rPr>
                    <w:t>+</w:t>
                  </w:r>
                  <w:r>
                    <w:rPr>
                      <w:rFonts w:hint="eastAsia"/>
                      <w:color w:val="auto"/>
                      <w:szCs w:val="21"/>
                      <w:highlight w:val="none"/>
                      <w:lang w:eastAsia="zh-CN"/>
                    </w:rPr>
                    <w:t>活性炭喷射装置+布袋除尘器”</w:t>
                  </w:r>
                  <w:r>
                    <w:rPr>
                      <w:color w:val="auto"/>
                      <w:szCs w:val="21"/>
                      <w:highlight w:val="none"/>
                    </w:rPr>
                    <w:t>处理后经12</w:t>
                  </w:r>
                  <w:r>
                    <w:rPr>
                      <w:rFonts w:hint="eastAsia"/>
                      <w:color w:val="auto"/>
                      <w:szCs w:val="21"/>
                      <w:highlight w:val="none"/>
                      <w:lang w:eastAsia="zh-CN"/>
                    </w:rPr>
                    <w:t>m</w:t>
                  </w:r>
                  <w:r>
                    <w:rPr>
                      <w:color w:val="auto"/>
                      <w:szCs w:val="21"/>
                      <w:highlight w:val="none"/>
                    </w:rPr>
                    <w:t>高排气筒排放。</w:t>
                  </w:r>
                </w:p>
              </w:tc>
              <w:tc>
                <w:tcPr>
                  <w:tcW w:w="1061" w:type="dxa"/>
                  <w:vAlign w:val="center"/>
                </w:tcPr>
                <w:p w14:paraId="0B532503">
                  <w:pPr>
                    <w:adjustRightInd w:val="0"/>
                    <w:snapToGrid w:val="0"/>
                    <w:jc w:val="center"/>
                    <w:rPr>
                      <w:color w:val="auto"/>
                      <w:szCs w:val="21"/>
                      <w:highlight w:val="none"/>
                    </w:rPr>
                  </w:pPr>
                  <w:r>
                    <w:rPr>
                      <w:rFonts w:hint="eastAsia"/>
                      <w:color w:val="auto"/>
                      <w:szCs w:val="21"/>
                      <w:highlight w:val="none"/>
                      <w:lang w:val="en-US" w:eastAsia="zh-CN"/>
                    </w:rPr>
                    <w:t>新</w:t>
                  </w:r>
                  <w:r>
                    <w:rPr>
                      <w:color w:val="auto"/>
                      <w:szCs w:val="21"/>
                      <w:highlight w:val="none"/>
                    </w:rPr>
                    <w:t>建</w:t>
                  </w:r>
                </w:p>
              </w:tc>
            </w:tr>
            <w:tr w14:paraId="16657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1" w:type="dxa"/>
                  <w:vMerge w:val="continue"/>
                  <w:tcMar>
                    <w:left w:w="28" w:type="dxa"/>
                    <w:right w:w="28" w:type="dxa"/>
                  </w:tcMar>
                  <w:vAlign w:val="center"/>
                </w:tcPr>
                <w:p w14:paraId="1CAEB028">
                  <w:pPr>
                    <w:adjustRightInd w:val="0"/>
                    <w:snapToGrid w:val="0"/>
                    <w:jc w:val="center"/>
                    <w:rPr>
                      <w:color w:val="auto"/>
                      <w:szCs w:val="21"/>
                      <w:highlight w:val="none"/>
                    </w:rPr>
                  </w:pPr>
                </w:p>
              </w:tc>
              <w:tc>
                <w:tcPr>
                  <w:tcW w:w="1298" w:type="dxa"/>
                  <w:tcMar>
                    <w:left w:w="28" w:type="dxa"/>
                    <w:right w:w="28" w:type="dxa"/>
                  </w:tcMar>
                  <w:vAlign w:val="center"/>
                </w:tcPr>
                <w:p w14:paraId="7A981B37">
                  <w:pPr>
                    <w:adjustRightInd w:val="0"/>
                    <w:snapToGrid w:val="0"/>
                    <w:jc w:val="center"/>
                    <w:rPr>
                      <w:color w:val="auto"/>
                      <w:szCs w:val="21"/>
                      <w:highlight w:val="none"/>
                    </w:rPr>
                  </w:pPr>
                  <w:r>
                    <w:rPr>
                      <w:color w:val="auto"/>
                      <w:szCs w:val="21"/>
                      <w:highlight w:val="none"/>
                    </w:rPr>
                    <w:t>废水</w:t>
                  </w:r>
                </w:p>
              </w:tc>
              <w:tc>
                <w:tcPr>
                  <w:tcW w:w="5202" w:type="dxa"/>
                  <w:tcMar>
                    <w:left w:w="28" w:type="dxa"/>
                    <w:right w:w="28" w:type="dxa"/>
                  </w:tcMar>
                  <w:vAlign w:val="center"/>
                </w:tcPr>
                <w:p w14:paraId="798C40D0">
                  <w:pPr>
                    <w:adjustRightInd w:val="0"/>
                    <w:snapToGrid w:val="0"/>
                    <w:rPr>
                      <w:color w:val="auto"/>
                      <w:szCs w:val="21"/>
                      <w:highlight w:val="none"/>
                    </w:rPr>
                  </w:pPr>
                  <w:r>
                    <w:rPr>
                      <w:color w:val="auto"/>
                      <w:szCs w:val="21"/>
                      <w:highlight w:val="none"/>
                    </w:rPr>
                    <w:t>生活污水、餐饮废水、遗体处置废水、解剖废水、殡仪车辆清洗废水暂存于化粪池（20</w:t>
                  </w:r>
                  <w:r>
                    <w:rPr>
                      <w:rFonts w:hint="eastAsia"/>
                      <w:color w:val="auto"/>
                      <w:szCs w:val="21"/>
                      <w:highlight w:val="none"/>
                      <w:vertAlign w:val="baseline"/>
                      <w:lang w:eastAsia="zh-CN"/>
                    </w:rPr>
                    <w:t>m</w:t>
                  </w:r>
                  <w:r>
                    <w:rPr>
                      <w:rFonts w:hint="eastAsia"/>
                      <w:color w:val="auto"/>
                      <w:szCs w:val="21"/>
                      <w:highlight w:val="none"/>
                      <w:vertAlign w:val="superscript"/>
                      <w:lang w:eastAsia="zh-CN"/>
                    </w:rPr>
                    <w:t>3</w:t>
                  </w:r>
                  <w:r>
                    <w:rPr>
                      <w:color w:val="auto"/>
                      <w:szCs w:val="21"/>
                      <w:highlight w:val="none"/>
                    </w:rPr>
                    <w:t>）内，定期拉运至杭锦旗锡尼镇污水处理厂处理</w:t>
                  </w:r>
                  <w:r>
                    <w:rPr>
                      <w:rFonts w:hint="eastAsia"/>
                      <w:color w:val="auto"/>
                      <w:szCs w:val="21"/>
                      <w:highlight w:val="none"/>
                    </w:rPr>
                    <w:t>。</w:t>
                  </w:r>
                </w:p>
              </w:tc>
              <w:tc>
                <w:tcPr>
                  <w:tcW w:w="1061" w:type="dxa"/>
                  <w:vAlign w:val="center"/>
                </w:tcPr>
                <w:p w14:paraId="5FA43B39">
                  <w:pPr>
                    <w:adjustRightInd w:val="0"/>
                    <w:snapToGrid w:val="0"/>
                    <w:jc w:val="center"/>
                    <w:rPr>
                      <w:color w:val="auto"/>
                      <w:szCs w:val="21"/>
                      <w:highlight w:val="none"/>
                    </w:rPr>
                  </w:pPr>
                  <w:r>
                    <w:rPr>
                      <w:color w:val="auto"/>
                      <w:szCs w:val="21"/>
                      <w:highlight w:val="none"/>
                    </w:rPr>
                    <w:t>已建</w:t>
                  </w:r>
                </w:p>
              </w:tc>
            </w:tr>
            <w:tr w14:paraId="562F3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1" w:type="dxa"/>
                  <w:vMerge w:val="continue"/>
                  <w:tcMar>
                    <w:left w:w="28" w:type="dxa"/>
                    <w:right w:w="28" w:type="dxa"/>
                  </w:tcMar>
                  <w:vAlign w:val="center"/>
                </w:tcPr>
                <w:p w14:paraId="16EEC7F1">
                  <w:pPr>
                    <w:adjustRightInd w:val="0"/>
                    <w:snapToGrid w:val="0"/>
                    <w:jc w:val="center"/>
                    <w:rPr>
                      <w:color w:val="auto"/>
                      <w:szCs w:val="21"/>
                      <w:highlight w:val="none"/>
                    </w:rPr>
                  </w:pPr>
                </w:p>
              </w:tc>
              <w:tc>
                <w:tcPr>
                  <w:tcW w:w="1298" w:type="dxa"/>
                  <w:vMerge w:val="restart"/>
                  <w:tcMar>
                    <w:left w:w="28" w:type="dxa"/>
                    <w:right w:w="28" w:type="dxa"/>
                  </w:tcMar>
                  <w:vAlign w:val="center"/>
                </w:tcPr>
                <w:p w14:paraId="5F4AE65B">
                  <w:pPr>
                    <w:adjustRightInd w:val="0"/>
                    <w:snapToGrid w:val="0"/>
                    <w:jc w:val="center"/>
                    <w:rPr>
                      <w:color w:val="auto"/>
                      <w:szCs w:val="21"/>
                      <w:highlight w:val="none"/>
                    </w:rPr>
                  </w:pPr>
                  <w:r>
                    <w:rPr>
                      <w:color w:val="auto"/>
                      <w:szCs w:val="21"/>
                      <w:highlight w:val="none"/>
                    </w:rPr>
                    <w:t>固废</w:t>
                  </w:r>
                </w:p>
              </w:tc>
              <w:tc>
                <w:tcPr>
                  <w:tcW w:w="5202" w:type="dxa"/>
                  <w:tcMar>
                    <w:left w:w="28" w:type="dxa"/>
                    <w:right w:w="28" w:type="dxa"/>
                  </w:tcMar>
                  <w:vAlign w:val="center"/>
                </w:tcPr>
                <w:p w14:paraId="37EBBED0">
                  <w:pPr>
                    <w:adjustRightInd w:val="0"/>
                    <w:snapToGrid w:val="0"/>
                    <w:rPr>
                      <w:color w:val="auto"/>
                      <w:szCs w:val="21"/>
                      <w:highlight w:val="none"/>
                    </w:rPr>
                  </w:pPr>
                  <w:r>
                    <w:rPr>
                      <w:color w:val="auto"/>
                      <w:szCs w:val="21"/>
                      <w:highlight w:val="none"/>
                    </w:rPr>
                    <w:t>生活垃圾经厂内垃圾箱收集后交由当地环卫部门定期清运处理。</w:t>
                  </w:r>
                </w:p>
              </w:tc>
              <w:tc>
                <w:tcPr>
                  <w:tcW w:w="1061" w:type="dxa"/>
                  <w:vMerge w:val="restart"/>
                  <w:vAlign w:val="center"/>
                </w:tcPr>
                <w:p w14:paraId="3E19B238">
                  <w:pPr>
                    <w:adjustRightInd w:val="0"/>
                    <w:snapToGrid w:val="0"/>
                    <w:jc w:val="center"/>
                    <w:rPr>
                      <w:rFonts w:hint="eastAsia" w:eastAsia="宋体"/>
                      <w:color w:val="auto"/>
                      <w:szCs w:val="21"/>
                      <w:highlight w:val="none"/>
                      <w:lang w:eastAsia="zh-CN"/>
                    </w:rPr>
                  </w:pPr>
                  <w:r>
                    <w:rPr>
                      <w:rFonts w:hint="eastAsia"/>
                      <w:color w:val="auto"/>
                      <w:szCs w:val="21"/>
                      <w:highlight w:val="none"/>
                      <w:lang w:val="en-US" w:eastAsia="zh-CN"/>
                    </w:rPr>
                    <w:t>/</w:t>
                  </w:r>
                </w:p>
              </w:tc>
            </w:tr>
            <w:tr w14:paraId="5ED4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1" w:type="dxa"/>
                  <w:vMerge w:val="continue"/>
                  <w:tcMar>
                    <w:left w:w="28" w:type="dxa"/>
                    <w:right w:w="28" w:type="dxa"/>
                  </w:tcMar>
                  <w:vAlign w:val="center"/>
                </w:tcPr>
                <w:p w14:paraId="3BDF6816">
                  <w:pPr>
                    <w:adjustRightInd w:val="0"/>
                    <w:snapToGrid w:val="0"/>
                    <w:jc w:val="center"/>
                    <w:rPr>
                      <w:color w:val="auto"/>
                      <w:szCs w:val="21"/>
                      <w:highlight w:val="none"/>
                    </w:rPr>
                  </w:pPr>
                </w:p>
              </w:tc>
              <w:tc>
                <w:tcPr>
                  <w:tcW w:w="1298" w:type="dxa"/>
                  <w:vMerge w:val="continue"/>
                  <w:tcMar>
                    <w:left w:w="28" w:type="dxa"/>
                    <w:right w:w="28" w:type="dxa"/>
                  </w:tcMar>
                  <w:vAlign w:val="center"/>
                </w:tcPr>
                <w:p w14:paraId="75E293EC">
                  <w:pPr>
                    <w:adjustRightInd w:val="0"/>
                    <w:snapToGrid w:val="0"/>
                    <w:jc w:val="center"/>
                    <w:rPr>
                      <w:color w:val="auto"/>
                      <w:szCs w:val="21"/>
                      <w:highlight w:val="none"/>
                    </w:rPr>
                  </w:pPr>
                </w:p>
              </w:tc>
              <w:tc>
                <w:tcPr>
                  <w:tcW w:w="5202" w:type="dxa"/>
                  <w:tcMar>
                    <w:left w:w="28" w:type="dxa"/>
                    <w:right w:w="28" w:type="dxa"/>
                  </w:tcMar>
                  <w:vAlign w:val="center"/>
                </w:tcPr>
                <w:p w14:paraId="463D1532">
                  <w:pPr>
                    <w:adjustRightInd w:val="0"/>
                    <w:snapToGrid w:val="0"/>
                    <w:rPr>
                      <w:color w:val="auto"/>
                      <w:szCs w:val="21"/>
                      <w:highlight w:val="none"/>
                    </w:rPr>
                  </w:pPr>
                  <w:r>
                    <w:rPr>
                      <w:color w:val="auto"/>
                      <w:szCs w:val="21"/>
                      <w:highlight w:val="none"/>
                    </w:rPr>
                    <w:t>除尘灰</w:t>
                  </w:r>
                  <w:r>
                    <w:rPr>
                      <w:rFonts w:hint="eastAsia"/>
                      <w:color w:val="auto"/>
                      <w:szCs w:val="21"/>
                      <w:highlight w:val="none"/>
                      <w:lang w:eastAsia="zh-CN"/>
                    </w:rPr>
                    <w:t>（</w:t>
                  </w:r>
                  <w:r>
                    <w:rPr>
                      <w:rFonts w:hint="eastAsia"/>
                      <w:color w:val="auto"/>
                      <w:szCs w:val="21"/>
                      <w:highlight w:val="none"/>
                      <w:lang w:val="en-US" w:eastAsia="zh-CN"/>
                    </w:rPr>
                    <w:t>含废活性炭</w:t>
                  </w:r>
                  <w:r>
                    <w:rPr>
                      <w:rFonts w:hint="eastAsia"/>
                      <w:color w:val="auto"/>
                      <w:szCs w:val="21"/>
                      <w:highlight w:val="none"/>
                      <w:lang w:eastAsia="zh-CN"/>
                    </w:rPr>
                    <w:t>）</w:t>
                  </w:r>
                  <w:r>
                    <w:rPr>
                      <w:color w:val="auto"/>
                      <w:szCs w:val="21"/>
                      <w:highlight w:val="none"/>
                    </w:rPr>
                    <w:t>、焚烧炉渣集中收集至危废暂存间暂存，最终交有资质单位</w:t>
                  </w:r>
                  <w:r>
                    <w:rPr>
                      <w:rFonts w:hint="eastAsia"/>
                      <w:color w:val="auto"/>
                      <w:szCs w:val="21"/>
                      <w:highlight w:val="none"/>
                      <w:lang w:eastAsia="zh-CN"/>
                    </w:rPr>
                    <w:t>进行</w:t>
                  </w:r>
                  <w:r>
                    <w:rPr>
                      <w:color w:val="auto"/>
                      <w:szCs w:val="21"/>
                      <w:highlight w:val="none"/>
                    </w:rPr>
                    <w:t>处置。</w:t>
                  </w:r>
                </w:p>
              </w:tc>
              <w:tc>
                <w:tcPr>
                  <w:tcW w:w="1061" w:type="dxa"/>
                  <w:vMerge w:val="continue"/>
                  <w:vAlign w:val="center"/>
                </w:tcPr>
                <w:p w14:paraId="25F240BF">
                  <w:pPr>
                    <w:adjustRightInd w:val="0"/>
                    <w:snapToGrid w:val="0"/>
                    <w:jc w:val="center"/>
                    <w:rPr>
                      <w:color w:val="auto"/>
                      <w:szCs w:val="21"/>
                      <w:highlight w:val="none"/>
                    </w:rPr>
                  </w:pPr>
                </w:p>
              </w:tc>
            </w:tr>
            <w:tr w14:paraId="59888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1" w:type="dxa"/>
                  <w:vMerge w:val="continue"/>
                  <w:tcMar>
                    <w:left w:w="28" w:type="dxa"/>
                    <w:right w:w="28" w:type="dxa"/>
                  </w:tcMar>
                  <w:vAlign w:val="center"/>
                </w:tcPr>
                <w:p w14:paraId="431EAE45">
                  <w:pPr>
                    <w:adjustRightInd w:val="0"/>
                    <w:snapToGrid w:val="0"/>
                    <w:jc w:val="center"/>
                    <w:rPr>
                      <w:color w:val="auto"/>
                      <w:szCs w:val="21"/>
                      <w:highlight w:val="none"/>
                    </w:rPr>
                  </w:pPr>
                </w:p>
              </w:tc>
              <w:tc>
                <w:tcPr>
                  <w:tcW w:w="1298" w:type="dxa"/>
                  <w:vMerge w:val="continue"/>
                  <w:tcMar>
                    <w:left w:w="28" w:type="dxa"/>
                    <w:right w:w="28" w:type="dxa"/>
                  </w:tcMar>
                  <w:vAlign w:val="center"/>
                </w:tcPr>
                <w:p w14:paraId="54894E14">
                  <w:pPr>
                    <w:adjustRightInd w:val="0"/>
                    <w:snapToGrid w:val="0"/>
                    <w:jc w:val="center"/>
                    <w:rPr>
                      <w:color w:val="auto"/>
                      <w:szCs w:val="21"/>
                      <w:highlight w:val="none"/>
                    </w:rPr>
                  </w:pPr>
                </w:p>
              </w:tc>
              <w:tc>
                <w:tcPr>
                  <w:tcW w:w="5202" w:type="dxa"/>
                  <w:tcMar>
                    <w:left w:w="28" w:type="dxa"/>
                    <w:right w:w="28" w:type="dxa"/>
                  </w:tcMar>
                  <w:vAlign w:val="center"/>
                </w:tcPr>
                <w:p w14:paraId="7F079EE2">
                  <w:pPr>
                    <w:adjustRightInd w:val="0"/>
                    <w:snapToGrid w:val="0"/>
                    <w:rPr>
                      <w:bCs/>
                      <w:color w:val="auto"/>
                      <w:szCs w:val="21"/>
                      <w:highlight w:val="none"/>
                    </w:rPr>
                  </w:pPr>
                  <w:r>
                    <w:rPr>
                      <w:rFonts w:hint="eastAsia"/>
                      <w:bCs/>
                      <w:color w:val="auto"/>
                      <w:szCs w:val="21"/>
                      <w:highlight w:val="none"/>
                    </w:rPr>
                    <w:t>除酸废渣、除尘器</w:t>
                  </w:r>
                  <w:r>
                    <w:rPr>
                      <w:bCs/>
                      <w:color w:val="auto"/>
                      <w:szCs w:val="21"/>
                      <w:highlight w:val="none"/>
                    </w:rPr>
                    <w:t>废</w:t>
                  </w:r>
                  <w:r>
                    <w:rPr>
                      <w:rFonts w:hint="eastAsia"/>
                      <w:bCs/>
                      <w:color w:val="auto"/>
                      <w:szCs w:val="21"/>
                      <w:highlight w:val="none"/>
                    </w:rPr>
                    <w:t>布袋</w:t>
                  </w:r>
                  <w:r>
                    <w:rPr>
                      <w:bCs/>
                      <w:color w:val="auto"/>
                      <w:szCs w:val="21"/>
                      <w:highlight w:val="none"/>
                    </w:rPr>
                    <w:t>收集至危废暂存间内，最终交有资质单位</w:t>
                  </w:r>
                  <w:r>
                    <w:rPr>
                      <w:rFonts w:hint="eastAsia"/>
                      <w:bCs/>
                      <w:color w:val="auto"/>
                      <w:szCs w:val="21"/>
                      <w:highlight w:val="none"/>
                      <w:lang w:eastAsia="zh-CN"/>
                    </w:rPr>
                    <w:t>进行</w:t>
                  </w:r>
                  <w:r>
                    <w:rPr>
                      <w:bCs/>
                      <w:color w:val="auto"/>
                      <w:szCs w:val="21"/>
                      <w:highlight w:val="none"/>
                    </w:rPr>
                    <w:t>处置。</w:t>
                  </w:r>
                </w:p>
              </w:tc>
              <w:tc>
                <w:tcPr>
                  <w:tcW w:w="1061" w:type="dxa"/>
                  <w:vMerge w:val="continue"/>
                  <w:vAlign w:val="center"/>
                </w:tcPr>
                <w:p w14:paraId="6B8048FC">
                  <w:pPr>
                    <w:adjustRightInd w:val="0"/>
                    <w:snapToGrid w:val="0"/>
                    <w:jc w:val="center"/>
                    <w:rPr>
                      <w:color w:val="auto"/>
                      <w:szCs w:val="21"/>
                      <w:highlight w:val="none"/>
                    </w:rPr>
                  </w:pPr>
                </w:p>
              </w:tc>
            </w:tr>
            <w:tr w14:paraId="75F74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1" w:type="dxa"/>
                  <w:vMerge w:val="continue"/>
                  <w:tcMar>
                    <w:left w:w="28" w:type="dxa"/>
                    <w:right w:w="28" w:type="dxa"/>
                  </w:tcMar>
                  <w:vAlign w:val="center"/>
                </w:tcPr>
                <w:p w14:paraId="7D96CB6A">
                  <w:pPr>
                    <w:adjustRightInd w:val="0"/>
                    <w:snapToGrid w:val="0"/>
                    <w:jc w:val="center"/>
                    <w:rPr>
                      <w:color w:val="auto"/>
                      <w:szCs w:val="21"/>
                      <w:highlight w:val="none"/>
                    </w:rPr>
                  </w:pPr>
                </w:p>
              </w:tc>
              <w:tc>
                <w:tcPr>
                  <w:tcW w:w="1298" w:type="dxa"/>
                  <w:vMerge w:val="continue"/>
                  <w:tcMar>
                    <w:left w:w="28" w:type="dxa"/>
                    <w:right w:w="28" w:type="dxa"/>
                  </w:tcMar>
                  <w:vAlign w:val="center"/>
                </w:tcPr>
                <w:p w14:paraId="517B48FC">
                  <w:pPr>
                    <w:adjustRightInd w:val="0"/>
                    <w:snapToGrid w:val="0"/>
                    <w:jc w:val="center"/>
                    <w:rPr>
                      <w:color w:val="auto"/>
                      <w:szCs w:val="21"/>
                      <w:highlight w:val="none"/>
                    </w:rPr>
                  </w:pPr>
                </w:p>
              </w:tc>
              <w:tc>
                <w:tcPr>
                  <w:tcW w:w="5202" w:type="dxa"/>
                  <w:tcMar>
                    <w:left w:w="28" w:type="dxa"/>
                    <w:right w:w="28" w:type="dxa"/>
                  </w:tcMar>
                  <w:vAlign w:val="center"/>
                </w:tcPr>
                <w:p w14:paraId="14771F4F">
                  <w:pPr>
                    <w:adjustRightInd w:val="0"/>
                    <w:snapToGrid w:val="0"/>
                    <w:rPr>
                      <w:rFonts w:hint="eastAsia"/>
                      <w:bCs/>
                      <w:color w:val="auto"/>
                      <w:szCs w:val="21"/>
                      <w:highlight w:val="none"/>
                    </w:rPr>
                  </w:pPr>
                  <w:r>
                    <w:rPr>
                      <w:rFonts w:hint="eastAsia"/>
                      <w:bCs/>
                      <w:color w:val="auto"/>
                      <w:szCs w:val="21"/>
                      <w:highlight w:val="none"/>
                      <w:lang w:val="en-US" w:eastAsia="zh-CN"/>
                    </w:rPr>
                    <w:t>设备维修产生的废矿物油、废油桶暂存于危废暂存间内，最终交有资质单位进行处置。</w:t>
                  </w:r>
                </w:p>
              </w:tc>
              <w:tc>
                <w:tcPr>
                  <w:tcW w:w="1061" w:type="dxa"/>
                  <w:vAlign w:val="center"/>
                </w:tcPr>
                <w:p w14:paraId="5D66E47D">
                  <w:pPr>
                    <w:adjustRightInd w:val="0"/>
                    <w:snapToGrid w:val="0"/>
                    <w:jc w:val="center"/>
                    <w:rPr>
                      <w:rFonts w:hint="eastAsia" w:eastAsia="宋体"/>
                      <w:color w:val="auto"/>
                      <w:szCs w:val="21"/>
                      <w:highlight w:val="none"/>
                      <w:lang w:val="en-US" w:eastAsia="zh-CN"/>
                    </w:rPr>
                  </w:pPr>
                  <w:r>
                    <w:rPr>
                      <w:rFonts w:hint="eastAsia"/>
                      <w:color w:val="auto"/>
                      <w:szCs w:val="21"/>
                      <w:highlight w:val="none"/>
                      <w:lang w:val="en-US" w:eastAsia="zh-CN"/>
                    </w:rPr>
                    <w:t>/</w:t>
                  </w:r>
                </w:p>
              </w:tc>
            </w:tr>
            <w:tr w14:paraId="412CC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1" w:type="dxa"/>
                  <w:vMerge w:val="continue"/>
                  <w:tcMar>
                    <w:left w:w="28" w:type="dxa"/>
                    <w:right w:w="28" w:type="dxa"/>
                  </w:tcMar>
                  <w:vAlign w:val="center"/>
                </w:tcPr>
                <w:p w14:paraId="3D602DFA">
                  <w:pPr>
                    <w:adjustRightInd w:val="0"/>
                    <w:snapToGrid w:val="0"/>
                    <w:jc w:val="center"/>
                    <w:rPr>
                      <w:color w:val="auto"/>
                      <w:szCs w:val="21"/>
                      <w:highlight w:val="none"/>
                    </w:rPr>
                  </w:pPr>
                </w:p>
              </w:tc>
              <w:tc>
                <w:tcPr>
                  <w:tcW w:w="1298" w:type="dxa"/>
                  <w:tcMar>
                    <w:left w:w="28" w:type="dxa"/>
                    <w:right w:w="28" w:type="dxa"/>
                  </w:tcMar>
                  <w:vAlign w:val="center"/>
                </w:tcPr>
                <w:p w14:paraId="31370DCD">
                  <w:pPr>
                    <w:adjustRightInd w:val="0"/>
                    <w:snapToGrid w:val="0"/>
                    <w:jc w:val="center"/>
                    <w:rPr>
                      <w:color w:val="auto"/>
                      <w:szCs w:val="21"/>
                      <w:highlight w:val="none"/>
                    </w:rPr>
                  </w:pPr>
                  <w:r>
                    <w:rPr>
                      <w:color w:val="auto"/>
                      <w:szCs w:val="21"/>
                      <w:highlight w:val="none"/>
                    </w:rPr>
                    <w:t>噪声</w:t>
                  </w:r>
                </w:p>
              </w:tc>
              <w:tc>
                <w:tcPr>
                  <w:tcW w:w="5202" w:type="dxa"/>
                  <w:tcMar>
                    <w:left w:w="28" w:type="dxa"/>
                    <w:right w:w="28" w:type="dxa"/>
                  </w:tcMar>
                  <w:vAlign w:val="center"/>
                </w:tcPr>
                <w:p w14:paraId="78D79847">
                  <w:pPr>
                    <w:adjustRightInd w:val="0"/>
                    <w:snapToGrid w:val="0"/>
                    <w:rPr>
                      <w:color w:val="auto"/>
                      <w:szCs w:val="21"/>
                      <w:highlight w:val="none"/>
                    </w:rPr>
                  </w:pPr>
                  <w:r>
                    <w:rPr>
                      <w:color w:val="auto"/>
                      <w:szCs w:val="21"/>
                      <w:highlight w:val="none"/>
                    </w:rPr>
                    <w:t>采用减振、消声、隔音等措施。</w:t>
                  </w:r>
                </w:p>
              </w:tc>
              <w:tc>
                <w:tcPr>
                  <w:tcW w:w="1061" w:type="dxa"/>
                  <w:vAlign w:val="center"/>
                </w:tcPr>
                <w:p w14:paraId="2578E17B">
                  <w:pPr>
                    <w:adjustRightInd w:val="0"/>
                    <w:snapToGrid w:val="0"/>
                    <w:jc w:val="center"/>
                    <w:rPr>
                      <w:rFonts w:hint="eastAsia" w:eastAsia="宋体"/>
                      <w:color w:val="auto"/>
                      <w:szCs w:val="21"/>
                      <w:highlight w:val="none"/>
                      <w:lang w:eastAsia="zh-CN"/>
                    </w:rPr>
                  </w:pPr>
                  <w:r>
                    <w:rPr>
                      <w:rFonts w:hint="eastAsia"/>
                      <w:color w:val="auto"/>
                      <w:szCs w:val="21"/>
                      <w:highlight w:val="none"/>
                      <w:lang w:val="en-US" w:eastAsia="zh-CN"/>
                    </w:rPr>
                    <w:t>/</w:t>
                  </w:r>
                </w:p>
              </w:tc>
            </w:tr>
            <w:tr w14:paraId="52F35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1" w:type="dxa"/>
                  <w:vMerge w:val="continue"/>
                  <w:tcMar>
                    <w:left w:w="28" w:type="dxa"/>
                    <w:right w:w="28" w:type="dxa"/>
                  </w:tcMar>
                  <w:vAlign w:val="center"/>
                </w:tcPr>
                <w:p w14:paraId="2951300D">
                  <w:pPr>
                    <w:adjustRightInd w:val="0"/>
                    <w:snapToGrid w:val="0"/>
                    <w:jc w:val="center"/>
                    <w:rPr>
                      <w:color w:val="auto"/>
                      <w:szCs w:val="21"/>
                      <w:highlight w:val="none"/>
                    </w:rPr>
                  </w:pPr>
                </w:p>
              </w:tc>
              <w:tc>
                <w:tcPr>
                  <w:tcW w:w="1298" w:type="dxa"/>
                  <w:tcMar>
                    <w:left w:w="28" w:type="dxa"/>
                    <w:right w:w="28" w:type="dxa"/>
                  </w:tcMar>
                  <w:vAlign w:val="center"/>
                </w:tcPr>
                <w:p w14:paraId="5E02C362">
                  <w:pPr>
                    <w:adjustRightInd w:val="0"/>
                    <w:snapToGrid w:val="0"/>
                    <w:jc w:val="center"/>
                    <w:rPr>
                      <w:color w:val="auto"/>
                      <w:szCs w:val="21"/>
                      <w:highlight w:val="none"/>
                    </w:rPr>
                  </w:pPr>
                  <w:r>
                    <w:rPr>
                      <w:color w:val="auto"/>
                      <w:szCs w:val="21"/>
                      <w:highlight w:val="none"/>
                    </w:rPr>
                    <w:t>防渗</w:t>
                  </w:r>
                </w:p>
              </w:tc>
              <w:tc>
                <w:tcPr>
                  <w:tcW w:w="5202" w:type="dxa"/>
                  <w:tcMar>
                    <w:left w:w="28" w:type="dxa"/>
                    <w:right w:w="28" w:type="dxa"/>
                  </w:tcMar>
                  <w:vAlign w:val="center"/>
                </w:tcPr>
                <w:p w14:paraId="09DD75F6">
                  <w:pPr>
                    <w:widowControl/>
                    <w:rPr>
                      <w:color w:val="auto"/>
                      <w:kern w:val="0"/>
                      <w:szCs w:val="21"/>
                      <w:highlight w:val="none"/>
                    </w:rPr>
                  </w:pPr>
                  <w:r>
                    <w:rPr>
                      <w:color w:val="auto"/>
                      <w:kern w:val="0"/>
                      <w:szCs w:val="21"/>
                      <w:highlight w:val="none"/>
                    </w:rPr>
                    <w:t>重点防渗区：危废暂存间、储油间地面、裙角以及导流槽、集液池基础防渗措施：防渗层为至少2</w:t>
                  </w:r>
                  <w:r>
                    <w:rPr>
                      <w:rFonts w:hint="eastAsia"/>
                      <w:color w:val="auto"/>
                      <w:kern w:val="0"/>
                      <w:szCs w:val="21"/>
                      <w:highlight w:val="none"/>
                      <w:lang w:eastAsia="zh-CN"/>
                    </w:rPr>
                    <w:t>mm</w:t>
                  </w:r>
                  <w:r>
                    <w:rPr>
                      <w:color w:val="auto"/>
                      <w:kern w:val="0"/>
                      <w:szCs w:val="21"/>
                      <w:highlight w:val="none"/>
                    </w:rPr>
                    <w:t>厚高密度聚乙烯膜（渗透系数不大于10</w:t>
                  </w:r>
                  <w:r>
                    <w:rPr>
                      <w:color w:val="auto"/>
                      <w:kern w:val="0"/>
                      <w:szCs w:val="21"/>
                      <w:highlight w:val="none"/>
                      <w:vertAlign w:val="superscript"/>
                    </w:rPr>
                    <w:t>-10</w:t>
                  </w:r>
                  <w:r>
                    <w:rPr>
                      <w:color w:val="auto"/>
                      <w:kern w:val="0"/>
                      <w:szCs w:val="21"/>
                      <w:highlight w:val="none"/>
                    </w:rPr>
                    <w:t>c</w:t>
                  </w:r>
                  <w:r>
                    <w:rPr>
                      <w:rFonts w:hint="eastAsia"/>
                      <w:color w:val="auto"/>
                      <w:kern w:val="0"/>
                      <w:szCs w:val="21"/>
                      <w:highlight w:val="none"/>
                      <w:lang w:eastAsia="zh-CN"/>
                    </w:rPr>
                    <w:t>m</w:t>
                  </w:r>
                  <w:r>
                    <w:rPr>
                      <w:color w:val="auto"/>
                      <w:kern w:val="0"/>
                      <w:szCs w:val="21"/>
                      <w:highlight w:val="none"/>
                    </w:rPr>
                    <w:t>/s），地面、裙角以及导流槽、集液池表面防渗采用抗渗混凝土。</w:t>
                  </w:r>
                </w:p>
                <w:p w14:paraId="545CE555">
                  <w:pPr>
                    <w:widowControl/>
                    <w:rPr>
                      <w:color w:val="auto"/>
                      <w:kern w:val="0"/>
                      <w:szCs w:val="21"/>
                      <w:highlight w:val="none"/>
                    </w:rPr>
                  </w:pPr>
                  <w:r>
                    <w:rPr>
                      <w:color w:val="auto"/>
                      <w:kern w:val="0"/>
                      <w:szCs w:val="21"/>
                      <w:highlight w:val="none"/>
                    </w:rPr>
                    <w:t>一般防渗区：采用玻璃钢化粪池。</w:t>
                  </w:r>
                </w:p>
                <w:p w14:paraId="2F32D5D1">
                  <w:pPr>
                    <w:adjustRightInd w:val="0"/>
                    <w:snapToGrid w:val="0"/>
                    <w:rPr>
                      <w:color w:val="auto"/>
                      <w:szCs w:val="21"/>
                      <w:highlight w:val="none"/>
                    </w:rPr>
                  </w:pPr>
                  <w:r>
                    <w:rPr>
                      <w:color w:val="auto"/>
                      <w:kern w:val="0"/>
                      <w:szCs w:val="21"/>
                      <w:highlight w:val="none"/>
                    </w:rPr>
                    <w:t>简单防渗区：其他区域采用水泥进行地面硬化。</w:t>
                  </w:r>
                </w:p>
              </w:tc>
              <w:tc>
                <w:tcPr>
                  <w:tcW w:w="1061" w:type="dxa"/>
                  <w:vAlign w:val="center"/>
                </w:tcPr>
                <w:p w14:paraId="0AA267F6">
                  <w:pPr>
                    <w:adjustRightInd w:val="0"/>
                    <w:snapToGrid w:val="0"/>
                    <w:jc w:val="center"/>
                    <w:rPr>
                      <w:rFonts w:hint="eastAsia" w:eastAsia="宋体"/>
                      <w:color w:val="auto"/>
                      <w:szCs w:val="21"/>
                      <w:highlight w:val="none"/>
                      <w:lang w:eastAsia="zh-CN"/>
                    </w:rPr>
                  </w:pPr>
                  <w:r>
                    <w:rPr>
                      <w:rFonts w:hint="eastAsia"/>
                      <w:color w:val="auto"/>
                      <w:szCs w:val="21"/>
                      <w:highlight w:val="none"/>
                      <w:lang w:val="en-US" w:eastAsia="zh-CN"/>
                    </w:rPr>
                    <w:t>/</w:t>
                  </w:r>
                </w:p>
              </w:tc>
            </w:tr>
          </w:tbl>
          <w:p w14:paraId="69D2F862">
            <w:pPr>
              <w:spacing w:before="240" w:line="360" w:lineRule="auto"/>
              <w:jc w:val="left"/>
              <w:rPr>
                <w:b/>
                <w:bCs/>
                <w:color w:val="auto"/>
                <w:sz w:val="24"/>
                <w:highlight w:val="none"/>
              </w:rPr>
            </w:pPr>
            <w:r>
              <w:rPr>
                <w:rFonts w:hint="eastAsia"/>
                <w:b/>
                <w:bCs/>
                <w:color w:val="auto"/>
                <w:sz w:val="24"/>
                <w:highlight w:val="none"/>
                <w:lang w:val="en-US" w:eastAsia="zh-CN"/>
              </w:rPr>
              <w:t>4</w:t>
            </w:r>
            <w:r>
              <w:rPr>
                <w:b/>
                <w:bCs/>
                <w:color w:val="auto"/>
                <w:sz w:val="24"/>
                <w:highlight w:val="none"/>
              </w:rPr>
              <w:t>.项目主要设备</w:t>
            </w:r>
          </w:p>
          <w:p w14:paraId="45559FB4">
            <w:pPr>
              <w:autoSpaceDE w:val="0"/>
              <w:autoSpaceDN w:val="0"/>
              <w:adjustRightInd w:val="0"/>
              <w:spacing w:line="360" w:lineRule="auto"/>
              <w:ind w:firstLine="480" w:firstLineChars="200"/>
              <w:rPr>
                <w:color w:val="auto"/>
                <w:kern w:val="0"/>
                <w:sz w:val="24"/>
                <w:highlight w:val="none"/>
              </w:rPr>
            </w:pPr>
            <w:r>
              <w:rPr>
                <w:bCs/>
                <w:color w:val="auto"/>
                <w:kern w:val="0"/>
                <w:sz w:val="24"/>
                <w:highlight w:val="none"/>
              </w:rPr>
              <w:t>项目主要设备详见表2-</w:t>
            </w:r>
            <w:r>
              <w:rPr>
                <w:rFonts w:hint="eastAsia"/>
                <w:bCs/>
                <w:color w:val="auto"/>
                <w:kern w:val="0"/>
                <w:sz w:val="24"/>
                <w:highlight w:val="none"/>
                <w:lang w:val="en-US" w:eastAsia="zh-CN"/>
              </w:rPr>
              <w:t>3</w:t>
            </w:r>
            <w:r>
              <w:rPr>
                <w:color w:val="auto"/>
                <w:kern w:val="0"/>
                <w:sz w:val="24"/>
                <w:highlight w:val="none"/>
              </w:rPr>
              <w:t>。</w:t>
            </w:r>
          </w:p>
          <w:p w14:paraId="137B5DCC">
            <w:pPr>
              <w:pStyle w:val="29"/>
              <w:spacing w:line="240" w:lineRule="auto"/>
              <w:rPr>
                <w:color w:val="auto"/>
                <w:highlight w:val="none"/>
              </w:rPr>
            </w:pPr>
            <w:r>
              <w:rPr>
                <w:color w:val="auto"/>
                <w:highlight w:val="none"/>
              </w:rPr>
              <w:t>表2-</w:t>
            </w:r>
            <w:r>
              <w:rPr>
                <w:rFonts w:hint="eastAsia"/>
                <w:color w:val="auto"/>
                <w:highlight w:val="none"/>
                <w:lang w:val="en-US" w:eastAsia="zh-CN"/>
              </w:rPr>
              <w:t>3</w:t>
            </w:r>
            <w:r>
              <w:rPr>
                <w:color w:val="auto"/>
                <w:highlight w:val="none"/>
              </w:rPr>
              <w:t xml:space="preserve"> 项目产品方案</w:t>
            </w:r>
          </w:p>
          <w:tbl>
            <w:tblPr>
              <w:tblStyle w:val="20"/>
              <w:tblW w:w="8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1880"/>
              <w:gridCol w:w="1003"/>
              <w:gridCol w:w="2720"/>
              <w:gridCol w:w="1829"/>
            </w:tblGrid>
            <w:tr w14:paraId="146C3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0" w:type="dxa"/>
                  <w:vAlign w:val="center"/>
                </w:tcPr>
                <w:p w14:paraId="2F051D60">
                  <w:pPr>
                    <w:autoSpaceDE w:val="0"/>
                    <w:autoSpaceDN w:val="0"/>
                    <w:adjustRightInd w:val="0"/>
                    <w:snapToGrid w:val="0"/>
                    <w:spacing w:line="240" w:lineRule="exact"/>
                    <w:jc w:val="center"/>
                    <w:rPr>
                      <w:b/>
                      <w:bCs/>
                      <w:color w:val="auto"/>
                      <w:szCs w:val="21"/>
                      <w:highlight w:val="none"/>
                    </w:rPr>
                  </w:pPr>
                  <w:r>
                    <w:rPr>
                      <w:b/>
                      <w:bCs/>
                      <w:color w:val="auto"/>
                      <w:szCs w:val="21"/>
                      <w:highlight w:val="none"/>
                    </w:rPr>
                    <w:t>序号</w:t>
                  </w:r>
                </w:p>
              </w:tc>
              <w:tc>
                <w:tcPr>
                  <w:tcW w:w="1880" w:type="dxa"/>
                  <w:vAlign w:val="center"/>
                </w:tcPr>
                <w:p w14:paraId="5A887C91">
                  <w:pPr>
                    <w:autoSpaceDE w:val="0"/>
                    <w:autoSpaceDN w:val="0"/>
                    <w:adjustRightInd w:val="0"/>
                    <w:snapToGrid w:val="0"/>
                    <w:spacing w:line="240" w:lineRule="exact"/>
                    <w:jc w:val="center"/>
                    <w:rPr>
                      <w:b/>
                      <w:bCs/>
                      <w:color w:val="auto"/>
                      <w:szCs w:val="21"/>
                      <w:highlight w:val="none"/>
                    </w:rPr>
                  </w:pPr>
                  <w:r>
                    <w:rPr>
                      <w:b/>
                      <w:bCs/>
                      <w:color w:val="auto"/>
                      <w:szCs w:val="21"/>
                      <w:highlight w:val="none"/>
                    </w:rPr>
                    <w:t>名称</w:t>
                  </w:r>
                </w:p>
              </w:tc>
              <w:tc>
                <w:tcPr>
                  <w:tcW w:w="1003" w:type="dxa"/>
                  <w:vAlign w:val="center"/>
                </w:tcPr>
                <w:p w14:paraId="5C59C586">
                  <w:pPr>
                    <w:autoSpaceDE w:val="0"/>
                    <w:autoSpaceDN w:val="0"/>
                    <w:adjustRightInd w:val="0"/>
                    <w:snapToGrid w:val="0"/>
                    <w:spacing w:line="240" w:lineRule="exact"/>
                    <w:jc w:val="center"/>
                    <w:rPr>
                      <w:b/>
                      <w:bCs/>
                      <w:color w:val="auto"/>
                      <w:szCs w:val="21"/>
                      <w:highlight w:val="none"/>
                    </w:rPr>
                  </w:pPr>
                  <w:r>
                    <w:rPr>
                      <w:b/>
                      <w:bCs/>
                      <w:color w:val="auto"/>
                      <w:szCs w:val="21"/>
                      <w:highlight w:val="none"/>
                    </w:rPr>
                    <w:t>数量</w:t>
                  </w:r>
                </w:p>
              </w:tc>
              <w:tc>
                <w:tcPr>
                  <w:tcW w:w="2720" w:type="dxa"/>
                  <w:vAlign w:val="center"/>
                </w:tcPr>
                <w:p w14:paraId="2586ED00">
                  <w:pPr>
                    <w:autoSpaceDE w:val="0"/>
                    <w:autoSpaceDN w:val="0"/>
                    <w:adjustRightInd w:val="0"/>
                    <w:snapToGrid w:val="0"/>
                    <w:spacing w:line="240" w:lineRule="exact"/>
                    <w:jc w:val="center"/>
                    <w:rPr>
                      <w:b/>
                      <w:bCs/>
                      <w:color w:val="auto"/>
                      <w:szCs w:val="21"/>
                      <w:highlight w:val="none"/>
                    </w:rPr>
                  </w:pPr>
                  <w:r>
                    <w:rPr>
                      <w:b/>
                      <w:bCs/>
                      <w:color w:val="auto"/>
                      <w:szCs w:val="21"/>
                      <w:highlight w:val="none"/>
                    </w:rPr>
                    <w:t>参数</w:t>
                  </w:r>
                </w:p>
              </w:tc>
              <w:tc>
                <w:tcPr>
                  <w:tcW w:w="1829" w:type="dxa"/>
                  <w:vAlign w:val="center"/>
                </w:tcPr>
                <w:p w14:paraId="6EF0311F">
                  <w:pPr>
                    <w:autoSpaceDE w:val="0"/>
                    <w:autoSpaceDN w:val="0"/>
                    <w:adjustRightInd w:val="0"/>
                    <w:snapToGrid w:val="0"/>
                    <w:spacing w:line="240" w:lineRule="exact"/>
                    <w:jc w:val="center"/>
                    <w:rPr>
                      <w:b/>
                      <w:bCs/>
                      <w:color w:val="auto"/>
                      <w:szCs w:val="21"/>
                      <w:highlight w:val="none"/>
                    </w:rPr>
                  </w:pPr>
                  <w:r>
                    <w:rPr>
                      <w:b/>
                      <w:bCs/>
                      <w:color w:val="auto"/>
                      <w:szCs w:val="21"/>
                      <w:highlight w:val="none"/>
                    </w:rPr>
                    <w:t>备注</w:t>
                  </w:r>
                </w:p>
              </w:tc>
            </w:tr>
            <w:tr w14:paraId="76738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90" w:type="dxa"/>
                  <w:shd w:val="clear" w:color="auto" w:fill="auto"/>
                  <w:vAlign w:val="center"/>
                </w:tcPr>
                <w:p w14:paraId="1CEECCE3">
                  <w:pPr>
                    <w:autoSpaceDE w:val="0"/>
                    <w:autoSpaceDN w:val="0"/>
                    <w:adjustRightInd w:val="0"/>
                    <w:snapToGrid w:val="0"/>
                    <w:spacing w:line="240" w:lineRule="exact"/>
                    <w:jc w:val="center"/>
                    <w:rPr>
                      <w:color w:val="auto"/>
                      <w:szCs w:val="21"/>
                      <w:highlight w:val="none"/>
                    </w:rPr>
                  </w:pPr>
                  <w:r>
                    <w:rPr>
                      <w:color w:val="auto"/>
                      <w:szCs w:val="21"/>
                      <w:highlight w:val="none"/>
                    </w:rPr>
                    <w:t>1</w:t>
                  </w:r>
                </w:p>
              </w:tc>
              <w:tc>
                <w:tcPr>
                  <w:tcW w:w="1880" w:type="dxa"/>
                  <w:shd w:val="clear" w:color="auto" w:fill="auto"/>
                  <w:vAlign w:val="center"/>
                </w:tcPr>
                <w:p w14:paraId="1D8F2491">
                  <w:pPr>
                    <w:autoSpaceDE w:val="0"/>
                    <w:autoSpaceDN w:val="0"/>
                    <w:adjustRightInd w:val="0"/>
                    <w:snapToGrid w:val="0"/>
                    <w:spacing w:line="240" w:lineRule="exact"/>
                    <w:jc w:val="center"/>
                    <w:rPr>
                      <w:color w:val="auto"/>
                      <w:szCs w:val="21"/>
                      <w:highlight w:val="none"/>
                    </w:rPr>
                  </w:pPr>
                  <w:r>
                    <w:rPr>
                      <w:color w:val="auto"/>
                      <w:szCs w:val="21"/>
                      <w:highlight w:val="none"/>
                    </w:rPr>
                    <w:t>拣灰式火化机</w:t>
                  </w:r>
                </w:p>
              </w:tc>
              <w:tc>
                <w:tcPr>
                  <w:tcW w:w="1003" w:type="dxa"/>
                  <w:shd w:val="clear" w:color="auto" w:fill="auto"/>
                  <w:vAlign w:val="center"/>
                </w:tcPr>
                <w:p w14:paraId="76F5B9AE">
                  <w:pPr>
                    <w:autoSpaceDE w:val="0"/>
                    <w:autoSpaceDN w:val="0"/>
                    <w:adjustRightInd w:val="0"/>
                    <w:snapToGrid w:val="0"/>
                    <w:spacing w:line="240" w:lineRule="exact"/>
                    <w:jc w:val="center"/>
                    <w:rPr>
                      <w:color w:val="auto"/>
                      <w:szCs w:val="21"/>
                      <w:highlight w:val="none"/>
                    </w:rPr>
                  </w:pPr>
                  <w:r>
                    <w:rPr>
                      <w:color w:val="auto"/>
                      <w:szCs w:val="21"/>
                      <w:highlight w:val="none"/>
                    </w:rPr>
                    <w:t>2台</w:t>
                  </w:r>
                </w:p>
              </w:tc>
              <w:tc>
                <w:tcPr>
                  <w:tcW w:w="2720" w:type="dxa"/>
                  <w:shd w:val="clear" w:color="auto" w:fill="auto"/>
                  <w:vAlign w:val="center"/>
                </w:tcPr>
                <w:p w14:paraId="1E4372D5">
                  <w:pPr>
                    <w:autoSpaceDE w:val="0"/>
                    <w:autoSpaceDN w:val="0"/>
                    <w:adjustRightInd w:val="0"/>
                    <w:snapToGrid w:val="0"/>
                    <w:spacing w:line="240" w:lineRule="exact"/>
                    <w:jc w:val="center"/>
                    <w:rPr>
                      <w:color w:val="auto"/>
                      <w:szCs w:val="21"/>
                      <w:highlight w:val="none"/>
                    </w:rPr>
                  </w:pPr>
                  <w:r>
                    <w:rPr>
                      <w:color w:val="auto"/>
                      <w:szCs w:val="21"/>
                      <w:highlight w:val="none"/>
                    </w:rPr>
                    <w:t>单具遗体焚化时间：60</w:t>
                  </w:r>
                  <w:r>
                    <w:rPr>
                      <w:rFonts w:hint="eastAsia"/>
                      <w:color w:val="auto"/>
                      <w:szCs w:val="21"/>
                      <w:highlight w:val="none"/>
                      <w:lang w:eastAsia="zh-CN"/>
                    </w:rPr>
                    <w:t>m</w:t>
                  </w:r>
                  <w:r>
                    <w:rPr>
                      <w:color w:val="auto"/>
                      <w:szCs w:val="21"/>
                      <w:highlight w:val="none"/>
                    </w:rPr>
                    <w:t>in</w:t>
                  </w:r>
                </w:p>
              </w:tc>
              <w:tc>
                <w:tcPr>
                  <w:tcW w:w="1829" w:type="dxa"/>
                  <w:shd w:val="clear" w:color="auto" w:fill="auto"/>
                  <w:vAlign w:val="center"/>
                </w:tcPr>
                <w:p w14:paraId="60845A5B">
                  <w:pPr>
                    <w:autoSpaceDE w:val="0"/>
                    <w:autoSpaceDN w:val="0"/>
                    <w:adjustRightInd w:val="0"/>
                    <w:snapToGrid w:val="0"/>
                    <w:spacing w:line="240" w:lineRule="exact"/>
                    <w:jc w:val="center"/>
                    <w:rPr>
                      <w:color w:val="auto"/>
                      <w:szCs w:val="21"/>
                      <w:highlight w:val="none"/>
                    </w:rPr>
                  </w:pPr>
                  <w:r>
                    <w:rPr>
                      <w:color w:val="auto"/>
                      <w:szCs w:val="21"/>
                      <w:highlight w:val="none"/>
                    </w:rPr>
                    <w:t>柴油25L/具</w:t>
                  </w:r>
                </w:p>
              </w:tc>
            </w:tr>
            <w:tr w14:paraId="49504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90" w:type="dxa"/>
                  <w:shd w:val="clear" w:color="auto" w:fill="auto"/>
                  <w:vAlign w:val="center"/>
                </w:tcPr>
                <w:p w14:paraId="31868C6E">
                  <w:pPr>
                    <w:autoSpaceDE w:val="0"/>
                    <w:autoSpaceDN w:val="0"/>
                    <w:adjustRightInd w:val="0"/>
                    <w:snapToGrid w:val="0"/>
                    <w:spacing w:line="240" w:lineRule="exact"/>
                    <w:jc w:val="center"/>
                    <w:rPr>
                      <w:color w:val="auto"/>
                      <w:szCs w:val="21"/>
                      <w:highlight w:val="none"/>
                    </w:rPr>
                  </w:pPr>
                  <w:r>
                    <w:rPr>
                      <w:color w:val="auto"/>
                      <w:szCs w:val="21"/>
                      <w:highlight w:val="none"/>
                    </w:rPr>
                    <w:t>2</w:t>
                  </w:r>
                </w:p>
              </w:tc>
              <w:tc>
                <w:tcPr>
                  <w:tcW w:w="1880" w:type="dxa"/>
                  <w:shd w:val="clear" w:color="auto" w:fill="auto"/>
                  <w:vAlign w:val="center"/>
                </w:tcPr>
                <w:p w14:paraId="012B1EBB">
                  <w:pPr>
                    <w:autoSpaceDE w:val="0"/>
                    <w:autoSpaceDN w:val="0"/>
                    <w:adjustRightInd w:val="0"/>
                    <w:snapToGrid w:val="0"/>
                    <w:spacing w:line="240" w:lineRule="exact"/>
                    <w:jc w:val="center"/>
                    <w:rPr>
                      <w:color w:val="auto"/>
                      <w:szCs w:val="21"/>
                      <w:highlight w:val="none"/>
                    </w:rPr>
                  </w:pPr>
                  <w:r>
                    <w:rPr>
                      <w:color w:val="auto"/>
                      <w:szCs w:val="21"/>
                      <w:highlight w:val="none"/>
                    </w:rPr>
                    <w:t>遗物祭品焚烧炉</w:t>
                  </w:r>
                </w:p>
              </w:tc>
              <w:tc>
                <w:tcPr>
                  <w:tcW w:w="1003" w:type="dxa"/>
                  <w:shd w:val="clear" w:color="auto" w:fill="auto"/>
                  <w:vAlign w:val="center"/>
                </w:tcPr>
                <w:p w14:paraId="40428469">
                  <w:pPr>
                    <w:autoSpaceDE w:val="0"/>
                    <w:autoSpaceDN w:val="0"/>
                    <w:adjustRightInd w:val="0"/>
                    <w:snapToGrid w:val="0"/>
                    <w:spacing w:line="240" w:lineRule="exact"/>
                    <w:jc w:val="center"/>
                    <w:rPr>
                      <w:color w:val="auto"/>
                      <w:szCs w:val="21"/>
                      <w:highlight w:val="none"/>
                    </w:rPr>
                  </w:pPr>
                  <w:r>
                    <w:rPr>
                      <w:color w:val="auto"/>
                      <w:szCs w:val="21"/>
                      <w:highlight w:val="none"/>
                    </w:rPr>
                    <w:t>1台</w:t>
                  </w:r>
                </w:p>
              </w:tc>
              <w:tc>
                <w:tcPr>
                  <w:tcW w:w="2720" w:type="dxa"/>
                  <w:shd w:val="clear" w:color="auto" w:fill="auto"/>
                  <w:vAlign w:val="center"/>
                </w:tcPr>
                <w:p w14:paraId="1C35F1F4">
                  <w:pPr>
                    <w:autoSpaceDE w:val="0"/>
                    <w:autoSpaceDN w:val="0"/>
                    <w:adjustRightInd w:val="0"/>
                    <w:snapToGrid w:val="0"/>
                    <w:spacing w:line="240" w:lineRule="exact"/>
                    <w:jc w:val="center"/>
                    <w:rPr>
                      <w:color w:val="auto"/>
                      <w:szCs w:val="21"/>
                      <w:highlight w:val="none"/>
                    </w:rPr>
                  </w:pPr>
                  <w:r>
                    <w:rPr>
                      <w:color w:val="auto"/>
                      <w:szCs w:val="21"/>
                      <w:highlight w:val="none"/>
                    </w:rPr>
                    <w:t>每天运行1小时</w:t>
                  </w:r>
                </w:p>
              </w:tc>
              <w:tc>
                <w:tcPr>
                  <w:tcW w:w="1829" w:type="dxa"/>
                  <w:shd w:val="clear" w:color="auto" w:fill="auto"/>
                  <w:vAlign w:val="center"/>
                </w:tcPr>
                <w:p w14:paraId="3FFF1E80">
                  <w:pPr>
                    <w:autoSpaceDE w:val="0"/>
                    <w:autoSpaceDN w:val="0"/>
                    <w:adjustRightInd w:val="0"/>
                    <w:snapToGrid w:val="0"/>
                    <w:spacing w:line="240" w:lineRule="exact"/>
                    <w:jc w:val="center"/>
                    <w:rPr>
                      <w:color w:val="auto"/>
                      <w:szCs w:val="21"/>
                      <w:highlight w:val="none"/>
                    </w:rPr>
                  </w:pPr>
                  <w:r>
                    <w:rPr>
                      <w:color w:val="auto"/>
                      <w:szCs w:val="21"/>
                      <w:highlight w:val="none"/>
                    </w:rPr>
                    <w:t>少量柴油引燃</w:t>
                  </w:r>
                </w:p>
              </w:tc>
            </w:tr>
            <w:tr w14:paraId="6A42E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90" w:type="dxa"/>
                  <w:shd w:val="clear" w:color="auto" w:fill="auto"/>
                  <w:vAlign w:val="center"/>
                </w:tcPr>
                <w:p w14:paraId="60659BDF">
                  <w:pPr>
                    <w:autoSpaceDE w:val="0"/>
                    <w:autoSpaceDN w:val="0"/>
                    <w:adjustRightInd w:val="0"/>
                    <w:snapToGrid w:val="0"/>
                    <w:spacing w:line="240" w:lineRule="exact"/>
                    <w:jc w:val="center"/>
                    <w:rPr>
                      <w:color w:val="auto"/>
                      <w:szCs w:val="21"/>
                      <w:highlight w:val="none"/>
                    </w:rPr>
                  </w:pPr>
                  <w:r>
                    <w:rPr>
                      <w:color w:val="auto"/>
                      <w:szCs w:val="21"/>
                      <w:highlight w:val="none"/>
                    </w:rPr>
                    <w:t>3</w:t>
                  </w:r>
                </w:p>
              </w:tc>
              <w:tc>
                <w:tcPr>
                  <w:tcW w:w="1880" w:type="dxa"/>
                  <w:shd w:val="clear" w:color="auto" w:fill="auto"/>
                  <w:vAlign w:val="center"/>
                </w:tcPr>
                <w:p w14:paraId="7165A4F5">
                  <w:pPr>
                    <w:autoSpaceDE w:val="0"/>
                    <w:autoSpaceDN w:val="0"/>
                    <w:adjustRightInd w:val="0"/>
                    <w:snapToGrid w:val="0"/>
                    <w:spacing w:line="240" w:lineRule="exact"/>
                    <w:jc w:val="center"/>
                    <w:rPr>
                      <w:color w:val="auto"/>
                      <w:szCs w:val="21"/>
                      <w:highlight w:val="none"/>
                    </w:rPr>
                  </w:pPr>
                  <w:r>
                    <w:rPr>
                      <w:color w:val="auto"/>
                      <w:szCs w:val="21"/>
                      <w:highlight w:val="none"/>
                    </w:rPr>
                    <w:t>尾气净化处理</w:t>
                  </w:r>
                </w:p>
                <w:p w14:paraId="23940258">
                  <w:pPr>
                    <w:autoSpaceDE w:val="0"/>
                    <w:autoSpaceDN w:val="0"/>
                    <w:adjustRightInd w:val="0"/>
                    <w:snapToGrid w:val="0"/>
                    <w:spacing w:line="240" w:lineRule="exact"/>
                    <w:jc w:val="center"/>
                    <w:rPr>
                      <w:color w:val="auto"/>
                      <w:szCs w:val="21"/>
                      <w:highlight w:val="none"/>
                    </w:rPr>
                  </w:pPr>
                  <w:r>
                    <w:rPr>
                      <w:color w:val="auto"/>
                      <w:szCs w:val="21"/>
                      <w:highlight w:val="none"/>
                    </w:rPr>
                    <w:t>设备</w:t>
                  </w:r>
                </w:p>
              </w:tc>
              <w:tc>
                <w:tcPr>
                  <w:tcW w:w="1003" w:type="dxa"/>
                  <w:shd w:val="clear" w:color="auto" w:fill="auto"/>
                  <w:vAlign w:val="center"/>
                </w:tcPr>
                <w:p w14:paraId="00A12D85">
                  <w:pPr>
                    <w:autoSpaceDE w:val="0"/>
                    <w:autoSpaceDN w:val="0"/>
                    <w:adjustRightInd w:val="0"/>
                    <w:snapToGrid w:val="0"/>
                    <w:spacing w:line="240" w:lineRule="exact"/>
                    <w:jc w:val="center"/>
                    <w:rPr>
                      <w:color w:val="auto"/>
                      <w:szCs w:val="21"/>
                      <w:highlight w:val="none"/>
                    </w:rPr>
                  </w:pPr>
                  <w:r>
                    <w:rPr>
                      <w:color w:val="auto"/>
                      <w:szCs w:val="21"/>
                      <w:highlight w:val="none"/>
                    </w:rPr>
                    <w:t>2套</w:t>
                  </w:r>
                </w:p>
              </w:tc>
              <w:tc>
                <w:tcPr>
                  <w:tcW w:w="2720" w:type="dxa"/>
                  <w:shd w:val="clear" w:color="auto" w:fill="auto"/>
                  <w:vAlign w:val="center"/>
                </w:tcPr>
                <w:p w14:paraId="315C1112">
                  <w:pPr>
                    <w:autoSpaceDE w:val="0"/>
                    <w:autoSpaceDN w:val="0"/>
                    <w:adjustRightInd w:val="0"/>
                    <w:snapToGrid w:val="0"/>
                    <w:spacing w:line="240" w:lineRule="exact"/>
                    <w:jc w:val="center"/>
                    <w:rPr>
                      <w:color w:val="auto"/>
                      <w:szCs w:val="21"/>
                      <w:highlight w:val="none"/>
                    </w:rPr>
                  </w:pPr>
                  <w:r>
                    <w:rPr>
                      <w:color w:val="auto"/>
                      <w:szCs w:val="21"/>
                      <w:highlight w:val="none"/>
                    </w:rPr>
                    <w:t>/</w:t>
                  </w:r>
                </w:p>
              </w:tc>
              <w:tc>
                <w:tcPr>
                  <w:tcW w:w="1829" w:type="dxa"/>
                  <w:shd w:val="clear" w:color="auto" w:fill="auto"/>
                  <w:vAlign w:val="center"/>
                </w:tcPr>
                <w:p w14:paraId="0D9D7D70">
                  <w:pPr>
                    <w:autoSpaceDE w:val="0"/>
                    <w:autoSpaceDN w:val="0"/>
                    <w:adjustRightInd w:val="0"/>
                    <w:snapToGrid w:val="0"/>
                    <w:spacing w:line="240" w:lineRule="exact"/>
                    <w:jc w:val="center"/>
                    <w:rPr>
                      <w:color w:val="auto"/>
                      <w:szCs w:val="21"/>
                      <w:highlight w:val="none"/>
                    </w:rPr>
                  </w:pPr>
                  <w:r>
                    <w:rPr>
                      <w:color w:val="auto"/>
                      <w:szCs w:val="21"/>
                      <w:highlight w:val="none"/>
                    </w:rPr>
                    <w:t>火化机、焚烧炉废气处理</w:t>
                  </w:r>
                </w:p>
              </w:tc>
            </w:tr>
            <w:tr w14:paraId="0BBF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90" w:type="dxa"/>
                  <w:shd w:val="clear" w:color="auto" w:fill="auto"/>
                  <w:vAlign w:val="center"/>
                </w:tcPr>
                <w:p w14:paraId="18D57DF6">
                  <w:pPr>
                    <w:autoSpaceDE w:val="0"/>
                    <w:autoSpaceDN w:val="0"/>
                    <w:adjustRightInd w:val="0"/>
                    <w:snapToGrid w:val="0"/>
                    <w:spacing w:line="240" w:lineRule="exact"/>
                    <w:jc w:val="center"/>
                    <w:rPr>
                      <w:color w:val="auto"/>
                      <w:szCs w:val="21"/>
                      <w:highlight w:val="none"/>
                    </w:rPr>
                  </w:pPr>
                  <w:r>
                    <w:rPr>
                      <w:color w:val="auto"/>
                      <w:szCs w:val="21"/>
                      <w:highlight w:val="none"/>
                    </w:rPr>
                    <w:t>4</w:t>
                  </w:r>
                </w:p>
              </w:tc>
              <w:tc>
                <w:tcPr>
                  <w:tcW w:w="1880" w:type="dxa"/>
                  <w:shd w:val="clear" w:color="auto" w:fill="auto"/>
                  <w:vAlign w:val="center"/>
                </w:tcPr>
                <w:p w14:paraId="7FD5CFF9">
                  <w:pPr>
                    <w:autoSpaceDE w:val="0"/>
                    <w:autoSpaceDN w:val="0"/>
                    <w:adjustRightInd w:val="0"/>
                    <w:snapToGrid w:val="0"/>
                    <w:spacing w:line="240" w:lineRule="exact"/>
                    <w:jc w:val="center"/>
                    <w:rPr>
                      <w:color w:val="auto"/>
                      <w:szCs w:val="21"/>
                      <w:highlight w:val="none"/>
                    </w:rPr>
                  </w:pPr>
                  <w:r>
                    <w:rPr>
                      <w:color w:val="auto"/>
                      <w:szCs w:val="21"/>
                      <w:highlight w:val="none"/>
                    </w:rPr>
                    <w:t>柴油储罐</w:t>
                  </w:r>
                </w:p>
              </w:tc>
              <w:tc>
                <w:tcPr>
                  <w:tcW w:w="1003" w:type="dxa"/>
                  <w:shd w:val="clear" w:color="auto" w:fill="auto"/>
                  <w:vAlign w:val="center"/>
                </w:tcPr>
                <w:p w14:paraId="291FEB3E">
                  <w:pPr>
                    <w:autoSpaceDE w:val="0"/>
                    <w:autoSpaceDN w:val="0"/>
                    <w:adjustRightInd w:val="0"/>
                    <w:snapToGrid w:val="0"/>
                    <w:spacing w:line="240" w:lineRule="exact"/>
                    <w:jc w:val="center"/>
                    <w:rPr>
                      <w:color w:val="auto"/>
                      <w:szCs w:val="21"/>
                      <w:highlight w:val="none"/>
                    </w:rPr>
                  </w:pPr>
                  <w:r>
                    <w:rPr>
                      <w:color w:val="auto"/>
                      <w:szCs w:val="21"/>
                      <w:highlight w:val="none"/>
                    </w:rPr>
                    <w:t>1个</w:t>
                  </w:r>
                </w:p>
              </w:tc>
              <w:tc>
                <w:tcPr>
                  <w:tcW w:w="2720" w:type="dxa"/>
                  <w:shd w:val="clear" w:color="auto" w:fill="auto"/>
                  <w:vAlign w:val="center"/>
                </w:tcPr>
                <w:p w14:paraId="6D6E3035">
                  <w:pPr>
                    <w:autoSpaceDE w:val="0"/>
                    <w:autoSpaceDN w:val="0"/>
                    <w:adjustRightInd w:val="0"/>
                    <w:snapToGrid w:val="0"/>
                    <w:spacing w:line="240" w:lineRule="exact"/>
                    <w:jc w:val="center"/>
                    <w:rPr>
                      <w:color w:val="auto"/>
                      <w:szCs w:val="21"/>
                      <w:highlight w:val="none"/>
                    </w:rPr>
                  </w:pPr>
                  <w:r>
                    <w:rPr>
                      <w:color w:val="auto"/>
                      <w:szCs w:val="21"/>
                      <w:highlight w:val="none"/>
                    </w:rPr>
                    <w:t>300L</w:t>
                  </w:r>
                </w:p>
              </w:tc>
              <w:tc>
                <w:tcPr>
                  <w:tcW w:w="1829" w:type="dxa"/>
                  <w:shd w:val="clear" w:color="auto" w:fill="auto"/>
                  <w:vAlign w:val="center"/>
                </w:tcPr>
                <w:p w14:paraId="33886BAD">
                  <w:pPr>
                    <w:autoSpaceDE w:val="0"/>
                    <w:autoSpaceDN w:val="0"/>
                    <w:adjustRightInd w:val="0"/>
                    <w:snapToGrid w:val="0"/>
                    <w:spacing w:line="240" w:lineRule="exact"/>
                    <w:jc w:val="center"/>
                    <w:rPr>
                      <w:color w:val="auto"/>
                      <w:szCs w:val="21"/>
                      <w:highlight w:val="none"/>
                    </w:rPr>
                  </w:pPr>
                  <w:r>
                    <w:rPr>
                      <w:rFonts w:hint="eastAsia"/>
                      <w:color w:val="auto"/>
                      <w:szCs w:val="21"/>
                      <w:highlight w:val="none"/>
                    </w:rPr>
                    <w:t>双层罐</w:t>
                  </w:r>
                </w:p>
              </w:tc>
            </w:tr>
            <w:tr w14:paraId="3C4B0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0" w:type="dxa"/>
                  <w:shd w:val="clear" w:color="auto" w:fill="auto"/>
                  <w:vAlign w:val="center"/>
                </w:tcPr>
                <w:p w14:paraId="0BD694D9">
                  <w:pPr>
                    <w:autoSpaceDE w:val="0"/>
                    <w:autoSpaceDN w:val="0"/>
                    <w:adjustRightInd w:val="0"/>
                    <w:snapToGrid w:val="0"/>
                    <w:spacing w:line="240" w:lineRule="exact"/>
                    <w:jc w:val="center"/>
                    <w:rPr>
                      <w:color w:val="auto"/>
                      <w:szCs w:val="21"/>
                      <w:highlight w:val="none"/>
                    </w:rPr>
                  </w:pPr>
                  <w:r>
                    <w:rPr>
                      <w:color w:val="auto"/>
                      <w:szCs w:val="21"/>
                      <w:highlight w:val="none"/>
                    </w:rPr>
                    <w:t>5</w:t>
                  </w:r>
                </w:p>
              </w:tc>
              <w:tc>
                <w:tcPr>
                  <w:tcW w:w="1880" w:type="dxa"/>
                  <w:shd w:val="clear" w:color="auto" w:fill="auto"/>
                  <w:vAlign w:val="center"/>
                </w:tcPr>
                <w:p w14:paraId="0EAC7BC3">
                  <w:pPr>
                    <w:autoSpaceDE w:val="0"/>
                    <w:autoSpaceDN w:val="0"/>
                    <w:adjustRightInd w:val="0"/>
                    <w:snapToGrid w:val="0"/>
                    <w:spacing w:line="240" w:lineRule="exact"/>
                    <w:jc w:val="center"/>
                    <w:rPr>
                      <w:color w:val="auto"/>
                      <w:szCs w:val="21"/>
                      <w:highlight w:val="none"/>
                    </w:rPr>
                  </w:pPr>
                  <w:r>
                    <w:rPr>
                      <w:color w:val="auto"/>
                      <w:szCs w:val="21"/>
                      <w:highlight w:val="none"/>
                    </w:rPr>
                    <w:t>冷藏柜</w:t>
                  </w:r>
                </w:p>
              </w:tc>
              <w:tc>
                <w:tcPr>
                  <w:tcW w:w="1003" w:type="dxa"/>
                  <w:shd w:val="clear" w:color="auto" w:fill="auto"/>
                  <w:vAlign w:val="center"/>
                </w:tcPr>
                <w:p w14:paraId="614B563A">
                  <w:pPr>
                    <w:autoSpaceDE w:val="0"/>
                    <w:autoSpaceDN w:val="0"/>
                    <w:adjustRightInd w:val="0"/>
                    <w:snapToGrid w:val="0"/>
                    <w:spacing w:line="240" w:lineRule="exact"/>
                    <w:jc w:val="center"/>
                    <w:rPr>
                      <w:color w:val="auto"/>
                      <w:szCs w:val="21"/>
                      <w:highlight w:val="none"/>
                    </w:rPr>
                  </w:pPr>
                  <w:r>
                    <w:rPr>
                      <w:color w:val="auto"/>
                      <w:szCs w:val="21"/>
                      <w:highlight w:val="none"/>
                    </w:rPr>
                    <w:t>20个</w:t>
                  </w:r>
                </w:p>
              </w:tc>
              <w:tc>
                <w:tcPr>
                  <w:tcW w:w="2720" w:type="dxa"/>
                  <w:shd w:val="clear" w:color="auto" w:fill="auto"/>
                  <w:vAlign w:val="center"/>
                </w:tcPr>
                <w:p w14:paraId="396C1F05">
                  <w:pPr>
                    <w:autoSpaceDE w:val="0"/>
                    <w:autoSpaceDN w:val="0"/>
                    <w:adjustRightInd w:val="0"/>
                    <w:snapToGrid w:val="0"/>
                    <w:spacing w:line="240" w:lineRule="exact"/>
                    <w:jc w:val="center"/>
                    <w:rPr>
                      <w:color w:val="auto"/>
                      <w:szCs w:val="21"/>
                      <w:highlight w:val="none"/>
                    </w:rPr>
                  </w:pPr>
                  <w:r>
                    <w:rPr>
                      <w:color w:val="auto"/>
                      <w:szCs w:val="21"/>
                      <w:highlight w:val="none"/>
                    </w:rPr>
                    <w:t>/</w:t>
                  </w:r>
                </w:p>
              </w:tc>
              <w:tc>
                <w:tcPr>
                  <w:tcW w:w="1829" w:type="dxa"/>
                  <w:shd w:val="clear" w:color="auto" w:fill="auto"/>
                  <w:vAlign w:val="center"/>
                </w:tcPr>
                <w:p w14:paraId="5DD8C41A">
                  <w:pPr>
                    <w:autoSpaceDE w:val="0"/>
                    <w:autoSpaceDN w:val="0"/>
                    <w:adjustRightInd w:val="0"/>
                    <w:snapToGrid w:val="0"/>
                    <w:spacing w:line="240" w:lineRule="exact"/>
                    <w:jc w:val="center"/>
                    <w:rPr>
                      <w:color w:val="auto"/>
                      <w:szCs w:val="21"/>
                      <w:highlight w:val="none"/>
                    </w:rPr>
                  </w:pPr>
                  <w:r>
                    <w:rPr>
                      <w:color w:val="auto"/>
                      <w:szCs w:val="21"/>
                      <w:highlight w:val="none"/>
                    </w:rPr>
                    <w:t>/</w:t>
                  </w:r>
                </w:p>
              </w:tc>
            </w:tr>
            <w:tr w14:paraId="7176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0" w:type="dxa"/>
                  <w:shd w:val="clear" w:color="auto" w:fill="auto"/>
                  <w:vAlign w:val="center"/>
                </w:tcPr>
                <w:p w14:paraId="74F993BA">
                  <w:pPr>
                    <w:autoSpaceDE w:val="0"/>
                    <w:autoSpaceDN w:val="0"/>
                    <w:adjustRightInd w:val="0"/>
                    <w:snapToGrid w:val="0"/>
                    <w:spacing w:line="240" w:lineRule="exact"/>
                    <w:jc w:val="center"/>
                    <w:rPr>
                      <w:color w:val="auto"/>
                      <w:szCs w:val="21"/>
                      <w:highlight w:val="none"/>
                    </w:rPr>
                  </w:pPr>
                  <w:r>
                    <w:rPr>
                      <w:color w:val="auto"/>
                      <w:szCs w:val="21"/>
                      <w:highlight w:val="none"/>
                    </w:rPr>
                    <w:t>6</w:t>
                  </w:r>
                </w:p>
              </w:tc>
              <w:tc>
                <w:tcPr>
                  <w:tcW w:w="1880" w:type="dxa"/>
                  <w:shd w:val="clear" w:color="auto" w:fill="auto"/>
                  <w:vAlign w:val="center"/>
                </w:tcPr>
                <w:p w14:paraId="78DE9A01">
                  <w:pPr>
                    <w:autoSpaceDE w:val="0"/>
                    <w:autoSpaceDN w:val="0"/>
                    <w:adjustRightInd w:val="0"/>
                    <w:snapToGrid w:val="0"/>
                    <w:spacing w:line="240" w:lineRule="exact"/>
                    <w:jc w:val="center"/>
                    <w:rPr>
                      <w:color w:val="auto"/>
                      <w:szCs w:val="21"/>
                      <w:highlight w:val="none"/>
                    </w:rPr>
                  </w:pPr>
                  <w:r>
                    <w:rPr>
                      <w:color w:val="auto"/>
                      <w:szCs w:val="21"/>
                      <w:highlight w:val="none"/>
                    </w:rPr>
                    <w:t>殡仪车</w:t>
                  </w:r>
                </w:p>
              </w:tc>
              <w:tc>
                <w:tcPr>
                  <w:tcW w:w="1003" w:type="dxa"/>
                  <w:shd w:val="clear" w:color="auto" w:fill="auto"/>
                  <w:vAlign w:val="center"/>
                </w:tcPr>
                <w:p w14:paraId="23B107C8">
                  <w:pPr>
                    <w:autoSpaceDE w:val="0"/>
                    <w:autoSpaceDN w:val="0"/>
                    <w:adjustRightInd w:val="0"/>
                    <w:snapToGrid w:val="0"/>
                    <w:spacing w:line="240" w:lineRule="exact"/>
                    <w:jc w:val="center"/>
                    <w:rPr>
                      <w:color w:val="auto"/>
                      <w:szCs w:val="21"/>
                      <w:highlight w:val="none"/>
                    </w:rPr>
                  </w:pPr>
                  <w:r>
                    <w:rPr>
                      <w:color w:val="auto"/>
                      <w:szCs w:val="21"/>
                      <w:highlight w:val="none"/>
                    </w:rPr>
                    <w:t>3辆</w:t>
                  </w:r>
                </w:p>
              </w:tc>
              <w:tc>
                <w:tcPr>
                  <w:tcW w:w="2720" w:type="dxa"/>
                  <w:shd w:val="clear" w:color="auto" w:fill="auto"/>
                  <w:vAlign w:val="center"/>
                </w:tcPr>
                <w:p w14:paraId="1EBAC478">
                  <w:pPr>
                    <w:autoSpaceDE w:val="0"/>
                    <w:autoSpaceDN w:val="0"/>
                    <w:adjustRightInd w:val="0"/>
                    <w:snapToGrid w:val="0"/>
                    <w:spacing w:line="240" w:lineRule="exact"/>
                    <w:jc w:val="center"/>
                    <w:rPr>
                      <w:color w:val="auto"/>
                      <w:szCs w:val="21"/>
                      <w:highlight w:val="none"/>
                    </w:rPr>
                  </w:pPr>
                  <w:r>
                    <w:rPr>
                      <w:color w:val="auto"/>
                      <w:szCs w:val="21"/>
                      <w:highlight w:val="none"/>
                    </w:rPr>
                    <w:t>/</w:t>
                  </w:r>
                </w:p>
              </w:tc>
              <w:tc>
                <w:tcPr>
                  <w:tcW w:w="1829" w:type="dxa"/>
                  <w:shd w:val="clear" w:color="auto" w:fill="auto"/>
                  <w:vAlign w:val="center"/>
                </w:tcPr>
                <w:p w14:paraId="3851D7D1">
                  <w:pPr>
                    <w:autoSpaceDE w:val="0"/>
                    <w:autoSpaceDN w:val="0"/>
                    <w:adjustRightInd w:val="0"/>
                    <w:snapToGrid w:val="0"/>
                    <w:spacing w:line="240" w:lineRule="exact"/>
                    <w:jc w:val="center"/>
                    <w:rPr>
                      <w:color w:val="auto"/>
                      <w:szCs w:val="21"/>
                      <w:highlight w:val="none"/>
                    </w:rPr>
                  </w:pPr>
                  <w:r>
                    <w:rPr>
                      <w:color w:val="auto"/>
                      <w:szCs w:val="21"/>
                      <w:highlight w:val="none"/>
                    </w:rPr>
                    <w:t>/</w:t>
                  </w:r>
                </w:p>
              </w:tc>
            </w:tr>
          </w:tbl>
          <w:p w14:paraId="42E0DBD5">
            <w:pPr>
              <w:spacing w:line="360" w:lineRule="auto"/>
              <w:ind w:firstLine="420" w:firstLineChars="200"/>
              <w:jc w:val="left"/>
              <w:rPr>
                <w:bCs/>
                <w:color w:val="auto"/>
                <w:szCs w:val="21"/>
                <w:highlight w:val="none"/>
              </w:rPr>
            </w:pPr>
          </w:p>
          <w:p w14:paraId="69FC7359">
            <w:pPr>
              <w:spacing w:line="360" w:lineRule="auto"/>
              <w:jc w:val="left"/>
              <w:rPr>
                <w:b/>
                <w:bCs/>
                <w:color w:val="auto"/>
                <w:sz w:val="24"/>
                <w:highlight w:val="none"/>
              </w:rPr>
            </w:pPr>
            <w:r>
              <w:rPr>
                <w:rFonts w:hint="eastAsia"/>
                <w:b/>
                <w:bCs/>
                <w:color w:val="auto"/>
                <w:sz w:val="24"/>
                <w:highlight w:val="none"/>
                <w:lang w:val="en-US" w:eastAsia="zh-CN"/>
              </w:rPr>
              <w:t>5</w:t>
            </w:r>
            <w:r>
              <w:rPr>
                <w:b/>
                <w:bCs/>
                <w:color w:val="auto"/>
                <w:sz w:val="24"/>
                <w:highlight w:val="none"/>
              </w:rPr>
              <w:t>.项目规模及主要原辅材料消耗</w:t>
            </w:r>
          </w:p>
          <w:p w14:paraId="10BDA00B">
            <w:pPr>
              <w:adjustRightInd w:val="0"/>
              <w:snapToGrid w:val="0"/>
              <w:spacing w:line="360" w:lineRule="auto"/>
              <w:ind w:firstLine="480" w:firstLineChars="200"/>
              <w:jc w:val="left"/>
              <w:rPr>
                <w:bCs/>
                <w:color w:val="auto"/>
                <w:sz w:val="24"/>
                <w:highlight w:val="none"/>
              </w:rPr>
            </w:pPr>
            <w:r>
              <w:rPr>
                <w:bCs/>
                <w:color w:val="auto"/>
                <w:sz w:val="24"/>
                <w:highlight w:val="none"/>
              </w:rPr>
              <w:t>（1）火化规模</w:t>
            </w:r>
          </w:p>
          <w:p w14:paraId="2DCF1CF4">
            <w:pPr>
              <w:adjustRightInd w:val="0"/>
              <w:snapToGrid w:val="0"/>
              <w:spacing w:line="360" w:lineRule="auto"/>
              <w:ind w:firstLine="480" w:firstLineChars="200"/>
              <w:jc w:val="left"/>
              <w:rPr>
                <w:bCs/>
                <w:color w:val="auto"/>
                <w:sz w:val="24"/>
                <w:highlight w:val="none"/>
              </w:rPr>
            </w:pPr>
            <w:r>
              <w:rPr>
                <w:bCs/>
                <w:color w:val="auto"/>
                <w:sz w:val="24"/>
                <w:highlight w:val="none"/>
              </w:rPr>
              <w:t>本项目年火化遗体数量为260具。</w:t>
            </w:r>
          </w:p>
          <w:p w14:paraId="46C7A63B">
            <w:pPr>
              <w:adjustRightInd w:val="0"/>
              <w:snapToGrid w:val="0"/>
              <w:spacing w:line="360" w:lineRule="auto"/>
              <w:ind w:firstLine="480" w:firstLineChars="200"/>
              <w:jc w:val="left"/>
              <w:rPr>
                <w:bCs/>
                <w:color w:val="auto"/>
                <w:sz w:val="24"/>
                <w:highlight w:val="none"/>
              </w:rPr>
            </w:pPr>
            <w:r>
              <w:rPr>
                <w:bCs/>
                <w:color w:val="auto"/>
                <w:sz w:val="24"/>
                <w:highlight w:val="none"/>
              </w:rPr>
              <w:t>（2）原辅材料消耗</w:t>
            </w:r>
          </w:p>
          <w:p w14:paraId="24C794AB">
            <w:pPr>
              <w:adjustRightInd w:val="0"/>
              <w:snapToGrid w:val="0"/>
              <w:spacing w:line="360" w:lineRule="auto"/>
              <w:ind w:firstLine="480" w:firstLineChars="200"/>
              <w:jc w:val="left"/>
              <w:rPr>
                <w:bCs/>
                <w:color w:val="auto"/>
                <w:sz w:val="24"/>
                <w:highlight w:val="none"/>
              </w:rPr>
            </w:pPr>
            <w:r>
              <w:rPr>
                <w:bCs/>
                <w:color w:val="auto"/>
                <w:sz w:val="24"/>
                <w:highlight w:val="none"/>
              </w:rPr>
              <w:t>本项目主要原辅材料消耗情况见表2-</w:t>
            </w:r>
            <w:r>
              <w:rPr>
                <w:rFonts w:hint="eastAsia"/>
                <w:bCs/>
                <w:color w:val="auto"/>
                <w:sz w:val="24"/>
                <w:highlight w:val="none"/>
                <w:lang w:val="en-US" w:eastAsia="zh-CN"/>
              </w:rPr>
              <w:t>4</w:t>
            </w:r>
            <w:r>
              <w:rPr>
                <w:bCs/>
                <w:color w:val="auto"/>
                <w:sz w:val="24"/>
                <w:highlight w:val="none"/>
              </w:rPr>
              <w:t>。</w:t>
            </w:r>
          </w:p>
          <w:p w14:paraId="4223697E">
            <w:pPr>
              <w:adjustRightInd w:val="0"/>
              <w:snapToGrid w:val="0"/>
              <w:spacing w:line="360" w:lineRule="auto"/>
              <w:jc w:val="center"/>
              <w:rPr>
                <w:b/>
                <w:bCs/>
                <w:color w:val="auto"/>
                <w:sz w:val="24"/>
                <w:highlight w:val="none"/>
              </w:rPr>
            </w:pPr>
            <w:r>
              <w:rPr>
                <w:b/>
                <w:bCs/>
                <w:color w:val="auto"/>
                <w:sz w:val="24"/>
                <w:highlight w:val="none"/>
              </w:rPr>
              <w:t>表2-</w:t>
            </w:r>
            <w:r>
              <w:rPr>
                <w:rFonts w:hint="eastAsia"/>
                <w:b/>
                <w:bCs/>
                <w:color w:val="auto"/>
                <w:sz w:val="24"/>
                <w:highlight w:val="none"/>
                <w:lang w:val="en-US" w:eastAsia="zh-CN"/>
              </w:rPr>
              <w:t>4</w:t>
            </w:r>
            <w:r>
              <w:rPr>
                <w:b/>
                <w:bCs/>
                <w:color w:val="auto"/>
                <w:sz w:val="24"/>
                <w:highlight w:val="none"/>
              </w:rPr>
              <w:t xml:space="preserve"> 主要动力消耗情况表</w:t>
            </w:r>
          </w:p>
          <w:tbl>
            <w:tblPr>
              <w:tblStyle w:val="20"/>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0"/>
              <w:gridCol w:w="978"/>
              <w:gridCol w:w="1582"/>
              <w:gridCol w:w="1922"/>
              <w:gridCol w:w="2730"/>
            </w:tblGrid>
            <w:tr w14:paraId="6585B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9" w:type="pct"/>
                  <w:vAlign w:val="center"/>
                </w:tcPr>
                <w:p w14:paraId="4FB940E1">
                  <w:pPr>
                    <w:autoSpaceDE w:val="0"/>
                    <w:autoSpaceDN w:val="0"/>
                    <w:jc w:val="center"/>
                    <w:rPr>
                      <w:b/>
                      <w:bCs/>
                      <w:color w:val="auto"/>
                      <w:kern w:val="0"/>
                      <w:szCs w:val="21"/>
                      <w:highlight w:val="none"/>
                    </w:rPr>
                  </w:pPr>
                  <w:r>
                    <w:rPr>
                      <w:b/>
                      <w:bCs/>
                      <w:color w:val="auto"/>
                      <w:kern w:val="0"/>
                      <w:szCs w:val="21"/>
                      <w:highlight w:val="none"/>
                    </w:rPr>
                    <w:t>类别</w:t>
                  </w:r>
                </w:p>
              </w:tc>
              <w:tc>
                <w:tcPr>
                  <w:tcW w:w="609" w:type="pct"/>
                  <w:vAlign w:val="center"/>
                </w:tcPr>
                <w:p w14:paraId="04981961">
                  <w:pPr>
                    <w:autoSpaceDE w:val="0"/>
                    <w:autoSpaceDN w:val="0"/>
                    <w:jc w:val="center"/>
                    <w:rPr>
                      <w:b/>
                      <w:bCs/>
                      <w:color w:val="auto"/>
                      <w:kern w:val="0"/>
                      <w:szCs w:val="21"/>
                      <w:highlight w:val="none"/>
                    </w:rPr>
                  </w:pPr>
                  <w:r>
                    <w:rPr>
                      <w:b/>
                      <w:bCs/>
                      <w:color w:val="auto"/>
                      <w:kern w:val="0"/>
                      <w:szCs w:val="21"/>
                      <w:highlight w:val="none"/>
                    </w:rPr>
                    <w:t>名称</w:t>
                  </w:r>
                </w:p>
              </w:tc>
              <w:tc>
                <w:tcPr>
                  <w:tcW w:w="904" w:type="pct"/>
                  <w:vAlign w:val="center"/>
                </w:tcPr>
                <w:p w14:paraId="6880C860">
                  <w:pPr>
                    <w:autoSpaceDE w:val="0"/>
                    <w:autoSpaceDN w:val="0"/>
                    <w:jc w:val="center"/>
                    <w:rPr>
                      <w:b/>
                      <w:bCs/>
                      <w:color w:val="auto"/>
                      <w:kern w:val="0"/>
                      <w:szCs w:val="21"/>
                      <w:highlight w:val="none"/>
                    </w:rPr>
                  </w:pPr>
                  <w:r>
                    <w:rPr>
                      <w:b/>
                      <w:bCs/>
                      <w:color w:val="auto"/>
                      <w:kern w:val="0"/>
                      <w:szCs w:val="21"/>
                      <w:highlight w:val="none"/>
                    </w:rPr>
                    <w:t>年耗量</w:t>
                  </w:r>
                </w:p>
              </w:tc>
              <w:tc>
                <w:tcPr>
                  <w:tcW w:w="1183" w:type="pct"/>
                  <w:vAlign w:val="center"/>
                </w:tcPr>
                <w:p w14:paraId="7AFA9F3F">
                  <w:pPr>
                    <w:autoSpaceDE w:val="0"/>
                    <w:autoSpaceDN w:val="0"/>
                    <w:jc w:val="center"/>
                    <w:rPr>
                      <w:b/>
                      <w:bCs/>
                      <w:color w:val="auto"/>
                      <w:kern w:val="0"/>
                      <w:szCs w:val="21"/>
                      <w:highlight w:val="none"/>
                    </w:rPr>
                  </w:pPr>
                  <w:r>
                    <w:rPr>
                      <w:b/>
                      <w:bCs/>
                      <w:color w:val="auto"/>
                      <w:kern w:val="0"/>
                      <w:szCs w:val="21"/>
                      <w:highlight w:val="none"/>
                    </w:rPr>
                    <w:t>最大存储量</w:t>
                  </w:r>
                </w:p>
              </w:tc>
              <w:tc>
                <w:tcPr>
                  <w:tcW w:w="2758" w:type="dxa"/>
                  <w:vAlign w:val="center"/>
                </w:tcPr>
                <w:p w14:paraId="080577BF">
                  <w:pPr>
                    <w:autoSpaceDE w:val="0"/>
                    <w:autoSpaceDN w:val="0"/>
                    <w:jc w:val="center"/>
                    <w:rPr>
                      <w:b/>
                      <w:bCs/>
                      <w:color w:val="auto"/>
                      <w:kern w:val="0"/>
                      <w:szCs w:val="21"/>
                      <w:highlight w:val="none"/>
                    </w:rPr>
                  </w:pPr>
                  <w:r>
                    <w:rPr>
                      <w:b/>
                      <w:bCs/>
                      <w:color w:val="auto"/>
                      <w:kern w:val="0"/>
                      <w:szCs w:val="21"/>
                      <w:highlight w:val="none"/>
                    </w:rPr>
                    <w:t>来源</w:t>
                  </w:r>
                </w:p>
              </w:tc>
            </w:tr>
            <w:tr w14:paraId="1BC16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9" w:type="pct"/>
                  <w:vMerge w:val="restart"/>
                  <w:vAlign w:val="center"/>
                </w:tcPr>
                <w:p w14:paraId="4844634D">
                  <w:pPr>
                    <w:autoSpaceDE w:val="0"/>
                    <w:autoSpaceDN w:val="0"/>
                    <w:jc w:val="center"/>
                    <w:rPr>
                      <w:color w:val="auto"/>
                      <w:kern w:val="0"/>
                      <w:szCs w:val="21"/>
                      <w:highlight w:val="none"/>
                    </w:rPr>
                  </w:pPr>
                  <w:r>
                    <w:rPr>
                      <w:color w:val="auto"/>
                      <w:kern w:val="0"/>
                      <w:szCs w:val="21"/>
                      <w:highlight w:val="none"/>
                    </w:rPr>
                    <w:t>原辅材料</w:t>
                  </w:r>
                </w:p>
              </w:tc>
              <w:tc>
                <w:tcPr>
                  <w:tcW w:w="609" w:type="pct"/>
                  <w:vAlign w:val="center"/>
                </w:tcPr>
                <w:p w14:paraId="45A60CD9">
                  <w:pPr>
                    <w:autoSpaceDE w:val="0"/>
                    <w:autoSpaceDN w:val="0"/>
                    <w:jc w:val="center"/>
                    <w:rPr>
                      <w:color w:val="auto"/>
                      <w:kern w:val="0"/>
                      <w:szCs w:val="21"/>
                      <w:highlight w:val="none"/>
                    </w:rPr>
                  </w:pPr>
                  <w:r>
                    <w:rPr>
                      <w:color w:val="auto"/>
                      <w:kern w:val="0"/>
                      <w:szCs w:val="21"/>
                      <w:highlight w:val="none"/>
                    </w:rPr>
                    <w:t>活性炭</w:t>
                  </w:r>
                </w:p>
              </w:tc>
              <w:tc>
                <w:tcPr>
                  <w:tcW w:w="904" w:type="pct"/>
                  <w:vAlign w:val="center"/>
                </w:tcPr>
                <w:p w14:paraId="4737AEA7">
                  <w:pPr>
                    <w:autoSpaceDE w:val="0"/>
                    <w:autoSpaceDN w:val="0"/>
                    <w:jc w:val="center"/>
                    <w:rPr>
                      <w:color w:val="auto"/>
                      <w:kern w:val="0"/>
                      <w:szCs w:val="21"/>
                      <w:highlight w:val="none"/>
                    </w:rPr>
                  </w:pPr>
                  <w:r>
                    <w:rPr>
                      <w:color w:val="auto"/>
                      <w:kern w:val="0"/>
                      <w:szCs w:val="21"/>
                      <w:highlight w:val="none"/>
                    </w:rPr>
                    <w:t>0.</w:t>
                  </w:r>
                  <w:r>
                    <w:rPr>
                      <w:rFonts w:hint="eastAsia"/>
                      <w:color w:val="auto"/>
                      <w:kern w:val="0"/>
                      <w:szCs w:val="21"/>
                      <w:highlight w:val="none"/>
                      <w:lang w:val="en-US" w:eastAsia="zh-CN"/>
                    </w:rPr>
                    <w:t>3</w:t>
                  </w:r>
                  <w:r>
                    <w:rPr>
                      <w:color w:val="auto"/>
                      <w:kern w:val="0"/>
                      <w:szCs w:val="21"/>
                      <w:highlight w:val="none"/>
                    </w:rPr>
                    <w:t>t/a</w:t>
                  </w:r>
                </w:p>
              </w:tc>
              <w:tc>
                <w:tcPr>
                  <w:tcW w:w="1183" w:type="pct"/>
                  <w:vAlign w:val="center"/>
                </w:tcPr>
                <w:p w14:paraId="183026B0">
                  <w:pPr>
                    <w:autoSpaceDE w:val="0"/>
                    <w:autoSpaceDN w:val="0"/>
                    <w:jc w:val="center"/>
                    <w:rPr>
                      <w:color w:val="auto"/>
                      <w:kern w:val="0"/>
                      <w:szCs w:val="21"/>
                      <w:highlight w:val="none"/>
                    </w:rPr>
                  </w:pPr>
                  <w:r>
                    <w:rPr>
                      <w:color w:val="auto"/>
                      <w:kern w:val="0"/>
                      <w:szCs w:val="21"/>
                      <w:highlight w:val="none"/>
                    </w:rPr>
                    <w:t>0.</w:t>
                  </w:r>
                  <w:r>
                    <w:rPr>
                      <w:rFonts w:hint="eastAsia"/>
                      <w:color w:val="auto"/>
                      <w:kern w:val="0"/>
                      <w:szCs w:val="21"/>
                      <w:highlight w:val="none"/>
                      <w:lang w:val="en-US" w:eastAsia="zh-CN"/>
                    </w:rPr>
                    <w:t>3</w:t>
                  </w:r>
                  <w:r>
                    <w:rPr>
                      <w:color w:val="auto"/>
                      <w:kern w:val="0"/>
                      <w:szCs w:val="21"/>
                      <w:highlight w:val="none"/>
                    </w:rPr>
                    <w:t>t/a</w:t>
                  </w:r>
                </w:p>
              </w:tc>
              <w:tc>
                <w:tcPr>
                  <w:tcW w:w="2758" w:type="dxa"/>
                  <w:vAlign w:val="center"/>
                </w:tcPr>
                <w:p w14:paraId="2F610A08">
                  <w:pPr>
                    <w:autoSpaceDE w:val="0"/>
                    <w:autoSpaceDN w:val="0"/>
                    <w:jc w:val="center"/>
                    <w:rPr>
                      <w:color w:val="auto"/>
                      <w:kern w:val="0"/>
                      <w:szCs w:val="21"/>
                      <w:highlight w:val="none"/>
                    </w:rPr>
                  </w:pPr>
                  <w:r>
                    <w:rPr>
                      <w:color w:val="auto"/>
                      <w:kern w:val="0"/>
                      <w:szCs w:val="21"/>
                      <w:highlight w:val="none"/>
                    </w:rPr>
                    <w:t>外购</w:t>
                  </w:r>
                </w:p>
              </w:tc>
            </w:tr>
            <w:tr w14:paraId="64334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9" w:type="pct"/>
                  <w:vMerge w:val="continue"/>
                  <w:vAlign w:val="center"/>
                </w:tcPr>
                <w:p w14:paraId="4C1515B1">
                  <w:pPr>
                    <w:autoSpaceDE w:val="0"/>
                    <w:autoSpaceDN w:val="0"/>
                    <w:jc w:val="center"/>
                    <w:rPr>
                      <w:color w:val="auto"/>
                      <w:kern w:val="0"/>
                      <w:szCs w:val="21"/>
                      <w:highlight w:val="none"/>
                    </w:rPr>
                  </w:pPr>
                </w:p>
              </w:tc>
              <w:tc>
                <w:tcPr>
                  <w:tcW w:w="609" w:type="pct"/>
                  <w:vAlign w:val="center"/>
                </w:tcPr>
                <w:p w14:paraId="1256610F">
                  <w:pPr>
                    <w:autoSpaceDE w:val="0"/>
                    <w:autoSpaceDN w:val="0"/>
                    <w:jc w:val="center"/>
                    <w:rPr>
                      <w:color w:val="auto"/>
                      <w:kern w:val="0"/>
                      <w:szCs w:val="21"/>
                      <w:highlight w:val="none"/>
                    </w:rPr>
                  </w:pPr>
                  <w:r>
                    <w:rPr>
                      <w:rFonts w:hint="eastAsia"/>
                      <w:color w:val="auto"/>
                      <w:kern w:val="0"/>
                      <w:szCs w:val="21"/>
                      <w:highlight w:val="none"/>
                    </w:rPr>
                    <w:t>消石灰</w:t>
                  </w:r>
                </w:p>
              </w:tc>
              <w:tc>
                <w:tcPr>
                  <w:tcW w:w="904" w:type="pct"/>
                  <w:vAlign w:val="center"/>
                </w:tcPr>
                <w:p w14:paraId="0E9CE1A6">
                  <w:pPr>
                    <w:autoSpaceDE w:val="0"/>
                    <w:autoSpaceDN w:val="0"/>
                    <w:jc w:val="center"/>
                    <w:rPr>
                      <w:color w:val="auto"/>
                      <w:kern w:val="0"/>
                      <w:szCs w:val="21"/>
                      <w:highlight w:val="none"/>
                    </w:rPr>
                  </w:pPr>
                  <w:r>
                    <w:rPr>
                      <w:rFonts w:hint="eastAsia"/>
                      <w:color w:val="auto"/>
                      <w:kern w:val="0"/>
                      <w:szCs w:val="21"/>
                      <w:highlight w:val="none"/>
                    </w:rPr>
                    <w:t>0.</w:t>
                  </w:r>
                  <w:r>
                    <w:rPr>
                      <w:rFonts w:hint="eastAsia"/>
                      <w:color w:val="auto"/>
                      <w:kern w:val="0"/>
                      <w:szCs w:val="21"/>
                      <w:highlight w:val="none"/>
                      <w:lang w:val="en-US" w:eastAsia="zh-CN"/>
                    </w:rPr>
                    <w:t>3</w:t>
                  </w:r>
                  <w:r>
                    <w:rPr>
                      <w:rFonts w:hint="eastAsia"/>
                      <w:color w:val="auto"/>
                      <w:kern w:val="0"/>
                      <w:szCs w:val="21"/>
                      <w:highlight w:val="none"/>
                    </w:rPr>
                    <w:t>t/a</w:t>
                  </w:r>
                </w:p>
              </w:tc>
              <w:tc>
                <w:tcPr>
                  <w:tcW w:w="1183" w:type="pct"/>
                  <w:vAlign w:val="center"/>
                </w:tcPr>
                <w:p w14:paraId="4CFB6277">
                  <w:pPr>
                    <w:autoSpaceDE w:val="0"/>
                    <w:autoSpaceDN w:val="0"/>
                    <w:jc w:val="center"/>
                    <w:rPr>
                      <w:color w:val="auto"/>
                      <w:kern w:val="0"/>
                      <w:szCs w:val="21"/>
                      <w:highlight w:val="none"/>
                    </w:rPr>
                  </w:pPr>
                  <w:r>
                    <w:rPr>
                      <w:rFonts w:hint="eastAsia"/>
                      <w:color w:val="auto"/>
                      <w:kern w:val="0"/>
                      <w:szCs w:val="21"/>
                      <w:highlight w:val="none"/>
                    </w:rPr>
                    <w:t>0.</w:t>
                  </w:r>
                  <w:r>
                    <w:rPr>
                      <w:rFonts w:hint="eastAsia"/>
                      <w:color w:val="auto"/>
                      <w:kern w:val="0"/>
                      <w:szCs w:val="21"/>
                      <w:highlight w:val="none"/>
                      <w:lang w:val="en-US" w:eastAsia="zh-CN"/>
                    </w:rPr>
                    <w:t>3</w:t>
                  </w:r>
                  <w:r>
                    <w:rPr>
                      <w:rFonts w:hint="eastAsia"/>
                      <w:color w:val="auto"/>
                      <w:kern w:val="0"/>
                      <w:szCs w:val="21"/>
                      <w:highlight w:val="none"/>
                    </w:rPr>
                    <w:t>t/a</w:t>
                  </w:r>
                </w:p>
              </w:tc>
              <w:tc>
                <w:tcPr>
                  <w:tcW w:w="2758" w:type="dxa"/>
                  <w:vAlign w:val="center"/>
                </w:tcPr>
                <w:p w14:paraId="24E68786">
                  <w:pPr>
                    <w:autoSpaceDE w:val="0"/>
                    <w:autoSpaceDN w:val="0"/>
                    <w:jc w:val="center"/>
                    <w:rPr>
                      <w:color w:val="auto"/>
                      <w:kern w:val="0"/>
                      <w:szCs w:val="21"/>
                      <w:highlight w:val="none"/>
                    </w:rPr>
                  </w:pPr>
                  <w:r>
                    <w:rPr>
                      <w:color w:val="auto"/>
                      <w:kern w:val="0"/>
                      <w:szCs w:val="21"/>
                      <w:highlight w:val="none"/>
                    </w:rPr>
                    <w:t>外购</w:t>
                  </w:r>
                </w:p>
              </w:tc>
            </w:tr>
            <w:tr w14:paraId="3441D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9" w:type="pct"/>
                  <w:vMerge w:val="continue"/>
                  <w:vAlign w:val="center"/>
                </w:tcPr>
                <w:p w14:paraId="4343826A">
                  <w:pPr>
                    <w:autoSpaceDE w:val="0"/>
                    <w:autoSpaceDN w:val="0"/>
                    <w:jc w:val="center"/>
                    <w:rPr>
                      <w:color w:val="auto"/>
                      <w:kern w:val="0"/>
                      <w:szCs w:val="21"/>
                      <w:highlight w:val="none"/>
                    </w:rPr>
                  </w:pPr>
                </w:p>
              </w:tc>
              <w:tc>
                <w:tcPr>
                  <w:tcW w:w="609" w:type="pct"/>
                  <w:vAlign w:val="center"/>
                </w:tcPr>
                <w:p w14:paraId="49A2D1BB">
                  <w:pPr>
                    <w:autoSpaceDE w:val="0"/>
                    <w:autoSpaceDN w:val="0"/>
                    <w:jc w:val="center"/>
                    <w:rPr>
                      <w:color w:val="auto"/>
                      <w:kern w:val="0"/>
                      <w:szCs w:val="21"/>
                      <w:highlight w:val="none"/>
                    </w:rPr>
                  </w:pPr>
                  <w:r>
                    <w:rPr>
                      <w:color w:val="auto"/>
                      <w:kern w:val="0"/>
                      <w:szCs w:val="21"/>
                      <w:highlight w:val="none"/>
                    </w:rPr>
                    <w:t>轻质柴油</w:t>
                  </w:r>
                </w:p>
              </w:tc>
              <w:tc>
                <w:tcPr>
                  <w:tcW w:w="904" w:type="pct"/>
                  <w:vAlign w:val="center"/>
                </w:tcPr>
                <w:p w14:paraId="0066D17F">
                  <w:pPr>
                    <w:autoSpaceDE w:val="0"/>
                    <w:autoSpaceDN w:val="0"/>
                    <w:jc w:val="center"/>
                    <w:rPr>
                      <w:color w:val="auto"/>
                      <w:kern w:val="0"/>
                      <w:szCs w:val="21"/>
                      <w:highlight w:val="none"/>
                    </w:rPr>
                  </w:pPr>
                  <w:r>
                    <w:rPr>
                      <w:color w:val="auto"/>
                      <w:kern w:val="0"/>
                      <w:szCs w:val="21"/>
                      <w:highlight w:val="none"/>
                    </w:rPr>
                    <w:t>5.525t/a</w:t>
                  </w:r>
                </w:p>
              </w:tc>
              <w:tc>
                <w:tcPr>
                  <w:tcW w:w="1183" w:type="pct"/>
                  <w:vAlign w:val="center"/>
                </w:tcPr>
                <w:p w14:paraId="544BE448">
                  <w:pPr>
                    <w:autoSpaceDE w:val="0"/>
                    <w:autoSpaceDN w:val="0"/>
                    <w:jc w:val="center"/>
                    <w:rPr>
                      <w:color w:val="auto"/>
                      <w:kern w:val="0"/>
                      <w:szCs w:val="21"/>
                      <w:highlight w:val="none"/>
                    </w:rPr>
                  </w:pPr>
                  <w:r>
                    <w:rPr>
                      <w:color w:val="auto"/>
                      <w:kern w:val="0"/>
                      <w:szCs w:val="21"/>
                      <w:highlight w:val="none"/>
                    </w:rPr>
                    <w:t>0.25t</w:t>
                  </w:r>
                </w:p>
              </w:tc>
              <w:tc>
                <w:tcPr>
                  <w:tcW w:w="2758" w:type="dxa"/>
                  <w:vAlign w:val="center"/>
                </w:tcPr>
                <w:p w14:paraId="5761F65D">
                  <w:pPr>
                    <w:autoSpaceDE w:val="0"/>
                    <w:autoSpaceDN w:val="0"/>
                    <w:jc w:val="center"/>
                    <w:rPr>
                      <w:color w:val="auto"/>
                      <w:kern w:val="0"/>
                      <w:szCs w:val="21"/>
                      <w:highlight w:val="none"/>
                    </w:rPr>
                  </w:pPr>
                  <w:r>
                    <w:rPr>
                      <w:color w:val="auto"/>
                      <w:kern w:val="0"/>
                      <w:szCs w:val="21"/>
                      <w:highlight w:val="none"/>
                    </w:rPr>
                    <w:t>外购</w:t>
                  </w:r>
                </w:p>
              </w:tc>
            </w:tr>
            <w:tr w14:paraId="4D286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9" w:type="pct"/>
                  <w:vMerge w:val="restart"/>
                  <w:vAlign w:val="center"/>
                </w:tcPr>
                <w:p w14:paraId="1F9D5D5A">
                  <w:pPr>
                    <w:autoSpaceDE w:val="0"/>
                    <w:autoSpaceDN w:val="0"/>
                    <w:jc w:val="center"/>
                    <w:rPr>
                      <w:color w:val="auto"/>
                      <w:kern w:val="0"/>
                      <w:szCs w:val="21"/>
                      <w:highlight w:val="none"/>
                    </w:rPr>
                  </w:pPr>
                  <w:r>
                    <w:rPr>
                      <w:color w:val="auto"/>
                      <w:kern w:val="0"/>
                      <w:szCs w:val="21"/>
                      <w:highlight w:val="none"/>
                    </w:rPr>
                    <w:t>动力消耗</w:t>
                  </w:r>
                </w:p>
              </w:tc>
              <w:tc>
                <w:tcPr>
                  <w:tcW w:w="609" w:type="pct"/>
                  <w:vAlign w:val="center"/>
                </w:tcPr>
                <w:p w14:paraId="779216A9">
                  <w:pPr>
                    <w:autoSpaceDE w:val="0"/>
                    <w:autoSpaceDN w:val="0"/>
                    <w:jc w:val="center"/>
                    <w:rPr>
                      <w:color w:val="auto"/>
                      <w:kern w:val="0"/>
                      <w:szCs w:val="21"/>
                      <w:highlight w:val="none"/>
                    </w:rPr>
                  </w:pPr>
                  <w:r>
                    <w:rPr>
                      <w:color w:val="auto"/>
                      <w:kern w:val="0"/>
                      <w:szCs w:val="21"/>
                      <w:highlight w:val="none"/>
                    </w:rPr>
                    <w:t>电</w:t>
                  </w:r>
                </w:p>
              </w:tc>
              <w:tc>
                <w:tcPr>
                  <w:tcW w:w="904" w:type="pct"/>
                  <w:vAlign w:val="center"/>
                </w:tcPr>
                <w:p w14:paraId="743F6B03">
                  <w:pPr>
                    <w:autoSpaceDE w:val="0"/>
                    <w:autoSpaceDN w:val="0"/>
                    <w:jc w:val="center"/>
                    <w:rPr>
                      <w:color w:val="auto"/>
                      <w:kern w:val="0"/>
                      <w:szCs w:val="21"/>
                      <w:highlight w:val="none"/>
                    </w:rPr>
                  </w:pPr>
                  <w:r>
                    <w:rPr>
                      <w:color w:val="auto"/>
                      <w:kern w:val="0"/>
                      <w:szCs w:val="21"/>
                      <w:highlight w:val="none"/>
                    </w:rPr>
                    <w:t>5000kW·h</w:t>
                  </w:r>
                </w:p>
              </w:tc>
              <w:tc>
                <w:tcPr>
                  <w:tcW w:w="1183" w:type="pct"/>
                  <w:vAlign w:val="center"/>
                </w:tcPr>
                <w:p w14:paraId="088C53F6">
                  <w:pPr>
                    <w:autoSpaceDE w:val="0"/>
                    <w:autoSpaceDN w:val="0"/>
                    <w:jc w:val="center"/>
                    <w:rPr>
                      <w:color w:val="auto"/>
                      <w:kern w:val="0"/>
                      <w:szCs w:val="21"/>
                      <w:highlight w:val="none"/>
                    </w:rPr>
                  </w:pPr>
                  <w:r>
                    <w:rPr>
                      <w:color w:val="auto"/>
                      <w:kern w:val="0"/>
                      <w:szCs w:val="21"/>
                      <w:highlight w:val="none"/>
                    </w:rPr>
                    <w:t>/</w:t>
                  </w:r>
                </w:p>
              </w:tc>
              <w:tc>
                <w:tcPr>
                  <w:tcW w:w="2758" w:type="dxa"/>
                  <w:vAlign w:val="center"/>
                </w:tcPr>
                <w:p w14:paraId="26986E5D">
                  <w:pPr>
                    <w:autoSpaceDE w:val="0"/>
                    <w:autoSpaceDN w:val="0"/>
                    <w:jc w:val="center"/>
                    <w:rPr>
                      <w:color w:val="auto"/>
                      <w:kern w:val="0"/>
                      <w:szCs w:val="21"/>
                      <w:highlight w:val="none"/>
                    </w:rPr>
                  </w:pPr>
                  <w:r>
                    <w:rPr>
                      <w:color w:val="auto"/>
                      <w:kern w:val="0"/>
                      <w:szCs w:val="21"/>
                      <w:highlight w:val="none"/>
                    </w:rPr>
                    <w:t>当地电网供给</w:t>
                  </w:r>
                </w:p>
              </w:tc>
            </w:tr>
            <w:tr w14:paraId="60FD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9" w:type="pct"/>
                  <w:vMerge w:val="continue"/>
                  <w:vAlign w:val="center"/>
                </w:tcPr>
                <w:p w14:paraId="32B44E36">
                  <w:pPr>
                    <w:autoSpaceDE w:val="0"/>
                    <w:autoSpaceDN w:val="0"/>
                    <w:jc w:val="center"/>
                    <w:rPr>
                      <w:color w:val="auto"/>
                      <w:kern w:val="0"/>
                      <w:szCs w:val="21"/>
                      <w:highlight w:val="none"/>
                    </w:rPr>
                  </w:pPr>
                </w:p>
              </w:tc>
              <w:tc>
                <w:tcPr>
                  <w:tcW w:w="609" w:type="pct"/>
                  <w:vAlign w:val="center"/>
                </w:tcPr>
                <w:p w14:paraId="04FE543D">
                  <w:pPr>
                    <w:autoSpaceDE w:val="0"/>
                    <w:autoSpaceDN w:val="0"/>
                    <w:jc w:val="center"/>
                    <w:rPr>
                      <w:color w:val="auto"/>
                      <w:kern w:val="0"/>
                      <w:szCs w:val="21"/>
                      <w:highlight w:val="none"/>
                    </w:rPr>
                  </w:pPr>
                  <w:r>
                    <w:rPr>
                      <w:color w:val="auto"/>
                      <w:kern w:val="0"/>
                      <w:szCs w:val="21"/>
                      <w:highlight w:val="none"/>
                    </w:rPr>
                    <w:t>新鲜水</w:t>
                  </w:r>
                </w:p>
              </w:tc>
              <w:tc>
                <w:tcPr>
                  <w:tcW w:w="904" w:type="pct"/>
                  <w:vAlign w:val="center"/>
                </w:tcPr>
                <w:p w14:paraId="5EEA3492">
                  <w:pPr>
                    <w:autoSpaceDE w:val="0"/>
                    <w:autoSpaceDN w:val="0"/>
                    <w:jc w:val="center"/>
                    <w:rPr>
                      <w:color w:val="auto"/>
                      <w:kern w:val="0"/>
                      <w:szCs w:val="21"/>
                      <w:highlight w:val="none"/>
                    </w:rPr>
                  </w:pPr>
                  <w:r>
                    <w:rPr>
                      <w:color w:val="auto"/>
                      <w:kern w:val="0"/>
                      <w:szCs w:val="21"/>
                      <w:highlight w:val="none"/>
                    </w:rPr>
                    <w:t>1386.84</w:t>
                  </w:r>
                  <w:r>
                    <w:rPr>
                      <w:rFonts w:hint="eastAsia"/>
                      <w:color w:val="auto"/>
                      <w:kern w:val="0"/>
                      <w:szCs w:val="21"/>
                      <w:highlight w:val="none"/>
                      <w:vertAlign w:val="baseline"/>
                      <w:lang w:eastAsia="zh-CN"/>
                    </w:rPr>
                    <w:t>m</w:t>
                  </w:r>
                  <w:r>
                    <w:rPr>
                      <w:rFonts w:hint="eastAsia"/>
                      <w:color w:val="auto"/>
                      <w:kern w:val="0"/>
                      <w:szCs w:val="21"/>
                      <w:highlight w:val="none"/>
                      <w:vertAlign w:val="superscript"/>
                      <w:lang w:eastAsia="zh-CN"/>
                    </w:rPr>
                    <w:t>3</w:t>
                  </w:r>
                  <w:r>
                    <w:rPr>
                      <w:color w:val="auto"/>
                      <w:kern w:val="0"/>
                      <w:szCs w:val="21"/>
                      <w:highlight w:val="none"/>
                    </w:rPr>
                    <w:t>/a</w:t>
                  </w:r>
                </w:p>
              </w:tc>
              <w:tc>
                <w:tcPr>
                  <w:tcW w:w="1183" w:type="pct"/>
                  <w:vAlign w:val="center"/>
                </w:tcPr>
                <w:p w14:paraId="7CD70CB8">
                  <w:pPr>
                    <w:autoSpaceDE w:val="0"/>
                    <w:autoSpaceDN w:val="0"/>
                    <w:jc w:val="center"/>
                    <w:rPr>
                      <w:color w:val="auto"/>
                      <w:kern w:val="0"/>
                      <w:szCs w:val="21"/>
                      <w:highlight w:val="none"/>
                    </w:rPr>
                  </w:pPr>
                  <w:r>
                    <w:rPr>
                      <w:color w:val="auto"/>
                      <w:kern w:val="0"/>
                      <w:szCs w:val="21"/>
                      <w:highlight w:val="none"/>
                    </w:rPr>
                    <w:t>/</w:t>
                  </w:r>
                </w:p>
              </w:tc>
              <w:tc>
                <w:tcPr>
                  <w:tcW w:w="2758" w:type="dxa"/>
                  <w:vAlign w:val="center"/>
                </w:tcPr>
                <w:p w14:paraId="225B358F">
                  <w:pPr>
                    <w:autoSpaceDE w:val="0"/>
                    <w:autoSpaceDN w:val="0"/>
                    <w:jc w:val="center"/>
                    <w:rPr>
                      <w:color w:val="auto"/>
                      <w:kern w:val="0"/>
                      <w:szCs w:val="21"/>
                      <w:highlight w:val="none"/>
                    </w:rPr>
                  </w:pPr>
                  <w:r>
                    <w:rPr>
                      <w:color w:val="auto"/>
                      <w:kern w:val="0"/>
                      <w:szCs w:val="21"/>
                      <w:highlight w:val="none"/>
                    </w:rPr>
                    <w:t>井水</w:t>
                  </w:r>
                </w:p>
              </w:tc>
            </w:tr>
          </w:tbl>
          <w:p w14:paraId="408F1B81">
            <w:pPr>
              <w:adjustRightInd w:val="0"/>
              <w:snapToGrid w:val="0"/>
              <w:spacing w:line="360" w:lineRule="auto"/>
              <w:ind w:firstLine="480" w:firstLineChars="200"/>
              <w:jc w:val="left"/>
              <w:rPr>
                <w:bCs/>
                <w:color w:val="auto"/>
                <w:sz w:val="24"/>
                <w:highlight w:val="none"/>
              </w:rPr>
            </w:pPr>
            <w:r>
              <w:rPr>
                <w:bCs/>
                <w:color w:val="auto"/>
                <w:sz w:val="24"/>
                <w:highlight w:val="none"/>
              </w:rPr>
              <w:t>原辅材料</w:t>
            </w:r>
            <w:r>
              <w:rPr>
                <w:rFonts w:hint="eastAsia"/>
                <w:bCs/>
                <w:color w:val="auto"/>
                <w:sz w:val="24"/>
                <w:highlight w:val="none"/>
                <w:lang w:eastAsia="zh-CN"/>
              </w:rPr>
              <w:t>的</w:t>
            </w:r>
            <w:r>
              <w:rPr>
                <w:bCs/>
                <w:color w:val="auto"/>
                <w:sz w:val="24"/>
                <w:highlight w:val="none"/>
              </w:rPr>
              <w:t>理化性质如下：</w:t>
            </w:r>
          </w:p>
          <w:p w14:paraId="4C772038">
            <w:pPr>
              <w:adjustRightInd w:val="0"/>
              <w:snapToGrid w:val="0"/>
              <w:spacing w:line="360" w:lineRule="auto"/>
              <w:ind w:firstLine="480" w:firstLineChars="200"/>
              <w:jc w:val="left"/>
              <w:rPr>
                <w:bCs/>
                <w:color w:val="auto"/>
                <w:sz w:val="24"/>
                <w:highlight w:val="none"/>
              </w:rPr>
            </w:pPr>
            <w:r>
              <w:rPr>
                <w:bCs/>
                <w:color w:val="auto"/>
                <w:sz w:val="24"/>
                <w:highlight w:val="none"/>
              </w:rPr>
              <w:t>（1）活性炭</w:t>
            </w:r>
          </w:p>
          <w:p w14:paraId="5A5ADB67">
            <w:pPr>
              <w:adjustRightInd w:val="0"/>
              <w:snapToGrid w:val="0"/>
              <w:spacing w:line="360" w:lineRule="auto"/>
              <w:ind w:firstLine="480" w:firstLineChars="200"/>
              <w:jc w:val="left"/>
              <w:rPr>
                <w:bCs/>
                <w:color w:val="auto"/>
                <w:sz w:val="24"/>
                <w:highlight w:val="none"/>
              </w:rPr>
            </w:pPr>
            <w:r>
              <w:rPr>
                <w:bCs/>
                <w:color w:val="auto"/>
                <w:sz w:val="24"/>
                <w:highlight w:val="none"/>
              </w:rPr>
              <w:t>活性炭又称活性炭黑。是黑色粉末状或颗粒状的无定形碳。活性炭主成分除了碳以外还有氧、氢等元素。活性炭在结构上由于微晶碳是不规则排列，在交叉连接之间有细孔，在活化时会产生碳组织缺陷，因此它是一种多孔碳，堆积密度低，比表面积大。活性炭具有一种强烈的</w:t>
            </w:r>
            <w:r>
              <w:rPr>
                <w:rFonts w:hint="eastAsia"/>
                <w:bCs/>
                <w:color w:val="auto"/>
                <w:sz w:val="24"/>
                <w:highlight w:val="none"/>
                <w:lang w:eastAsia="zh-CN"/>
              </w:rPr>
              <w:t>“</w:t>
            </w:r>
            <w:r>
              <w:rPr>
                <w:bCs/>
                <w:color w:val="auto"/>
                <w:sz w:val="24"/>
                <w:highlight w:val="none"/>
              </w:rPr>
              <w:t>物理吸附</w:t>
            </w:r>
            <w:r>
              <w:rPr>
                <w:rFonts w:hint="eastAsia"/>
                <w:bCs/>
                <w:color w:val="auto"/>
                <w:sz w:val="24"/>
                <w:highlight w:val="none"/>
                <w:lang w:eastAsia="zh-CN"/>
              </w:rPr>
              <w:t>”</w:t>
            </w:r>
            <w:r>
              <w:rPr>
                <w:bCs/>
                <w:color w:val="auto"/>
                <w:sz w:val="24"/>
                <w:highlight w:val="none"/>
              </w:rPr>
              <w:t>和</w:t>
            </w:r>
            <w:r>
              <w:rPr>
                <w:rFonts w:hint="eastAsia"/>
                <w:bCs/>
                <w:color w:val="auto"/>
                <w:sz w:val="24"/>
                <w:highlight w:val="none"/>
                <w:lang w:eastAsia="zh-CN"/>
              </w:rPr>
              <w:t>“</w:t>
            </w:r>
            <w:r>
              <w:rPr>
                <w:bCs/>
                <w:color w:val="auto"/>
                <w:sz w:val="24"/>
                <w:highlight w:val="none"/>
              </w:rPr>
              <w:t>化学吸附</w:t>
            </w:r>
            <w:r>
              <w:rPr>
                <w:rFonts w:hint="eastAsia"/>
                <w:bCs/>
                <w:color w:val="auto"/>
                <w:sz w:val="24"/>
                <w:highlight w:val="none"/>
                <w:lang w:eastAsia="zh-CN"/>
              </w:rPr>
              <w:t>”</w:t>
            </w:r>
            <w:r>
              <w:rPr>
                <w:bCs/>
                <w:color w:val="auto"/>
                <w:sz w:val="24"/>
                <w:highlight w:val="none"/>
              </w:rPr>
              <w:t>的作用，可将某些有机化合物吸附而达到去除效果。</w:t>
            </w:r>
          </w:p>
          <w:p w14:paraId="5AE0B977">
            <w:pPr>
              <w:adjustRightInd w:val="0"/>
              <w:snapToGrid w:val="0"/>
              <w:spacing w:line="360" w:lineRule="auto"/>
              <w:ind w:firstLine="480" w:firstLineChars="200"/>
              <w:jc w:val="left"/>
              <w:rPr>
                <w:bCs/>
                <w:color w:val="auto"/>
                <w:sz w:val="24"/>
                <w:highlight w:val="none"/>
              </w:rPr>
            </w:pPr>
            <w:r>
              <w:rPr>
                <w:bCs/>
                <w:color w:val="auto"/>
                <w:sz w:val="24"/>
                <w:highlight w:val="none"/>
              </w:rPr>
              <w:t>（2）消石灰</w:t>
            </w:r>
          </w:p>
          <w:p w14:paraId="53788CC9">
            <w:pPr>
              <w:adjustRightInd w:val="0"/>
              <w:snapToGrid w:val="0"/>
              <w:spacing w:line="360" w:lineRule="auto"/>
              <w:ind w:firstLine="480" w:firstLineChars="200"/>
              <w:jc w:val="left"/>
              <w:rPr>
                <w:bCs/>
                <w:color w:val="auto"/>
                <w:sz w:val="24"/>
                <w:highlight w:val="none"/>
              </w:rPr>
            </w:pPr>
            <w:r>
              <w:rPr>
                <w:bCs/>
                <w:color w:val="auto"/>
                <w:sz w:val="24"/>
                <w:highlight w:val="none"/>
              </w:rPr>
              <w:t>生石灰</w:t>
            </w:r>
            <w:r>
              <w:rPr>
                <w:rFonts w:hint="eastAsia"/>
                <w:bCs/>
                <w:color w:val="auto"/>
                <w:sz w:val="24"/>
                <w:highlight w:val="none"/>
                <w:lang w:eastAsia="zh-CN"/>
              </w:rPr>
              <w:t>（</w:t>
            </w:r>
            <w:r>
              <w:rPr>
                <w:bCs/>
                <w:color w:val="auto"/>
                <w:sz w:val="24"/>
                <w:highlight w:val="none"/>
              </w:rPr>
              <w:t>CaO</w:t>
            </w:r>
            <w:r>
              <w:rPr>
                <w:rFonts w:hint="eastAsia"/>
                <w:bCs/>
                <w:color w:val="auto"/>
                <w:sz w:val="24"/>
                <w:highlight w:val="none"/>
                <w:lang w:eastAsia="zh-CN"/>
              </w:rPr>
              <w:t>）</w:t>
            </w:r>
            <w:r>
              <w:rPr>
                <w:bCs/>
                <w:color w:val="auto"/>
                <w:sz w:val="24"/>
                <w:highlight w:val="none"/>
              </w:rPr>
              <w:t>与水反应生成氢氧化钙的过程，称为石灰的熟化或消化，与水反应</w:t>
            </w:r>
            <w:r>
              <w:rPr>
                <w:rFonts w:hint="eastAsia"/>
                <w:bCs/>
                <w:color w:val="auto"/>
                <w:sz w:val="24"/>
                <w:highlight w:val="none"/>
                <w:lang w:eastAsia="zh-CN"/>
              </w:rPr>
              <w:t>（</w:t>
            </w:r>
            <w:r>
              <w:rPr>
                <w:bCs/>
                <w:color w:val="auto"/>
                <w:sz w:val="24"/>
                <w:highlight w:val="none"/>
              </w:rPr>
              <w:t>同时放出大量的热</w:t>
            </w:r>
            <w:r>
              <w:rPr>
                <w:rFonts w:hint="eastAsia"/>
                <w:bCs/>
                <w:color w:val="auto"/>
                <w:sz w:val="24"/>
                <w:highlight w:val="none"/>
                <w:lang w:eastAsia="zh-CN"/>
              </w:rPr>
              <w:t>）</w:t>
            </w:r>
            <w:r>
              <w:rPr>
                <w:bCs/>
                <w:color w:val="auto"/>
                <w:sz w:val="24"/>
                <w:highlight w:val="none"/>
              </w:rPr>
              <w:t>，或吸收潮湿空气中的水分，即成消石灰[氢氧化钙Ca(OH)</w:t>
            </w:r>
            <w:r>
              <w:rPr>
                <w:bCs/>
                <w:color w:val="auto"/>
                <w:sz w:val="24"/>
                <w:highlight w:val="none"/>
                <w:vertAlign w:val="subscript"/>
              </w:rPr>
              <w:t>2</w:t>
            </w:r>
            <w:r>
              <w:rPr>
                <w:bCs/>
                <w:color w:val="auto"/>
                <w:sz w:val="24"/>
                <w:highlight w:val="none"/>
              </w:rPr>
              <w:t>]又称</w:t>
            </w:r>
            <w:r>
              <w:rPr>
                <w:rFonts w:hint="eastAsia"/>
                <w:bCs/>
                <w:color w:val="auto"/>
                <w:sz w:val="24"/>
                <w:highlight w:val="none"/>
                <w:lang w:eastAsia="zh-CN"/>
              </w:rPr>
              <w:t>“</w:t>
            </w:r>
            <w:r>
              <w:rPr>
                <w:bCs/>
                <w:color w:val="auto"/>
                <w:sz w:val="24"/>
                <w:highlight w:val="none"/>
              </w:rPr>
              <w:t>消石灰</w:t>
            </w:r>
            <w:r>
              <w:rPr>
                <w:rFonts w:hint="eastAsia"/>
                <w:bCs/>
                <w:color w:val="auto"/>
                <w:sz w:val="24"/>
                <w:highlight w:val="none"/>
                <w:lang w:eastAsia="zh-CN"/>
              </w:rPr>
              <w:t>”</w:t>
            </w:r>
            <w:r>
              <w:rPr>
                <w:bCs/>
                <w:color w:val="auto"/>
                <w:sz w:val="24"/>
                <w:highlight w:val="none"/>
              </w:rPr>
              <w:t>。消石灰在一升水中溶解1.56克</w:t>
            </w:r>
            <w:r>
              <w:rPr>
                <w:rFonts w:hint="eastAsia"/>
                <w:bCs/>
                <w:color w:val="auto"/>
                <w:sz w:val="24"/>
                <w:highlight w:val="none"/>
                <w:lang w:eastAsia="zh-CN"/>
              </w:rPr>
              <w:t>（</w:t>
            </w:r>
            <w:r>
              <w:rPr>
                <w:bCs/>
                <w:color w:val="auto"/>
                <w:sz w:val="24"/>
                <w:highlight w:val="none"/>
              </w:rPr>
              <w:t>20</w:t>
            </w:r>
            <w:r>
              <w:rPr>
                <w:rFonts w:hint="eastAsia"/>
                <w:bCs/>
                <w:color w:val="auto"/>
                <w:sz w:val="24"/>
                <w:highlight w:val="none"/>
              </w:rPr>
              <w:t>℃</w:t>
            </w:r>
            <w:r>
              <w:rPr>
                <w:rFonts w:hint="eastAsia"/>
                <w:bCs/>
                <w:color w:val="auto"/>
                <w:sz w:val="24"/>
                <w:highlight w:val="none"/>
                <w:lang w:eastAsia="zh-CN"/>
              </w:rPr>
              <w:t>）</w:t>
            </w:r>
            <w:r>
              <w:rPr>
                <w:bCs/>
                <w:color w:val="auto"/>
                <w:sz w:val="24"/>
                <w:highlight w:val="none"/>
              </w:rPr>
              <w:t>，它的饱和溶液称为</w:t>
            </w:r>
            <w:r>
              <w:rPr>
                <w:rFonts w:hint="eastAsia"/>
                <w:bCs/>
                <w:color w:val="auto"/>
                <w:sz w:val="24"/>
                <w:highlight w:val="none"/>
                <w:lang w:eastAsia="zh-CN"/>
              </w:rPr>
              <w:t>“</w:t>
            </w:r>
            <w:r>
              <w:rPr>
                <w:bCs/>
                <w:color w:val="auto"/>
                <w:sz w:val="24"/>
                <w:highlight w:val="none"/>
              </w:rPr>
              <w:t>石灰水</w:t>
            </w:r>
            <w:r>
              <w:rPr>
                <w:rFonts w:hint="eastAsia"/>
                <w:bCs/>
                <w:color w:val="auto"/>
                <w:sz w:val="24"/>
                <w:highlight w:val="none"/>
                <w:lang w:eastAsia="zh-CN"/>
              </w:rPr>
              <w:t>”</w:t>
            </w:r>
            <w:r>
              <w:rPr>
                <w:bCs/>
                <w:color w:val="auto"/>
                <w:sz w:val="24"/>
                <w:highlight w:val="none"/>
              </w:rPr>
              <w:t>，呈碱性在空气中吸收二氧化碳而成碳酸钙沉淀。反应生成的产物氢氧化钙称为熟石灰或消石灰。</w:t>
            </w:r>
          </w:p>
          <w:p w14:paraId="154F5DFD">
            <w:pPr>
              <w:adjustRightInd w:val="0"/>
              <w:snapToGrid w:val="0"/>
              <w:spacing w:line="360" w:lineRule="auto"/>
              <w:ind w:firstLine="480" w:firstLineChars="200"/>
              <w:jc w:val="left"/>
              <w:rPr>
                <w:bCs/>
                <w:color w:val="auto"/>
                <w:sz w:val="24"/>
                <w:highlight w:val="none"/>
              </w:rPr>
            </w:pPr>
            <w:r>
              <w:rPr>
                <w:rFonts w:hint="eastAsia"/>
                <w:bCs/>
                <w:color w:val="auto"/>
                <w:sz w:val="24"/>
                <w:highlight w:val="none"/>
              </w:rPr>
              <w:t>（3）</w:t>
            </w:r>
            <w:r>
              <w:rPr>
                <w:bCs/>
                <w:color w:val="auto"/>
                <w:sz w:val="24"/>
                <w:highlight w:val="none"/>
              </w:rPr>
              <w:t>柴油</w:t>
            </w:r>
          </w:p>
          <w:p w14:paraId="411E02A7">
            <w:pPr>
              <w:adjustRightInd w:val="0"/>
              <w:snapToGrid w:val="0"/>
              <w:spacing w:line="360" w:lineRule="auto"/>
              <w:ind w:firstLine="480" w:firstLineChars="200"/>
              <w:jc w:val="left"/>
              <w:rPr>
                <w:bCs/>
                <w:color w:val="auto"/>
                <w:sz w:val="24"/>
                <w:highlight w:val="none"/>
              </w:rPr>
            </w:pPr>
            <w:r>
              <w:rPr>
                <w:bCs/>
                <w:color w:val="auto"/>
                <w:sz w:val="24"/>
                <w:highlight w:val="none"/>
              </w:rPr>
              <w:t>稍有</w:t>
            </w:r>
            <w:r>
              <w:rPr>
                <w:rFonts w:hint="eastAsia"/>
                <w:bCs/>
                <w:color w:val="auto"/>
                <w:sz w:val="24"/>
                <w:highlight w:val="none"/>
                <w:lang w:eastAsia="zh-CN"/>
              </w:rPr>
              <w:t>黏</w:t>
            </w:r>
            <w:r>
              <w:rPr>
                <w:bCs/>
                <w:color w:val="auto"/>
                <w:sz w:val="24"/>
                <w:highlight w:val="none"/>
              </w:rPr>
              <w:t>性的浅黄至棕黄色液体，是由烷烃、芳烃、烯烃组成的混合物。熔点：-35~20℃、沸点：280~370℃（约）、相对密度（水=1）：0.84g/</w:t>
            </w:r>
            <w:r>
              <w:rPr>
                <w:rFonts w:hint="eastAsia"/>
                <w:bCs/>
                <w:color w:val="auto"/>
                <w:sz w:val="24"/>
                <w:highlight w:val="none"/>
                <w:lang w:eastAsia="zh-CN"/>
              </w:rPr>
              <w:t>m</w:t>
            </w:r>
            <w:r>
              <w:rPr>
                <w:bCs/>
                <w:color w:val="auto"/>
                <w:sz w:val="24"/>
                <w:highlight w:val="none"/>
              </w:rPr>
              <w:t>l。易燃闪点：-35#和-50#轻柴油&gt;45℃、-20#轻柴油&gt;60℃、其他&gt;65℃，自燃温度：257℃。遇明火、高热与氧化剂接触，有引起燃烧爆炸的危险。若</w:t>
            </w:r>
            <w:r>
              <w:rPr>
                <w:rFonts w:hint="eastAsia"/>
                <w:bCs/>
                <w:color w:val="auto"/>
                <w:sz w:val="24"/>
                <w:highlight w:val="none"/>
                <w:lang w:eastAsia="zh-CN"/>
              </w:rPr>
              <w:t>遇</w:t>
            </w:r>
            <w:r>
              <w:rPr>
                <w:bCs/>
                <w:color w:val="auto"/>
                <w:sz w:val="24"/>
                <w:highlight w:val="none"/>
              </w:rPr>
              <w:t>高热容器内压增大，有开裂和爆炸的危险。稳定性：稳定。聚合危险：不会出现。禁忌物：强氧化剂。</w:t>
            </w:r>
          </w:p>
          <w:p w14:paraId="7E5D251F">
            <w:pPr>
              <w:adjustRightInd w:val="0"/>
              <w:snapToGrid w:val="0"/>
              <w:spacing w:line="360" w:lineRule="auto"/>
              <w:jc w:val="left"/>
              <w:rPr>
                <w:b/>
                <w:bCs/>
                <w:color w:val="auto"/>
                <w:sz w:val="24"/>
                <w:highlight w:val="none"/>
              </w:rPr>
            </w:pPr>
            <w:r>
              <w:rPr>
                <w:rFonts w:hint="eastAsia"/>
                <w:b/>
                <w:bCs/>
                <w:color w:val="auto"/>
                <w:sz w:val="24"/>
                <w:highlight w:val="none"/>
                <w:lang w:val="en-US" w:eastAsia="zh-CN"/>
              </w:rPr>
              <w:t>6</w:t>
            </w:r>
            <w:r>
              <w:rPr>
                <w:b/>
                <w:bCs/>
                <w:color w:val="auto"/>
                <w:sz w:val="24"/>
                <w:highlight w:val="none"/>
              </w:rPr>
              <w:t>.劳动定员及生产制度</w:t>
            </w:r>
          </w:p>
          <w:p w14:paraId="53FA3466">
            <w:pPr>
              <w:adjustRightInd w:val="0"/>
              <w:snapToGrid w:val="0"/>
              <w:spacing w:line="360" w:lineRule="auto"/>
              <w:ind w:firstLine="480" w:firstLineChars="200"/>
              <w:jc w:val="left"/>
              <w:rPr>
                <w:bCs/>
                <w:color w:val="auto"/>
                <w:sz w:val="24"/>
                <w:highlight w:val="none"/>
              </w:rPr>
            </w:pPr>
            <w:r>
              <w:rPr>
                <w:bCs/>
                <w:color w:val="auto"/>
                <w:sz w:val="24"/>
                <w:highlight w:val="none"/>
              </w:rPr>
              <w:t>本项目运营期共有24名工作人员，年工作天数为365天，每天工作8小时。</w:t>
            </w:r>
          </w:p>
          <w:p w14:paraId="78CEB42B">
            <w:pPr>
              <w:adjustRightInd w:val="0"/>
              <w:snapToGrid w:val="0"/>
              <w:spacing w:line="360" w:lineRule="auto"/>
              <w:jc w:val="left"/>
              <w:rPr>
                <w:b/>
                <w:bCs/>
                <w:color w:val="auto"/>
                <w:sz w:val="24"/>
                <w:highlight w:val="none"/>
              </w:rPr>
            </w:pPr>
            <w:r>
              <w:rPr>
                <w:rFonts w:hint="eastAsia"/>
                <w:b/>
                <w:bCs/>
                <w:color w:val="auto"/>
                <w:sz w:val="24"/>
                <w:highlight w:val="none"/>
                <w:lang w:val="en-US" w:eastAsia="zh-CN"/>
              </w:rPr>
              <w:t>7</w:t>
            </w:r>
            <w:r>
              <w:rPr>
                <w:b/>
                <w:bCs/>
                <w:color w:val="auto"/>
                <w:sz w:val="24"/>
                <w:highlight w:val="none"/>
              </w:rPr>
              <w:t>.公用工程</w:t>
            </w:r>
          </w:p>
          <w:p w14:paraId="0C82E5E6">
            <w:pPr>
              <w:adjustRightInd w:val="0"/>
              <w:snapToGrid w:val="0"/>
              <w:spacing w:line="360" w:lineRule="auto"/>
              <w:ind w:firstLine="480" w:firstLineChars="200"/>
              <w:rPr>
                <w:bCs/>
                <w:color w:val="auto"/>
                <w:sz w:val="24"/>
                <w:highlight w:val="none"/>
              </w:rPr>
            </w:pPr>
            <w:r>
              <w:rPr>
                <w:bCs/>
                <w:color w:val="auto"/>
                <w:sz w:val="24"/>
                <w:highlight w:val="none"/>
              </w:rPr>
              <w:t>（1）供水</w:t>
            </w:r>
          </w:p>
          <w:p w14:paraId="09E5439D">
            <w:pPr>
              <w:adjustRightInd w:val="0"/>
              <w:snapToGrid w:val="0"/>
              <w:spacing w:line="360" w:lineRule="auto"/>
              <w:ind w:firstLine="480" w:firstLineChars="200"/>
              <w:rPr>
                <w:bCs/>
                <w:color w:val="auto"/>
                <w:sz w:val="24"/>
                <w:highlight w:val="none"/>
              </w:rPr>
            </w:pPr>
            <w:r>
              <w:rPr>
                <w:bCs/>
                <w:color w:val="auto"/>
                <w:sz w:val="24"/>
                <w:highlight w:val="none"/>
              </w:rPr>
              <w:t>项目用水由企业征地内现有水井提供，能保证项目正常用水需求。</w:t>
            </w:r>
          </w:p>
          <w:p w14:paraId="1BDD3DB2">
            <w:pPr>
              <w:adjustRightInd w:val="0"/>
              <w:snapToGrid w:val="0"/>
              <w:spacing w:line="360" w:lineRule="auto"/>
              <w:ind w:firstLine="480" w:firstLineChars="200"/>
              <w:rPr>
                <w:bCs/>
                <w:color w:val="auto"/>
                <w:sz w:val="24"/>
                <w:highlight w:val="none"/>
              </w:rPr>
            </w:pPr>
            <w:r>
              <w:rPr>
                <w:bCs/>
                <w:color w:val="auto"/>
                <w:sz w:val="24"/>
                <w:highlight w:val="none"/>
              </w:rPr>
              <w:t>①员工生活用水</w:t>
            </w:r>
          </w:p>
          <w:p w14:paraId="7C84346C">
            <w:pPr>
              <w:adjustRightInd w:val="0"/>
              <w:snapToGrid w:val="0"/>
              <w:spacing w:line="360" w:lineRule="auto"/>
              <w:ind w:firstLine="480" w:firstLineChars="200"/>
              <w:rPr>
                <w:bCs/>
                <w:color w:val="auto"/>
                <w:sz w:val="24"/>
                <w:highlight w:val="none"/>
              </w:rPr>
            </w:pPr>
            <w:r>
              <w:rPr>
                <w:bCs/>
                <w:color w:val="auto"/>
                <w:sz w:val="24"/>
                <w:highlight w:val="none"/>
              </w:rPr>
              <w:t>本项目劳动定员24人，根据《内蒙古行业用水定额》（DB15/T 385-2020），生活用水量按60L/d•人计，工作天数为365天，则生活用水量为1.44</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/d，525.6</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/a。</w:t>
            </w:r>
          </w:p>
          <w:p w14:paraId="07C28904">
            <w:pPr>
              <w:adjustRightInd w:val="0"/>
              <w:snapToGrid w:val="0"/>
              <w:spacing w:line="360" w:lineRule="auto"/>
              <w:ind w:firstLine="480" w:firstLineChars="200"/>
              <w:rPr>
                <w:bCs/>
                <w:color w:val="auto"/>
                <w:sz w:val="24"/>
                <w:highlight w:val="none"/>
              </w:rPr>
            </w:pPr>
            <w:r>
              <w:rPr>
                <w:bCs/>
                <w:color w:val="auto"/>
                <w:sz w:val="24"/>
                <w:highlight w:val="none"/>
              </w:rPr>
              <w:t>②外来人员用水</w:t>
            </w:r>
          </w:p>
          <w:p w14:paraId="27FE1A69">
            <w:pPr>
              <w:adjustRightInd w:val="0"/>
              <w:snapToGrid w:val="0"/>
              <w:spacing w:line="360" w:lineRule="auto"/>
              <w:ind w:firstLine="480" w:firstLineChars="200"/>
              <w:rPr>
                <w:bCs/>
                <w:color w:val="auto"/>
                <w:sz w:val="24"/>
                <w:highlight w:val="none"/>
              </w:rPr>
            </w:pPr>
            <w:r>
              <w:rPr>
                <w:bCs/>
                <w:color w:val="auto"/>
                <w:sz w:val="24"/>
                <w:highlight w:val="none"/>
              </w:rPr>
              <w:t>本项目告别厅外来人员按60人/d计，悼念天数为365天，用水量按10L/d•人计，则生活用水量为0.6</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/d，219</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/a。</w:t>
            </w:r>
          </w:p>
          <w:p w14:paraId="24141477">
            <w:pPr>
              <w:adjustRightInd w:val="0"/>
              <w:snapToGrid w:val="0"/>
              <w:spacing w:line="360" w:lineRule="auto"/>
              <w:ind w:firstLine="480" w:firstLineChars="200"/>
              <w:rPr>
                <w:bCs/>
                <w:color w:val="auto"/>
                <w:sz w:val="24"/>
                <w:highlight w:val="none"/>
              </w:rPr>
            </w:pPr>
            <w:r>
              <w:rPr>
                <w:bCs/>
                <w:color w:val="auto"/>
                <w:sz w:val="24"/>
                <w:highlight w:val="none"/>
              </w:rPr>
              <w:t>③餐厅用水</w:t>
            </w:r>
          </w:p>
          <w:p w14:paraId="3B9BC692">
            <w:pPr>
              <w:adjustRightInd w:val="0"/>
              <w:snapToGrid w:val="0"/>
              <w:spacing w:line="360" w:lineRule="auto"/>
              <w:ind w:firstLine="480" w:firstLineChars="200"/>
              <w:rPr>
                <w:bCs/>
                <w:color w:val="auto"/>
                <w:sz w:val="24"/>
                <w:highlight w:val="none"/>
              </w:rPr>
            </w:pPr>
            <w:r>
              <w:rPr>
                <w:bCs/>
                <w:color w:val="auto"/>
                <w:sz w:val="24"/>
                <w:highlight w:val="none"/>
              </w:rPr>
              <w:t>本项目设置员工餐厅，根据《内蒙古行业用水定额》（DB15/T 385-2020），餐饮用水为23L/（人•餐），员工餐厅设3餐，工作天数为365天，则餐厅用水量为1.656</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/d，604.44</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/a。</w:t>
            </w:r>
          </w:p>
          <w:p w14:paraId="5B8A7D34">
            <w:pPr>
              <w:adjustRightInd w:val="0"/>
              <w:snapToGrid w:val="0"/>
              <w:spacing w:line="360" w:lineRule="auto"/>
              <w:ind w:firstLine="480" w:firstLineChars="200"/>
              <w:rPr>
                <w:bCs/>
                <w:color w:val="auto"/>
                <w:sz w:val="24"/>
                <w:highlight w:val="none"/>
              </w:rPr>
            </w:pPr>
            <w:r>
              <w:rPr>
                <w:bCs/>
                <w:color w:val="auto"/>
                <w:sz w:val="24"/>
                <w:highlight w:val="none"/>
              </w:rPr>
              <w:t>④遗体处置用水</w:t>
            </w:r>
          </w:p>
          <w:p w14:paraId="72B0F8D2">
            <w:pPr>
              <w:adjustRightInd w:val="0"/>
              <w:snapToGrid w:val="0"/>
              <w:spacing w:line="360" w:lineRule="auto"/>
              <w:ind w:firstLine="480" w:firstLineChars="200"/>
              <w:rPr>
                <w:bCs/>
                <w:color w:val="auto"/>
                <w:sz w:val="24"/>
                <w:highlight w:val="none"/>
              </w:rPr>
            </w:pPr>
            <w:r>
              <w:rPr>
                <w:bCs/>
                <w:color w:val="auto"/>
                <w:sz w:val="24"/>
                <w:highlight w:val="none"/>
              </w:rPr>
              <w:t>遗体处置用水量包含清洗、化妆以及处置台清洗消毒，一般情况不进行遗体的清洗，仅车祸致死等特殊情况需要清洗，参考其他殡仪馆数据，清洗量约为年遗体处理量的5%，即清洗量为13具/年，用水量约为1</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/具，即13</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/a，约合0.036</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/d。</w:t>
            </w:r>
          </w:p>
          <w:p w14:paraId="39ABEEE3">
            <w:pPr>
              <w:adjustRightInd w:val="0"/>
              <w:snapToGrid w:val="0"/>
              <w:spacing w:line="360" w:lineRule="auto"/>
              <w:ind w:firstLine="480" w:firstLineChars="200"/>
              <w:rPr>
                <w:bCs/>
                <w:color w:val="auto"/>
                <w:sz w:val="24"/>
                <w:highlight w:val="none"/>
              </w:rPr>
            </w:pPr>
            <w:r>
              <w:rPr>
                <w:bCs/>
                <w:color w:val="auto"/>
                <w:sz w:val="24"/>
                <w:highlight w:val="none"/>
              </w:rPr>
              <w:t>⑤解剖室用水</w:t>
            </w:r>
          </w:p>
          <w:p w14:paraId="7100C878">
            <w:pPr>
              <w:adjustRightInd w:val="0"/>
              <w:snapToGrid w:val="0"/>
              <w:spacing w:line="360" w:lineRule="auto"/>
              <w:ind w:firstLine="480" w:firstLineChars="200"/>
              <w:rPr>
                <w:bCs/>
                <w:color w:val="auto"/>
                <w:sz w:val="24"/>
                <w:highlight w:val="none"/>
              </w:rPr>
            </w:pPr>
            <w:r>
              <w:rPr>
                <w:bCs/>
                <w:color w:val="auto"/>
                <w:sz w:val="24"/>
                <w:highlight w:val="none"/>
              </w:rPr>
              <w:t>解剖室使用频率约为10次/年，主要为解剖台和遗体清洗、消毒等用水，参考其他殡仪馆数据，解剖用水按400L/次计，则解剖室用水量为4</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/a，约合0.011</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/d。</w:t>
            </w:r>
          </w:p>
          <w:p w14:paraId="1FE82637">
            <w:pPr>
              <w:adjustRightInd w:val="0"/>
              <w:snapToGrid w:val="0"/>
              <w:spacing w:line="360" w:lineRule="auto"/>
              <w:ind w:firstLine="480" w:firstLineChars="200"/>
              <w:rPr>
                <w:bCs/>
                <w:color w:val="auto"/>
                <w:sz w:val="24"/>
                <w:highlight w:val="none"/>
              </w:rPr>
            </w:pPr>
            <w:r>
              <w:rPr>
                <w:bCs/>
                <w:color w:val="auto"/>
                <w:sz w:val="24"/>
                <w:highlight w:val="none"/>
              </w:rPr>
              <w:t>⑥殡仪车辆清洗消毒用水</w:t>
            </w:r>
          </w:p>
          <w:p w14:paraId="40C86FAF">
            <w:pPr>
              <w:adjustRightInd w:val="0"/>
              <w:snapToGrid w:val="0"/>
              <w:spacing w:line="360" w:lineRule="auto"/>
              <w:ind w:firstLine="480" w:firstLineChars="200"/>
              <w:rPr>
                <w:bCs/>
                <w:color w:val="auto"/>
                <w:sz w:val="24"/>
                <w:highlight w:val="none"/>
              </w:rPr>
            </w:pPr>
            <w:r>
              <w:rPr>
                <w:bCs/>
                <w:color w:val="auto"/>
                <w:sz w:val="24"/>
                <w:highlight w:val="none"/>
              </w:rPr>
              <w:t>殡仪车辆清洗消毒用水量按80L/辆·次计，清洗次数按260次计，则用水量为20.8</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/a，0.057</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/d。</w:t>
            </w:r>
          </w:p>
          <w:p w14:paraId="71C79D87">
            <w:pPr>
              <w:adjustRightInd w:val="0"/>
              <w:snapToGrid w:val="0"/>
              <w:spacing w:line="360" w:lineRule="auto"/>
              <w:ind w:firstLine="480" w:firstLineChars="200"/>
              <w:rPr>
                <w:bCs/>
                <w:color w:val="auto"/>
                <w:sz w:val="24"/>
                <w:highlight w:val="none"/>
              </w:rPr>
            </w:pPr>
            <w:r>
              <w:rPr>
                <w:bCs/>
                <w:color w:val="auto"/>
                <w:sz w:val="24"/>
                <w:highlight w:val="none"/>
              </w:rPr>
              <w:t>综上，本项目用水量为1386.84</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/a，3.80</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/d。</w:t>
            </w:r>
          </w:p>
          <w:p w14:paraId="15A7E4B1">
            <w:pPr>
              <w:adjustRightInd w:val="0"/>
              <w:snapToGrid w:val="0"/>
              <w:spacing w:line="360" w:lineRule="auto"/>
              <w:ind w:firstLine="480" w:firstLineChars="200"/>
              <w:rPr>
                <w:bCs/>
                <w:color w:val="auto"/>
                <w:sz w:val="24"/>
                <w:highlight w:val="none"/>
              </w:rPr>
            </w:pPr>
            <w:r>
              <w:rPr>
                <w:bCs/>
                <w:color w:val="auto"/>
                <w:sz w:val="24"/>
                <w:highlight w:val="none"/>
              </w:rPr>
              <w:t>（2）排水工程</w:t>
            </w:r>
          </w:p>
          <w:p w14:paraId="6EF1DD12">
            <w:pPr>
              <w:adjustRightInd w:val="0"/>
              <w:snapToGrid w:val="0"/>
              <w:spacing w:line="360" w:lineRule="auto"/>
              <w:ind w:firstLine="480" w:firstLineChars="200"/>
              <w:rPr>
                <w:bCs/>
                <w:color w:val="auto"/>
                <w:sz w:val="24"/>
                <w:highlight w:val="none"/>
              </w:rPr>
            </w:pPr>
            <w:r>
              <w:rPr>
                <w:bCs/>
                <w:color w:val="auto"/>
                <w:sz w:val="24"/>
                <w:highlight w:val="none"/>
              </w:rPr>
              <w:t>①生活污水</w:t>
            </w:r>
          </w:p>
          <w:p w14:paraId="6A9746BE">
            <w:pPr>
              <w:adjustRightInd w:val="0"/>
              <w:snapToGrid w:val="0"/>
              <w:spacing w:line="360" w:lineRule="auto"/>
              <w:ind w:firstLine="480" w:firstLineChars="200"/>
              <w:rPr>
                <w:bCs/>
                <w:color w:val="auto"/>
                <w:sz w:val="24"/>
                <w:highlight w:val="none"/>
              </w:rPr>
            </w:pPr>
            <w:r>
              <w:rPr>
                <w:bCs/>
                <w:color w:val="auto"/>
                <w:sz w:val="24"/>
                <w:highlight w:val="none"/>
              </w:rPr>
              <w:t>本项目生活污水产生量按用水量的80%计，则员工生活污水产生量为1.152</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/d，420.48</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/a；外来人员生活污水产生量为0.48</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/d，175.2</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/a；集中收集至化粪池，定期拉运至杭锦旗锡尼镇污水处理厂处理。</w:t>
            </w:r>
          </w:p>
          <w:p w14:paraId="10E3E20C">
            <w:pPr>
              <w:adjustRightInd w:val="0"/>
              <w:snapToGrid w:val="0"/>
              <w:spacing w:line="360" w:lineRule="auto"/>
              <w:ind w:firstLine="480" w:firstLineChars="200"/>
              <w:rPr>
                <w:bCs/>
                <w:color w:val="auto"/>
                <w:sz w:val="24"/>
                <w:highlight w:val="none"/>
              </w:rPr>
            </w:pPr>
            <w:r>
              <w:rPr>
                <w:bCs/>
                <w:color w:val="auto"/>
                <w:sz w:val="24"/>
                <w:highlight w:val="none"/>
              </w:rPr>
              <w:t>②餐饮废水</w:t>
            </w:r>
          </w:p>
          <w:p w14:paraId="57A37B41">
            <w:pPr>
              <w:adjustRightInd w:val="0"/>
              <w:snapToGrid w:val="0"/>
              <w:spacing w:line="360" w:lineRule="auto"/>
              <w:ind w:firstLine="480" w:firstLineChars="200"/>
              <w:rPr>
                <w:bCs/>
                <w:color w:val="auto"/>
                <w:sz w:val="24"/>
                <w:highlight w:val="none"/>
              </w:rPr>
            </w:pPr>
            <w:r>
              <w:rPr>
                <w:bCs/>
                <w:color w:val="auto"/>
                <w:sz w:val="24"/>
                <w:highlight w:val="none"/>
              </w:rPr>
              <w:t>本项目餐饮废水产生量按用水量的90％计，则餐饮废水产生量为1.49</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/d，544.0</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/a，餐饮废水经隔油池处理后排入化粪池。</w:t>
            </w:r>
          </w:p>
          <w:p w14:paraId="2E810136">
            <w:pPr>
              <w:adjustRightInd w:val="0"/>
              <w:snapToGrid w:val="0"/>
              <w:spacing w:line="360" w:lineRule="auto"/>
              <w:ind w:firstLine="480" w:firstLineChars="200"/>
              <w:rPr>
                <w:bCs/>
                <w:color w:val="auto"/>
                <w:sz w:val="24"/>
                <w:highlight w:val="none"/>
              </w:rPr>
            </w:pPr>
            <w:r>
              <w:rPr>
                <w:bCs/>
                <w:color w:val="auto"/>
                <w:sz w:val="24"/>
                <w:highlight w:val="none"/>
              </w:rPr>
              <w:t>③本项目遗体处置废水产生量按用水量的90％计，则清洗废水产生量为0.032</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/d，11.7</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/a，集中收集至化粪池。</w:t>
            </w:r>
          </w:p>
          <w:p w14:paraId="2B62661C">
            <w:pPr>
              <w:adjustRightInd w:val="0"/>
              <w:snapToGrid w:val="0"/>
              <w:spacing w:line="360" w:lineRule="auto"/>
              <w:ind w:firstLine="480" w:firstLineChars="200"/>
              <w:rPr>
                <w:bCs/>
                <w:color w:val="auto"/>
                <w:sz w:val="24"/>
                <w:highlight w:val="none"/>
              </w:rPr>
            </w:pPr>
            <w:r>
              <w:rPr>
                <w:bCs/>
                <w:color w:val="auto"/>
                <w:sz w:val="24"/>
                <w:highlight w:val="none"/>
              </w:rPr>
              <w:t>④本项目解剖废水产生量按用水量的90％计，则解剖废水产生量为0.010</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/d，3.6</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/a，集中收集至化粪池。</w:t>
            </w:r>
          </w:p>
          <w:p w14:paraId="576DD704">
            <w:pPr>
              <w:adjustRightInd w:val="0"/>
              <w:snapToGrid w:val="0"/>
              <w:spacing w:line="360" w:lineRule="auto"/>
              <w:ind w:firstLine="480" w:firstLineChars="200"/>
              <w:rPr>
                <w:bCs/>
                <w:color w:val="auto"/>
                <w:sz w:val="24"/>
                <w:highlight w:val="none"/>
              </w:rPr>
            </w:pPr>
            <w:r>
              <w:rPr>
                <w:bCs/>
                <w:color w:val="auto"/>
                <w:sz w:val="24"/>
                <w:highlight w:val="none"/>
              </w:rPr>
              <w:t>⑤本项目殡仪车辆清洗废水产生量按用水量的90％计，则废水产生量为0.051</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/d，18.72</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/a，集中收集至化粪池。</w:t>
            </w:r>
          </w:p>
          <w:p w14:paraId="0199C7C8">
            <w:pPr>
              <w:adjustRightInd w:val="0"/>
              <w:snapToGrid w:val="0"/>
              <w:spacing w:line="360" w:lineRule="auto"/>
              <w:ind w:firstLine="480" w:firstLineChars="200"/>
              <w:rPr>
                <w:bCs/>
                <w:color w:val="auto"/>
                <w:sz w:val="24"/>
                <w:highlight w:val="none"/>
              </w:rPr>
            </w:pPr>
            <w:r>
              <w:rPr>
                <w:bCs/>
                <w:color w:val="auto"/>
                <w:sz w:val="24"/>
                <w:highlight w:val="none"/>
              </w:rPr>
              <w:t>以上废水合计3.22</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/d，1173.70</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/a，经化粪池收集后，定期拉运至杭锦旗锡尼镇污水处理厂处理。</w:t>
            </w:r>
          </w:p>
          <w:p w14:paraId="5BFBDD1C">
            <w:pPr>
              <w:autoSpaceDE w:val="0"/>
              <w:autoSpaceDN w:val="0"/>
              <w:adjustRightInd w:val="0"/>
              <w:snapToGrid w:val="0"/>
              <w:spacing w:line="360" w:lineRule="auto"/>
              <w:ind w:firstLine="480" w:firstLineChars="200"/>
              <w:rPr>
                <w:color w:val="auto"/>
                <w:sz w:val="24"/>
                <w:highlight w:val="none"/>
              </w:rPr>
            </w:pPr>
            <w:r>
              <w:rPr>
                <w:color w:val="auto"/>
                <w:sz w:val="24"/>
                <w:highlight w:val="none"/>
              </w:rPr>
              <w:t>项目用排水情况具体见表2-</w:t>
            </w:r>
            <w:r>
              <w:rPr>
                <w:rFonts w:hint="eastAsia"/>
                <w:color w:val="auto"/>
                <w:sz w:val="24"/>
                <w:highlight w:val="none"/>
                <w:lang w:val="en-US" w:eastAsia="zh-CN"/>
              </w:rPr>
              <w:t>5</w:t>
            </w:r>
            <w:r>
              <w:rPr>
                <w:color w:val="auto"/>
                <w:sz w:val="24"/>
                <w:highlight w:val="none"/>
              </w:rPr>
              <w:t>，水平衡见图2-1。</w:t>
            </w:r>
          </w:p>
          <w:p w14:paraId="338A9BEA">
            <w:pPr>
              <w:pStyle w:val="29"/>
              <w:rPr>
                <w:color w:val="auto"/>
                <w:highlight w:val="none"/>
              </w:rPr>
            </w:pPr>
            <w:r>
              <w:rPr>
                <w:color w:val="auto"/>
                <w:highlight w:val="none"/>
              </w:rPr>
              <w:t>表2-</w:t>
            </w:r>
            <w:r>
              <w:rPr>
                <w:rFonts w:hint="eastAsia"/>
                <w:color w:val="auto"/>
                <w:highlight w:val="none"/>
                <w:lang w:val="en-US" w:eastAsia="zh-CN"/>
              </w:rPr>
              <w:t>5</w:t>
            </w:r>
            <w:r>
              <w:rPr>
                <w:color w:val="auto"/>
                <w:highlight w:val="none"/>
              </w:rPr>
              <w:t xml:space="preserve"> 项目用排水情况一览表</w:t>
            </w:r>
          </w:p>
          <w:tbl>
            <w:tblPr>
              <w:tblStyle w:val="20"/>
              <w:tblW w:w="5000"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108" w:type="dxa"/>
                <w:bottom w:w="0" w:type="dxa"/>
                <w:right w:w="108" w:type="dxa"/>
              </w:tblCellMar>
            </w:tblPr>
            <w:tblGrid>
              <w:gridCol w:w="681"/>
              <w:gridCol w:w="1754"/>
              <w:gridCol w:w="1259"/>
              <w:gridCol w:w="1320"/>
              <w:gridCol w:w="1066"/>
              <w:gridCol w:w="1071"/>
              <w:gridCol w:w="1071"/>
            </w:tblGrid>
            <w:tr w14:paraId="0B64807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3" w:type="dxa"/>
                  <w:tcBorders>
                    <w:tl2br w:val="nil"/>
                    <w:tr2bl w:val="nil"/>
                  </w:tcBorders>
                  <w:shd w:val="clear" w:color="auto" w:fill="auto"/>
                  <w:vAlign w:val="center"/>
                </w:tcPr>
                <w:p w14:paraId="0F82DC29">
                  <w:pPr>
                    <w:widowControl/>
                    <w:jc w:val="center"/>
                    <w:textAlignment w:val="center"/>
                    <w:rPr>
                      <w:color w:val="auto"/>
                      <w:szCs w:val="21"/>
                      <w:highlight w:val="none"/>
                    </w:rPr>
                  </w:pPr>
                  <w:r>
                    <w:rPr>
                      <w:color w:val="auto"/>
                      <w:kern w:val="0"/>
                      <w:szCs w:val="21"/>
                      <w:highlight w:val="none"/>
                    </w:rPr>
                    <w:t>序号</w:t>
                  </w:r>
                </w:p>
              </w:tc>
              <w:tc>
                <w:tcPr>
                  <w:tcW w:w="1761" w:type="dxa"/>
                  <w:tcBorders>
                    <w:tl2br w:val="nil"/>
                    <w:tr2bl w:val="nil"/>
                  </w:tcBorders>
                  <w:shd w:val="clear" w:color="auto" w:fill="auto"/>
                  <w:vAlign w:val="center"/>
                </w:tcPr>
                <w:p w14:paraId="6AD45895">
                  <w:pPr>
                    <w:widowControl/>
                    <w:jc w:val="center"/>
                    <w:textAlignment w:val="center"/>
                    <w:rPr>
                      <w:color w:val="auto"/>
                      <w:szCs w:val="21"/>
                      <w:highlight w:val="none"/>
                    </w:rPr>
                  </w:pPr>
                  <w:r>
                    <w:rPr>
                      <w:color w:val="auto"/>
                      <w:kern w:val="0"/>
                      <w:szCs w:val="21"/>
                      <w:highlight w:val="none"/>
                    </w:rPr>
                    <w:t>用水类别</w:t>
                  </w:r>
                </w:p>
              </w:tc>
              <w:tc>
                <w:tcPr>
                  <w:tcW w:w="1261" w:type="dxa"/>
                  <w:tcBorders>
                    <w:tl2br w:val="nil"/>
                    <w:tr2bl w:val="nil"/>
                  </w:tcBorders>
                  <w:shd w:val="clear" w:color="auto" w:fill="auto"/>
                  <w:vAlign w:val="center"/>
                </w:tcPr>
                <w:p w14:paraId="1F4030D7">
                  <w:pPr>
                    <w:widowControl/>
                    <w:jc w:val="center"/>
                    <w:textAlignment w:val="center"/>
                    <w:rPr>
                      <w:color w:val="auto"/>
                      <w:szCs w:val="21"/>
                      <w:highlight w:val="none"/>
                    </w:rPr>
                  </w:pPr>
                  <w:r>
                    <w:rPr>
                      <w:color w:val="auto"/>
                      <w:kern w:val="0"/>
                      <w:szCs w:val="21"/>
                      <w:highlight w:val="none"/>
                    </w:rPr>
                    <w:t>用水标准</w:t>
                  </w:r>
                </w:p>
              </w:tc>
              <w:tc>
                <w:tcPr>
                  <w:tcW w:w="1322" w:type="dxa"/>
                  <w:tcBorders>
                    <w:tl2br w:val="nil"/>
                    <w:tr2bl w:val="nil"/>
                  </w:tcBorders>
                  <w:shd w:val="clear" w:color="auto" w:fill="auto"/>
                  <w:vAlign w:val="center"/>
                </w:tcPr>
                <w:p w14:paraId="765116F5">
                  <w:pPr>
                    <w:widowControl/>
                    <w:jc w:val="center"/>
                    <w:textAlignment w:val="center"/>
                    <w:rPr>
                      <w:color w:val="auto"/>
                      <w:szCs w:val="21"/>
                      <w:highlight w:val="none"/>
                    </w:rPr>
                  </w:pPr>
                  <w:r>
                    <w:rPr>
                      <w:color w:val="auto"/>
                      <w:kern w:val="0"/>
                      <w:szCs w:val="21"/>
                      <w:highlight w:val="none"/>
                    </w:rPr>
                    <w:t>日用水量</w:t>
                  </w:r>
                  <w:r>
                    <w:rPr>
                      <w:rStyle w:val="40"/>
                      <w:rFonts w:hint="eastAsia"/>
                      <w:color w:val="auto"/>
                      <w:highlight w:val="none"/>
                      <w:vertAlign w:val="baseline"/>
                      <w:lang w:eastAsia="zh-CN"/>
                    </w:rPr>
                    <w:t>m</w:t>
                  </w:r>
                  <w:r>
                    <w:rPr>
                      <w:rStyle w:val="40"/>
                      <w:rFonts w:hint="eastAsia"/>
                      <w:color w:val="auto"/>
                      <w:highlight w:val="none"/>
                      <w:vertAlign w:val="superscript"/>
                      <w:lang w:eastAsia="zh-CN"/>
                    </w:rPr>
                    <w:t>3</w:t>
                  </w:r>
                  <w:r>
                    <w:rPr>
                      <w:rStyle w:val="40"/>
                      <w:color w:val="auto"/>
                      <w:highlight w:val="none"/>
                    </w:rPr>
                    <w:t>/d</w:t>
                  </w:r>
                </w:p>
              </w:tc>
              <w:tc>
                <w:tcPr>
                  <w:tcW w:w="1068" w:type="dxa"/>
                  <w:tcBorders>
                    <w:tl2br w:val="nil"/>
                    <w:tr2bl w:val="nil"/>
                  </w:tcBorders>
                  <w:shd w:val="clear" w:color="auto" w:fill="auto"/>
                  <w:vAlign w:val="center"/>
                </w:tcPr>
                <w:p w14:paraId="551A0684">
                  <w:pPr>
                    <w:widowControl/>
                    <w:jc w:val="center"/>
                    <w:textAlignment w:val="center"/>
                    <w:rPr>
                      <w:color w:val="auto"/>
                      <w:szCs w:val="21"/>
                      <w:highlight w:val="none"/>
                    </w:rPr>
                  </w:pPr>
                  <w:r>
                    <w:rPr>
                      <w:color w:val="auto"/>
                      <w:kern w:val="0"/>
                      <w:szCs w:val="21"/>
                      <w:highlight w:val="none"/>
                    </w:rPr>
                    <w:t>排污系数</w:t>
                  </w:r>
                </w:p>
              </w:tc>
              <w:tc>
                <w:tcPr>
                  <w:tcW w:w="1072" w:type="dxa"/>
                  <w:tcBorders>
                    <w:tl2br w:val="nil"/>
                    <w:tr2bl w:val="nil"/>
                  </w:tcBorders>
                  <w:shd w:val="clear" w:color="auto" w:fill="auto"/>
                  <w:vAlign w:val="center"/>
                </w:tcPr>
                <w:p w14:paraId="6ED2110F">
                  <w:pPr>
                    <w:widowControl/>
                    <w:jc w:val="center"/>
                    <w:textAlignment w:val="center"/>
                    <w:rPr>
                      <w:color w:val="auto"/>
                      <w:szCs w:val="21"/>
                      <w:highlight w:val="none"/>
                    </w:rPr>
                  </w:pPr>
                  <w:r>
                    <w:rPr>
                      <w:color w:val="auto"/>
                      <w:kern w:val="0"/>
                      <w:szCs w:val="21"/>
                      <w:highlight w:val="none"/>
                    </w:rPr>
                    <w:t>日损失量</w:t>
                  </w:r>
                  <w:r>
                    <w:rPr>
                      <w:rStyle w:val="40"/>
                      <w:rFonts w:hint="eastAsia"/>
                      <w:color w:val="auto"/>
                      <w:highlight w:val="none"/>
                      <w:vertAlign w:val="baseline"/>
                      <w:lang w:eastAsia="zh-CN"/>
                    </w:rPr>
                    <w:t>m</w:t>
                  </w:r>
                  <w:r>
                    <w:rPr>
                      <w:rStyle w:val="40"/>
                      <w:rFonts w:hint="eastAsia"/>
                      <w:color w:val="auto"/>
                      <w:highlight w:val="none"/>
                      <w:vertAlign w:val="superscript"/>
                      <w:lang w:eastAsia="zh-CN"/>
                    </w:rPr>
                    <w:t>3</w:t>
                  </w:r>
                  <w:r>
                    <w:rPr>
                      <w:rStyle w:val="40"/>
                      <w:color w:val="auto"/>
                      <w:highlight w:val="none"/>
                    </w:rPr>
                    <w:t>/d</w:t>
                  </w:r>
                </w:p>
              </w:tc>
              <w:tc>
                <w:tcPr>
                  <w:tcW w:w="1072" w:type="dxa"/>
                  <w:tcBorders>
                    <w:tl2br w:val="nil"/>
                    <w:tr2bl w:val="nil"/>
                  </w:tcBorders>
                  <w:shd w:val="clear" w:color="auto" w:fill="auto"/>
                  <w:vAlign w:val="center"/>
                </w:tcPr>
                <w:p w14:paraId="29D0197D">
                  <w:pPr>
                    <w:widowControl/>
                    <w:jc w:val="center"/>
                    <w:textAlignment w:val="center"/>
                    <w:rPr>
                      <w:color w:val="auto"/>
                      <w:szCs w:val="21"/>
                      <w:highlight w:val="none"/>
                    </w:rPr>
                  </w:pPr>
                  <w:r>
                    <w:rPr>
                      <w:color w:val="auto"/>
                      <w:kern w:val="0"/>
                      <w:szCs w:val="21"/>
                      <w:highlight w:val="none"/>
                    </w:rPr>
                    <w:t>日排水量</w:t>
                  </w:r>
                  <w:r>
                    <w:rPr>
                      <w:rStyle w:val="40"/>
                      <w:rFonts w:hint="eastAsia"/>
                      <w:color w:val="auto"/>
                      <w:highlight w:val="none"/>
                      <w:vertAlign w:val="baseline"/>
                      <w:lang w:eastAsia="zh-CN"/>
                    </w:rPr>
                    <w:t>m</w:t>
                  </w:r>
                  <w:r>
                    <w:rPr>
                      <w:rStyle w:val="40"/>
                      <w:rFonts w:hint="eastAsia"/>
                      <w:color w:val="auto"/>
                      <w:highlight w:val="none"/>
                      <w:vertAlign w:val="superscript"/>
                      <w:lang w:eastAsia="zh-CN"/>
                    </w:rPr>
                    <w:t>3</w:t>
                  </w:r>
                  <w:r>
                    <w:rPr>
                      <w:rStyle w:val="40"/>
                      <w:color w:val="auto"/>
                      <w:highlight w:val="none"/>
                    </w:rPr>
                    <w:t>/d</w:t>
                  </w:r>
                </w:p>
              </w:tc>
            </w:tr>
            <w:tr w14:paraId="2CCFE38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3" w:type="dxa"/>
                  <w:tcBorders>
                    <w:tl2br w:val="nil"/>
                    <w:tr2bl w:val="nil"/>
                  </w:tcBorders>
                  <w:shd w:val="clear" w:color="auto" w:fill="auto"/>
                  <w:vAlign w:val="center"/>
                </w:tcPr>
                <w:p w14:paraId="65D4A54B">
                  <w:pPr>
                    <w:widowControl/>
                    <w:jc w:val="center"/>
                    <w:textAlignment w:val="center"/>
                    <w:rPr>
                      <w:color w:val="auto"/>
                      <w:szCs w:val="21"/>
                      <w:highlight w:val="none"/>
                    </w:rPr>
                  </w:pPr>
                  <w:r>
                    <w:rPr>
                      <w:color w:val="auto"/>
                      <w:kern w:val="0"/>
                      <w:szCs w:val="21"/>
                      <w:highlight w:val="none"/>
                    </w:rPr>
                    <w:t>1</w:t>
                  </w:r>
                </w:p>
              </w:tc>
              <w:tc>
                <w:tcPr>
                  <w:tcW w:w="1761" w:type="dxa"/>
                  <w:tcBorders>
                    <w:tl2br w:val="nil"/>
                    <w:tr2bl w:val="nil"/>
                  </w:tcBorders>
                  <w:shd w:val="clear" w:color="auto" w:fill="auto"/>
                  <w:vAlign w:val="center"/>
                </w:tcPr>
                <w:p w14:paraId="6D6A267B">
                  <w:pPr>
                    <w:widowControl/>
                    <w:jc w:val="center"/>
                    <w:textAlignment w:val="center"/>
                    <w:rPr>
                      <w:color w:val="auto"/>
                      <w:szCs w:val="21"/>
                      <w:highlight w:val="none"/>
                    </w:rPr>
                  </w:pPr>
                  <w:r>
                    <w:rPr>
                      <w:color w:val="auto"/>
                      <w:kern w:val="0"/>
                      <w:szCs w:val="21"/>
                      <w:highlight w:val="none"/>
                    </w:rPr>
                    <w:t>员工生活</w:t>
                  </w:r>
                </w:p>
              </w:tc>
              <w:tc>
                <w:tcPr>
                  <w:tcW w:w="1261" w:type="dxa"/>
                  <w:tcBorders>
                    <w:tl2br w:val="nil"/>
                    <w:tr2bl w:val="nil"/>
                  </w:tcBorders>
                  <w:shd w:val="clear" w:color="auto" w:fill="auto"/>
                  <w:vAlign w:val="center"/>
                </w:tcPr>
                <w:p w14:paraId="03C67519">
                  <w:pPr>
                    <w:widowControl/>
                    <w:jc w:val="center"/>
                    <w:textAlignment w:val="center"/>
                    <w:rPr>
                      <w:color w:val="auto"/>
                      <w:szCs w:val="21"/>
                      <w:highlight w:val="none"/>
                    </w:rPr>
                  </w:pPr>
                  <w:r>
                    <w:rPr>
                      <w:color w:val="auto"/>
                      <w:kern w:val="0"/>
                      <w:szCs w:val="21"/>
                      <w:highlight w:val="none"/>
                    </w:rPr>
                    <w:t>60L/</w:t>
                  </w:r>
                  <w:r>
                    <w:rPr>
                      <w:rStyle w:val="42"/>
                      <w:rFonts w:hint="default" w:ascii="Times New Roman" w:hAnsi="Times New Roman" w:cs="Times New Roman"/>
                      <w:color w:val="auto"/>
                      <w:highlight w:val="none"/>
                    </w:rPr>
                    <w:t>人</w:t>
                  </w:r>
                  <w:r>
                    <w:rPr>
                      <w:rStyle w:val="43"/>
                      <w:rFonts w:ascii="Times New Roman" w:hAnsi="Times New Roman" w:cs="Times New Roman"/>
                      <w:color w:val="auto"/>
                      <w:highlight w:val="none"/>
                    </w:rPr>
                    <w:t>×</w:t>
                  </w:r>
                  <w:r>
                    <w:rPr>
                      <w:rStyle w:val="40"/>
                      <w:color w:val="auto"/>
                      <w:highlight w:val="none"/>
                    </w:rPr>
                    <w:t>d</w:t>
                  </w:r>
                </w:p>
              </w:tc>
              <w:tc>
                <w:tcPr>
                  <w:tcW w:w="1322" w:type="dxa"/>
                  <w:tcBorders>
                    <w:tl2br w:val="nil"/>
                    <w:tr2bl w:val="nil"/>
                  </w:tcBorders>
                  <w:shd w:val="clear" w:color="auto" w:fill="auto"/>
                  <w:vAlign w:val="center"/>
                </w:tcPr>
                <w:p w14:paraId="22F8D7AF">
                  <w:pPr>
                    <w:widowControl/>
                    <w:jc w:val="center"/>
                    <w:textAlignment w:val="center"/>
                    <w:rPr>
                      <w:color w:val="auto"/>
                      <w:szCs w:val="21"/>
                      <w:highlight w:val="none"/>
                    </w:rPr>
                  </w:pPr>
                  <w:r>
                    <w:rPr>
                      <w:color w:val="auto"/>
                      <w:kern w:val="0"/>
                      <w:szCs w:val="21"/>
                      <w:highlight w:val="none"/>
                    </w:rPr>
                    <w:t>1.44</w:t>
                  </w:r>
                </w:p>
              </w:tc>
              <w:tc>
                <w:tcPr>
                  <w:tcW w:w="1068" w:type="dxa"/>
                  <w:tcBorders>
                    <w:tl2br w:val="nil"/>
                    <w:tr2bl w:val="nil"/>
                  </w:tcBorders>
                  <w:shd w:val="clear" w:color="auto" w:fill="auto"/>
                  <w:vAlign w:val="center"/>
                </w:tcPr>
                <w:p w14:paraId="0A83EE07">
                  <w:pPr>
                    <w:widowControl/>
                    <w:jc w:val="center"/>
                    <w:textAlignment w:val="center"/>
                    <w:rPr>
                      <w:color w:val="auto"/>
                      <w:szCs w:val="21"/>
                      <w:highlight w:val="none"/>
                    </w:rPr>
                  </w:pPr>
                  <w:r>
                    <w:rPr>
                      <w:color w:val="auto"/>
                      <w:kern w:val="0"/>
                      <w:szCs w:val="21"/>
                      <w:highlight w:val="none"/>
                    </w:rPr>
                    <w:t>0.8</w:t>
                  </w:r>
                </w:p>
              </w:tc>
              <w:tc>
                <w:tcPr>
                  <w:tcW w:w="1072" w:type="dxa"/>
                  <w:tcBorders>
                    <w:tl2br w:val="nil"/>
                    <w:tr2bl w:val="nil"/>
                  </w:tcBorders>
                  <w:shd w:val="clear" w:color="auto" w:fill="auto"/>
                  <w:vAlign w:val="center"/>
                </w:tcPr>
                <w:p w14:paraId="4D7FAD94">
                  <w:pPr>
                    <w:widowControl/>
                    <w:jc w:val="center"/>
                    <w:textAlignment w:val="center"/>
                    <w:rPr>
                      <w:color w:val="auto"/>
                      <w:szCs w:val="21"/>
                      <w:highlight w:val="none"/>
                    </w:rPr>
                  </w:pPr>
                  <w:r>
                    <w:rPr>
                      <w:color w:val="auto"/>
                      <w:kern w:val="0"/>
                      <w:szCs w:val="21"/>
                      <w:highlight w:val="none"/>
                    </w:rPr>
                    <w:t>0.288</w:t>
                  </w:r>
                </w:p>
              </w:tc>
              <w:tc>
                <w:tcPr>
                  <w:tcW w:w="1072" w:type="dxa"/>
                  <w:tcBorders>
                    <w:tl2br w:val="nil"/>
                    <w:tr2bl w:val="nil"/>
                  </w:tcBorders>
                  <w:shd w:val="clear" w:color="auto" w:fill="auto"/>
                  <w:vAlign w:val="center"/>
                </w:tcPr>
                <w:p w14:paraId="2313DC9E">
                  <w:pPr>
                    <w:widowControl/>
                    <w:jc w:val="center"/>
                    <w:textAlignment w:val="center"/>
                    <w:rPr>
                      <w:color w:val="auto"/>
                      <w:szCs w:val="21"/>
                      <w:highlight w:val="none"/>
                    </w:rPr>
                  </w:pPr>
                  <w:r>
                    <w:rPr>
                      <w:color w:val="auto"/>
                      <w:kern w:val="0"/>
                      <w:szCs w:val="21"/>
                      <w:highlight w:val="none"/>
                    </w:rPr>
                    <w:t>1.152</w:t>
                  </w:r>
                </w:p>
              </w:tc>
            </w:tr>
            <w:tr w14:paraId="328A9F5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3" w:type="dxa"/>
                  <w:tcBorders>
                    <w:tl2br w:val="nil"/>
                    <w:tr2bl w:val="nil"/>
                  </w:tcBorders>
                  <w:shd w:val="clear" w:color="auto" w:fill="auto"/>
                  <w:vAlign w:val="center"/>
                </w:tcPr>
                <w:p w14:paraId="0C163003">
                  <w:pPr>
                    <w:widowControl/>
                    <w:jc w:val="center"/>
                    <w:textAlignment w:val="center"/>
                    <w:rPr>
                      <w:color w:val="auto"/>
                      <w:szCs w:val="21"/>
                      <w:highlight w:val="none"/>
                    </w:rPr>
                  </w:pPr>
                  <w:r>
                    <w:rPr>
                      <w:color w:val="auto"/>
                      <w:kern w:val="0"/>
                      <w:szCs w:val="21"/>
                      <w:highlight w:val="none"/>
                    </w:rPr>
                    <w:t>2</w:t>
                  </w:r>
                </w:p>
              </w:tc>
              <w:tc>
                <w:tcPr>
                  <w:tcW w:w="1761" w:type="dxa"/>
                  <w:tcBorders>
                    <w:tl2br w:val="nil"/>
                    <w:tr2bl w:val="nil"/>
                  </w:tcBorders>
                  <w:shd w:val="clear" w:color="auto" w:fill="auto"/>
                  <w:vAlign w:val="center"/>
                </w:tcPr>
                <w:p w14:paraId="1DDECD7C">
                  <w:pPr>
                    <w:widowControl/>
                    <w:jc w:val="center"/>
                    <w:textAlignment w:val="center"/>
                    <w:rPr>
                      <w:color w:val="auto"/>
                      <w:szCs w:val="21"/>
                      <w:highlight w:val="none"/>
                    </w:rPr>
                  </w:pPr>
                  <w:r>
                    <w:rPr>
                      <w:color w:val="auto"/>
                      <w:kern w:val="0"/>
                      <w:szCs w:val="21"/>
                      <w:highlight w:val="none"/>
                    </w:rPr>
                    <w:t>外来人员</w:t>
                  </w:r>
                </w:p>
              </w:tc>
              <w:tc>
                <w:tcPr>
                  <w:tcW w:w="1261" w:type="dxa"/>
                  <w:tcBorders>
                    <w:tl2br w:val="nil"/>
                    <w:tr2bl w:val="nil"/>
                  </w:tcBorders>
                  <w:shd w:val="clear" w:color="auto" w:fill="auto"/>
                  <w:vAlign w:val="center"/>
                </w:tcPr>
                <w:p w14:paraId="30A6C6BA">
                  <w:pPr>
                    <w:widowControl/>
                    <w:jc w:val="center"/>
                    <w:textAlignment w:val="center"/>
                    <w:rPr>
                      <w:color w:val="auto"/>
                      <w:szCs w:val="21"/>
                      <w:highlight w:val="none"/>
                    </w:rPr>
                  </w:pPr>
                  <w:r>
                    <w:rPr>
                      <w:color w:val="auto"/>
                      <w:kern w:val="0"/>
                      <w:szCs w:val="21"/>
                      <w:highlight w:val="none"/>
                    </w:rPr>
                    <w:t>10L/</w:t>
                  </w:r>
                  <w:r>
                    <w:rPr>
                      <w:rStyle w:val="42"/>
                      <w:rFonts w:hint="default" w:ascii="Times New Roman" w:hAnsi="Times New Roman" w:cs="Times New Roman"/>
                      <w:color w:val="auto"/>
                      <w:highlight w:val="none"/>
                    </w:rPr>
                    <w:t>人</w:t>
                  </w:r>
                  <w:r>
                    <w:rPr>
                      <w:rStyle w:val="43"/>
                      <w:rFonts w:ascii="Times New Roman" w:hAnsi="Times New Roman" w:cs="Times New Roman"/>
                      <w:color w:val="auto"/>
                      <w:highlight w:val="none"/>
                    </w:rPr>
                    <w:t>×</w:t>
                  </w:r>
                  <w:r>
                    <w:rPr>
                      <w:rStyle w:val="40"/>
                      <w:color w:val="auto"/>
                      <w:highlight w:val="none"/>
                    </w:rPr>
                    <w:t>d</w:t>
                  </w:r>
                </w:p>
              </w:tc>
              <w:tc>
                <w:tcPr>
                  <w:tcW w:w="1322" w:type="dxa"/>
                  <w:tcBorders>
                    <w:tl2br w:val="nil"/>
                    <w:tr2bl w:val="nil"/>
                  </w:tcBorders>
                  <w:shd w:val="clear" w:color="auto" w:fill="auto"/>
                  <w:vAlign w:val="center"/>
                </w:tcPr>
                <w:p w14:paraId="50FDF532">
                  <w:pPr>
                    <w:widowControl/>
                    <w:jc w:val="center"/>
                    <w:textAlignment w:val="center"/>
                    <w:rPr>
                      <w:color w:val="auto"/>
                      <w:szCs w:val="21"/>
                      <w:highlight w:val="none"/>
                    </w:rPr>
                  </w:pPr>
                  <w:r>
                    <w:rPr>
                      <w:color w:val="auto"/>
                      <w:kern w:val="0"/>
                      <w:szCs w:val="21"/>
                      <w:highlight w:val="none"/>
                    </w:rPr>
                    <w:t>0.60</w:t>
                  </w:r>
                </w:p>
              </w:tc>
              <w:tc>
                <w:tcPr>
                  <w:tcW w:w="1068" w:type="dxa"/>
                  <w:tcBorders>
                    <w:tl2br w:val="nil"/>
                    <w:tr2bl w:val="nil"/>
                  </w:tcBorders>
                  <w:shd w:val="clear" w:color="auto" w:fill="auto"/>
                  <w:vAlign w:val="center"/>
                </w:tcPr>
                <w:p w14:paraId="1CFE7039">
                  <w:pPr>
                    <w:widowControl/>
                    <w:jc w:val="center"/>
                    <w:textAlignment w:val="center"/>
                    <w:rPr>
                      <w:color w:val="auto"/>
                      <w:szCs w:val="21"/>
                      <w:highlight w:val="none"/>
                    </w:rPr>
                  </w:pPr>
                  <w:r>
                    <w:rPr>
                      <w:color w:val="auto"/>
                      <w:kern w:val="0"/>
                      <w:szCs w:val="21"/>
                      <w:highlight w:val="none"/>
                    </w:rPr>
                    <w:t>0.8</w:t>
                  </w:r>
                </w:p>
              </w:tc>
              <w:tc>
                <w:tcPr>
                  <w:tcW w:w="1072" w:type="dxa"/>
                  <w:tcBorders>
                    <w:tl2br w:val="nil"/>
                    <w:tr2bl w:val="nil"/>
                  </w:tcBorders>
                  <w:shd w:val="clear" w:color="auto" w:fill="auto"/>
                  <w:vAlign w:val="center"/>
                </w:tcPr>
                <w:p w14:paraId="66134C60">
                  <w:pPr>
                    <w:widowControl/>
                    <w:jc w:val="center"/>
                    <w:textAlignment w:val="center"/>
                    <w:rPr>
                      <w:color w:val="auto"/>
                      <w:szCs w:val="21"/>
                      <w:highlight w:val="none"/>
                    </w:rPr>
                  </w:pPr>
                  <w:r>
                    <w:rPr>
                      <w:color w:val="auto"/>
                      <w:kern w:val="0"/>
                      <w:szCs w:val="21"/>
                      <w:highlight w:val="none"/>
                    </w:rPr>
                    <w:t>0.120</w:t>
                  </w:r>
                </w:p>
              </w:tc>
              <w:tc>
                <w:tcPr>
                  <w:tcW w:w="1072" w:type="dxa"/>
                  <w:tcBorders>
                    <w:tl2br w:val="nil"/>
                    <w:tr2bl w:val="nil"/>
                  </w:tcBorders>
                  <w:shd w:val="clear" w:color="auto" w:fill="auto"/>
                  <w:vAlign w:val="center"/>
                </w:tcPr>
                <w:p w14:paraId="127675FA">
                  <w:pPr>
                    <w:widowControl/>
                    <w:jc w:val="center"/>
                    <w:textAlignment w:val="center"/>
                    <w:rPr>
                      <w:color w:val="auto"/>
                      <w:szCs w:val="21"/>
                      <w:highlight w:val="none"/>
                    </w:rPr>
                  </w:pPr>
                  <w:r>
                    <w:rPr>
                      <w:color w:val="auto"/>
                      <w:kern w:val="0"/>
                      <w:szCs w:val="21"/>
                      <w:highlight w:val="none"/>
                    </w:rPr>
                    <w:t>0.480</w:t>
                  </w:r>
                </w:p>
              </w:tc>
            </w:tr>
            <w:tr w14:paraId="477CC52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3" w:type="dxa"/>
                  <w:tcBorders>
                    <w:tl2br w:val="nil"/>
                    <w:tr2bl w:val="nil"/>
                  </w:tcBorders>
                  <w:shd w:val="clear" w:color="auto" w:fill="auto"/>
                  <w:vAlign w:val="center"/>
                </w:tcPr>
                <w:p w14:paraId="2EEAB779">
                  <w:pPr>
                    <w:widowControl/>
                    <w:jc w:val="center"/>
                    <w:textAlignment w:val="center"/>
                    <w:rPr>
                      <w:color w:val="auto"/>
                      <w:szCs w:val="21"/>
                      <w:highlight w:val="none"/>
                    </w:rPr>
                  </w:pPr>
                  <w:r>
                    <w:rPr>
                      <w:color w:val="auto"/>
                      <w:kern w:val="0"/>
                      <w:szCs w:val="21"/>
                      <w:highlight w:val="none"/>
                    </w:rPr>
                    <w:t>3</w:t>
                  </w:r>
                </w:p>
              </w:tc>
              <w:tc>
                <w:tcPr>
                  <w:tcW w:w="1761" w:type="dxa"/>
                  <w:tcBorders>
                    <w:tl2br w:val="nil"/>
                    <w:tr2bl w:val="nil"/>
                  </w:tcBorders>
                  <w:shd w:val="clear" w:color="auto" w:fill="auto"/>
                  <w:vAlign w:val="center"/>
                </w:tcPr>
                <w:p w14:paraId="21DE9DEE">
                  <w:pPr>
                    <w:widowControl/>
                    <w:jc w:val="center"/>
                    <w:textAlignment w:val="center"/>
                    <w:rPr>
                      <w:color w:val="auto"/>
                      <w:szCs w:val="21"/>
                      <w:highlight w:val="none"/>
                    </w:rPr>
                  </w:pPr>
                  <w:r>
                    <w:rPr>
                      <w:color w:val="auto"/>
                      <w:kern w:val="0"/>
                      <w:szCs w:val="21"/>
                      <w:highlight w:val="none"/>
                    </w:rPr>
                    <w:t>餐厅</w:t>
                  </w:r>
                </w:p>
              </w:tc>
              <w:tc>
                <w:tcPr>
                  <w:tcW w:w="1261" w:type="dxa"/>
                  <w:tcBorders>
                    <w:tl2br w:val="nil"/>
                    <w:tr2bl w:val="nil"/>
                  </w:tcBorders>
                  <w:shd w:val="clear" w:color="auto" w:fill="auto"/>
                  <w:vAlign w:val="center"/>
                </w:tcPr>
                <w:p w14:paraId="2AED8B4D">
                  <w:pPr>
                    <w:widowControl/>
                    <w:jc w:val="center"/>
                    <w:textAlignment w:val="center"/>
                    <w:rPr>
                      <w:color w:val="auto"/>
                      <w:szCs w:val="21"/>
                      <w:highlight w:val="none"/>
                    </w:rPr>
                  </w:pPr>
                  <w:r>
                    <w:rPr>
                      <w:color w:val="auto"/>
                      <w:kern w:val="0"/>
                      <w:szCs w:val="21"/>
                      <w:highlight w:val="none"/>
                    </w:rPr>
                    <w:t>23L/</w:t>
                  </w:r>
                  <w:r>
                    <w:rPr>
                      <w:rStyle w:val="42"/>
                      <w:rFonts w:hint="default" w:ascii="Times New Roman" w:hAnsi="Times New Roman" w:cs="Times New Roman"/>
                      <w:color w:val="auto"/>
                      <w:highlight w:val="none"/>
                    </w:rPr>
                    <w:t>人•餐</w:t>
                  </w:r>
                </w:p>
              </w:tc>
              <w:tc>
                <w:tcPr>
                  <w:tcW w:w="1322" w:type="dxa"/>
                  <w:tcBorders>
                    <w:tl2br w:val="nil"/>
                    <w:tr2bl w:val="nil"/>
                  </w:tcBorders>
                  <w:shd w:val="clear" w:color="auto" w:fill="auto"/>
                  <w:vAlign w:val="center"/>
                </w:tcPr>
                <w:p w14:paraId="49F47AC1">
                  <w:pPr>
                    <w:widowControl/>
                    <w:jc w:val="center"/>
                    <w:textAlignment w:val="center"/>
                    <w:rPr>
                      <w:color w:val="auto"/>
                      <w:szCs w:val="21"/>
                      <w:highlight w:val="none"/>
                    </w:rPr>
                  </w:pPr>
                  <w:r>
                    <w:rPr>
                      <w:color w:val="auto"/>
                      <w:kern w:val="0"/>
                      <w:szCs w:val="21"/>
                      <w:highlight w:val="none"/>
                    </w:rPr>
                    <w:t>1.656</w:t>
                  </w:r>
                </w:p>
              </w:tc>
              <w:tc>
                <w:tcPr>
                  <w:tcW w:w="1068" w:type="dxa"/>
                  <w:tcBorders>
                    <w:tl2br w:val="nil"/>
                    <w:tr2bl w:val="nil"/>
                  </w:tcBorders>
                  <w:shd w:val="clear" w:color="auto" w:fill="auto"/>
                  <w:vAlign w:val="center"/>
                </w:tcPr>
                <w:p w14:paraId="1816F089">
                  <w:pPr>
                    <w:widowControl/>
                    <w:jc w:val="center"/>
                    <w:textAlignment w:val="center"/>
                    <w:rPr>
                      <w:color w:val="auto"/>
                      <w:szCs w:val="21"/>
                      <w:highlight w:val="none"/>
                    </w:rPr>
                  </w:pPr>
                  <w:r>
                    <w:rPr>
                      <w:color w:val="auto"/>
                      <w:kern w:val="0"/>
                      <w:szCs w:val="21"/>
                      <w:highlight w:val="none"/>
                    </w:rPr>
                    <w:t>0.9</w:t>
                  </w:r>
                </w:p>
              </w:tc>
              <w:tc>
                <w:tcPr>
                  <w:tcW w:w="1072" w:type="dxa"/>
                  <w:tcBorders>
                    <w:tl2br w:val="nil"/>
                    <w:tr2bl w:val="nil"/>
                  </w:tcBorders>
                  <w:shd w:val="clear" w:color="auto" w:fill="auto"/>
                  <w:vAlign w:val="center"/>
                </w:tcPr>
                <w:p w14:paraId="7ABCBE2E">
                  <w:pPr>
                    <w:widowControl/>
                    <w:jc w:val="center"/>
                    <w:textAlignment w:val="center"/>
                    <w:rPr>
                      <w:color w:val="auto"/>
                      <w:szCs w:val="21"/>
                      <w:highlight w:val="none"/>
                    </w:rPr>
                  </w:pPr>
                  <w:r>
                    <w:rPr>
                      <w:color w:val="auto"/>
                      <w:kern w:val="0"/>
                      <w:szCs w:val="21"/>
                      <w:highlight w:val="none"/>
                    </w:rPr>
                    <w:t>0.166</w:t>
                  </w:r>
                </w:p>
              </w:tc>
              <w:tc>
                <w:tcPr>
                  <w:tcW w:w="1072" w:type="dxa"/>
                  <w:tcBorders>
                    <w:tl2br w:val="nil"/>
                    <w:tr2bl w:val="nil"/>
                  </w:tcBorders>
                  <w:shd w:val="clear" w:color="auto" w:fill="auto"/>
                  <w:vAlign w:val="center"/>
                </w:tcPr>
                <w:p w14:paraId="1A9BFBC0">
                  <w:pPr>
                    <w:widowControl/>
                    <w:jc w:val="center"/>
                    <w:textAlignment w:val="center"/>
                    <w:rPr>
                      <w:color w:val="auto"/>
                      <w:szCs w:val="21"/>
                      <w:highlight w:val="none"/>
                    </w:rPr>
                  </w:pPr>
                  <w:r>
                    <w:rPr>
                      <w:color w:val="auto"/>
                      <w:kern w:val="0"/>
                      <w:szCs w:val="21"/>
                      <w:highlight w:val="none"/>
                    </w:rPr>
                    <w:t>1.490</w:t>
                  </w:r>
                </w:p>
              </w:tc>
            </w:tr>
            <w:tr w14:paraId="21A3067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3" w:type="dxa"/>
                  <w:tcBorders>
                    <w:tl2br w:val="nil"/>
                    <w:tr2bl w:val="nil"/>
                  </w:tcBorders>
                  <w:shd w:val="clear" w:color="auto" w:fill="auto"/>
                  <w:vAlign w:val="center"/>
                </w:tcPr>
                <w:p w14:paraId="021F3D27">
                  <w:pPr>
                    <w:widowControl/>
                    <w:jc w:val="center"/>
                    <w:textAlignment w:val="center"/>
                    <w:rPr>
                      <w:color w:val="auto"/>
                      <w:szCs w:val="21"/>
                      <w:highlight w:val="none"/>
                    </w:rPr>
                  </w:pPr>
                  <w:r>
                    <w:rPr>
                      <w:color w:val="auto"/>
                      <w:kern w:val="0"/>
                      <w:szCs w:val="21"/>
                      <w:highlight w:val="none"/>
                    </w:rPr>
                    <w:t>4</w:t>
                  </w:r>
                </w:p>
              </w:tc>
              <w:tc>
                <w:tcPr>
                  <w:tcW w:w="1761" w:type="dxa"/>
                  <w:tcBorders>
                    <w:tl2br w:val="nil"/>
                    <w:tr2bl w:val="nil"/>
                  </w:tcBorders>
                  <w:shd w:val="clear" w:color="auto" w:fill="auto"/>
                  <w:vAlign w:val="center"/>
                </w:tcPr>
                <w:p w14:paraId="36C00940">
                  <w:pPr>
                    <w:widowControl/>
                    <w:jc w:val="center"/>
                    <w:textAlignment w:val="center"/>
                    <w:rPr>
                      <w:color w:val="auto"/>
                      <w:szCs w:val="21"/>
                      <w:highlight w:val="none"/>
                    </w:rPr>
                  </w:pPr>
                  <w:r>
                    <w:rPr>
                      <w:color w:val="auto"/>
                      <w:kern w:val="0"/>
                      <w:szCs w:val="21"/>
                      <w:highlight w:val="none"/>
                    </w:rPr>
                    <w:t>遗体处置</w:t>
                  </w:r>
                </w:p>
              </w:tc>
              <w:tc>
                <w:tcPr>
                  <w:tcW w:w="1261" w:type="dxa"/>
                  <w:tcBorders>
                    <w:tl2br w:val="nil"/>
                    <w:tr2bl w:val="nil"/>
                  </w:tcBorders>
                  <w:shd w:val="clear" w:color="auto" w:fill="auto"/>
                  <w:vAlign w:val="center"/>
                </w:tcPr>
                <w:p w14:paraId="6987C6E3">
                  <w:pPr>
                    <w:widowControl/>
                    <w:jc w:val="center"/>
                    <w:textAlignment w:val="center"/>
                    <w:rPr>
                      <w:color w:val="auto"/>
                      <w:szCs w:val="21"/>
                      <w:highlight w:val="none"/>
                    </w:rPr>
                  </w:pPr>
                  <w:r>
                    <w:rPr>
                      <w:color w:val="auto"/>
                      <w:kern w:val="0"/>
                      <w:szCs w:val="21"/>
                      <w:highlight w:val="none"/>
                    </w:rPr>
                    <w:t>1</w:t>
                  </w:r>
                  <w:r>
                    <w:rPr>
                      <w:rFonts w:hint="eastAsia"/>
                      <w:color w:val="auto"/>
                      <w:kern w:val="0"/>
                      <w:szCs w:val="21"/>
                      <w:highlight w:val="none"/>
                      <w:vertAlign w:val="baseline"/>
                      <w:lang w:eastAsia="zh-CN"/>
                    </w:rPr>
                    <w:t>m</w:t>
                  </w:r>
                  <w:r>
                    <w:rPr>
                      <w:rFonts w:hint="eastAsia"/>
                      <w:color w:val="auto"/>
                      <w:kern w:val="0"/>
                      <w:szCs w:val="21"/>
                      <w:highlight w:val="none"/>
                      <w:vertAlign w:val="superscript"/>
                      <w:lang w:eastAsia="zh-CN"/>
                    </w:rPr>
                    <w:t>3</w:t>
                  </w:r>
                  <w:r>
                    <w:rPr>
                      <w:rStyle w:val="40"/>
                      <w:color w:val="auto"/>
                      <w:highlight w:val="none"/>
                    </w:rPr>
                    <w:t>/</w:t>
                  </w:r>
                  <w:r>
                    <w:rPr>
                      <w:rStyle w:val="42"/>
                      <w:rFonts w:hint="default" w:ascii="Times New Roman" w:hAnsi="Times New Roman" w:cs="Times New Roman"/>
                      <w:color w:val="auto"/>
                      <w:highlight w:val="none"/>
                    </w:rPr>
                    <w:t>具</w:t>
                  </w:r>
                </w:p>
              </w:tc>
              <w:tc>
                <w:tcPr>
                  <w:tcW w:w="1322" w:type="dxa"/>
                  <w:tcBorders>
                    <w:tl2br w:val="nil"/>
                    <w:tr2bl w:val="nil"/>
                  </w:tcBorders>
                  <w:shd w:val="clear" w:color="auto" w:fill="auto"/>
                  <w:vAlign w:val="center"/>
                </w:tcPr>
                <w:p w14:paraId="76375E3F">
                  <w:pPr>
                    <w:widowControl/>
                    <w:jc w:val="center"/>
                    <w:textAlignment w:val="center"/>
                    <w:rPr>
                      <w:color w:val="auto"/>
                      <w:szCs w:val="21"/>
                      <w:highlight w:val="none"/>
                    </w:rPr>
                  </w:pPr>
                  <w:r>
                    <w:rPr>
                      <w:color w:val="auto"/>
                      <w:kern w:val="0"/>
                      <w:szCs w:val="21"/>
                      <w:highlight w:val="none"/>
                    </w:rPr>
                    <w:t>0.036</w:t>
                  </w:r>
                </w:p>
              </w:tc>
              <w:tc>
                <w:tcPr>
                  <w:tcW w:w="1068" w:type="dxa"/>
                  <w:tcBorders>
                    <w:tl2br w:val="nil"/>
                    <w:tr2bl w:val="nil"/>
                  </w:tcBorders>
                  <w:shd w:val="clear" w:color="auto" w:fill="auto"/>
                  <w:vAlign w:val="center"/>
                </w:tcPr>
                <w:p w14:paraId="6B8BFE6B">
                  <w:pPr>
                    <w:widowControl/>
                    <w:jc w:val="center"/>
                    <w:textAlignment w:val="center"/>
                    <w:rPr>
                      <w:color w:val="auto"/>
                      <w:szCs w:val="21"/>
                      <w:highlight w:val="none"/>
                    </w:rPr>
                  </w:pPr>
                  <w:r>
                    <w:rPr>
                      <w:color w:val="auto"/>
                      <w:kern w:val="0"/>
                      <w:szCs w:val="21"/>
                      <w:highlight w:val="none"/>
                    </w:rPr>
                    <w:t>0.9</w:t>
                  </w:r>
                </w:p>
              </w:tc>
              <w:tc>
                <w:tcPr>
                  <w:tcW w:w="1072" w:type="dxa"/>
                  <w:tcBorders>
                    <w:tl2br w:val="nil"/>
                    <w:tr2bl w:val="nil"/>
                  </w:tcBorders>
                  <w:shd w:val="clear" w:color="auto" w:fill="auto"/>
                  <w:vAlign w:val="center"/>
                </w:tcPr>
                <w:p w14:paraId="1EE21CB2">
                  <w:pPr>
                    <w:widowControl/>
                    <w:jc w:val="center"/>
                    <w:textAlignment w:val="center"/>
                    <w:rPr>
                      <w:color w:val="auto"/>
                      <w:szCs w:val="21"/>
                      <w:highlight w:val="none"/>
                    </w:rPr>
                  </w:pPr>
                  <w:r>
                    <w:rPr>
                      <w:color w:val="auto"/>
                      <w:kern w:val="0"/>
                      <w:szCs w:val="21"/>
                      <w:highlight w:val="none"/>
                    </w:rPr>
                    <w:t>0.004</w:t>
                  </w:r>
                </w:p>
              </w:tc>
              <w:tc>
                <w:tcPr>
                  <w:tcW w:w="1072" w:type="dxa"/>
                  <w:tcBorders>
                    <w:tl2br w:val="nil"/>
                    <w:tr2bl w:val="nil"/>
                  </w:tcBorders>
                  <w:shd w:val="clear" w:color="auto" w:fill="auto"/>
                  <w:vAlign w:val="center"/>
                </w:tcPr>
                <w:p w14:paraId="2729B88F">
                  <w:pPr>
                    <w:widowControl/>
                    <w:jc w:val="center"/>
                    <w:textAlignment w:val="center"/>
                    <w:rPr>
                      <w:color w:val="auto"/>
                      <w:szCs w:val="21"/>
                      <w:highlight w:val="none"/>
                    </w:rPr>
                  </w:pPr>
                  <w:r>
                    <w:rPr>
                      <w:color w:val="auto"/>
                      <w:kern w:val="0"/>
                      <w:szCs w:val="21"/>
                      <w:highlight w:val="none"/>
                    </w:rPr>
                    <w:t>0.032</w:t>
                  </w:r>
                </w:p>
              </w:tc>
            </w:tr>
            <w:tr w14:paraId="5775A49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3" w:type="dxa"/>
                  <w:tcBorders>
                    <w:tl2br w:val="nil"/>
                    <w:tr2bl w:val="nil"/>
                  </w:tcBorders>
                  <w:shd w:val="clear" w:color="auto" w:fill="auto"/>
                  <w:vAlign w:val="center"/>
                </w:tcPr>
                <w:p w14:paraId="668A6737">
                  <w:pPr>
                    <w:widowControl/>
                    <w:jc w:val="center"/>
                    <w:textAlignment w:val="center"/>
                    <w:rPr>
                      <w:color w:val="auto"/>
                      <w:szCs w:val="21"/>
                      <w:highlight w:val="none"/>
                    </w:rPr>
                  </w:pPr>
                  <w:r>
                    <w:rPr>
                      <w:color w:val="auto"/>
                      <w:kern w:val="0"/>
                      <w:szCs w:val="21"/>
                      <w:highlight w:val="none"/>
                    </w:rPr>
                    <w:t>5</w:t>
                  </w:r>
                </w:p>
              </w:tc>
              <w:tc>
                <w:tcPr>
                  <w:tcW w:w="1761" w:type="dxa"/>
                  <w:tcBorders>
                    <w:tl2br w:val="nil"/>
                    <w:tr2bl w:val="nil"/>
                  </w:tcBorders>
                  <w:shd w:val="clear" w:color="auto" w:fill="auto"/>
                  <w:vAlign w:val="center"/>
                </w:tcPr>
                <w:p w14:paraId="2922FADA">
                  <w:pPr>
                    <w:widowControl/>
                    <w:jc w:val="center"/>
                    <w:textAlignment w:val="center"/>
                    <w:rPr>
                      <w:color w:val="auto"/>
                      <w:szCs w:val="21"/>
                      <w:highlight w:val="none"/>
                    </w:rPr>
                  </w:pPr>
                  <w:r>
                    <w:rPr>
                      <w:color w:val="auto"/>
                      <w:kern w:val="0"/>
                      <w:szCs w:val="21"/>
                      <w:highlight w:val="none"/>
                    </w:rPr>
                    <w:t>解剖</w:t>
                  </w:r>
                </w:p>
              </w:tc>
              <w:tc>
                <w:tcPr>
                  <w:tcW w:w="1261" w:type="dxa"/>
                  <w:tcBorders>
                    <w:tl2br w:val="nil"/>
                    <w:tr2bl w:val="nil"/>
                  </w:tcBorders>
                  <w:shd w:val="clear" w:color="auto" w:fill="auto"/>
                  <w:vAlign w:val="center"/>
                </w:tcPr>
                <w:p w14:paraId="092A4451">
                  <w:pPr>
                    <w:widowControl/>
                    <w:jc w:val="center"/>
                    <w:textAlignment w:val="center"/>
                    <w:rPr>
                      <w:color w:val="auto"/>
                      <w:szCs w:val="21"/>
                      <w:highlight w:val="none"/>
                    </w:rPr>
                  </w:pPr>
                  <w:r>
                    <w:rPr>
                      <w:color w:val="auto"/>
                      <w:kern w:val="0"/>
                      <w:szCs w:val="21"/>
                      <w:highlight w:val="none"/>
                    </w:rPr>
                    <w:t>400L/</w:t>
                  </w:r>
                  <w:r>
                    <w:rPr>
                      <w:rStyle w:val="42"/>
                      <w:rFonts w:hint="default" w:ascii="Times New Roman" w:hAnsi="Times New Roman" w:cs="Times New Roman"/>
                      <w:color w:val="auto"/>
                      <w:highlight w:val="none"/>
                    </w:rPr>
                    <w:t>次</w:t>
                  </w:r>
                </w:p>
              </w:tc>
              <w:tc>
                <w:tcPr>
                  <w:tcW w:w="1322" w:type="dxa"/>
                  <w:tcBorders>
                    <w:tl2br w:val="nil"/>
                    <w:tr2bl w:val="nil"/>
                  </w:tcBorders>
                  <w:shd w:val="clear" w:color="auto" w:fill="auto"/>
                  <w:vAlign w:val="center"/>
                </w:tcPr>
                <w:p w14:paraId="5234B705">
                  <w:pPr>
                    <w:widowControl/>
                    <w:jc w:val="center"/>
                    <w:textAlignment w:val="center"/>
                    <w:rPr>
                      <w:color w:val="auto"/>
                      <w:szCs w:val="21"/>
                      <w:highlight w:val="none"/>
                    </w:rPr>
                  </w:pPr>
                  <w:r>
                    <w:rPr>
                      <w:color w:val="auto"/>
                      <w:kern w:val="0"/>
                      <w:szCs w:val="21"/>
                      <w:highlight w:val="none"/>
                    </w:rPr>
                    <w:t>0.011</w:t>
                  </w:r>
                </w:p>
              </w:tc>
              <w:tc>
                <w:tcPr>
                  <w:tcW w:w="1068" w:type="dxa"/>
                  <w:tcBorders>
                    <w:tl2br w:val="nil"/>
                    <w:tr2bl w:val="nil"/>
                  </w:tcBorders>
                  <w:shd w:val="clear" w:color="auto" w:fill="auto"/>
                  <w:vAlign w:val="center"/>
                </w:tcPr>
                <w:p w14:paraId="024F2A2D">
                  <w:pPr>
                    <w:widowControl/>
                    <w:jc w:val="center"/>
                    <w:textAlignment w:val="center"/>
                    <w:rPr>
                      <w:color w:val="auto"/>
                      <w:szCs w:val="21"/>
                      <w:highlight w:val="none"/>
                    </w:rPr>
                  </w:pPr>
                  <w:r>
                    <w:rPr>
                      <w:color w:val="auto"/>
                      <w:kern w:val="0"/>
                      <w:szCs w:val="21"/>
                      <w:highlight w:val="none"/>
                    </w:rPr>
                    <w:t>0.9</w:t>
                  </w:r>
                </w:p>
              </w:tc>
              <w:tc>
                <w:tcPr>
                  <w:tcW w:w="1072" w:type="dxa"/>
                  <w:tcBorders>
                    <w:tl2br w:val="nil"/>
                    <w:tr2bl w:val="nil"/>
                  </w:tcBorders>
                  <w:shd w:val="clear" w:color="auto" w:fill="auto"/>
                  <w:vAlign w:val="center"/>
                </w:tcPr>
                <w:p w14:paraId="12AA3577">
                  <w:pPr>
                    <w:widowControl/>
                    <w:jc w:val="center"/>
                    <w:textAlignment w:val="center"/>
                    <w:rPr>
                      <w:color w:val="auto"/>
                      <w:szCs w:val="21"/>
                      <w:highlight w:val="none"/>
                    </w:rPr>
                  </w:pPr>
                  <w:r>
                    <w:rPr>
                      <w:color w:val="auto"/>
                      <w:kern w:val="0"/>
                      <w:szCs w:val="21"/>
                      <w:highlight w:val="none"/>
                    </w:rPr>
                    <w:t>0.001</w:t>
                  </w:r>
                </w:p>
              </w:tc>
              <w:tc>
                <w:tcPr>
                  <w:tcW w:w="1072" w:type="dxa"/>
                  <w:tcBorders>
                    <w:tl2br w:val="nil"/>
                    <w:tr2bl w:val="nil"/>
                  </w:tcBorders>
                  <w:shd w:val="clear" w:color="auto" w:fill="auto"/>
                  <w:vAlign w:val="center"/>
                </w:tcPr>
                <w:p w14:paraId="488BB539">
                  <w:pPr>
                    <w:widowControl/>
                    <w:jc w:val="center"/>
                    <w:textAlignment w:val="center"/>
                    <w:rPr>
                      <w:color w:val="auto"/>
                      <w:szCs w:val="21"/>
                      <w:highlight w:val="none"/>
                    </w:rPr>
                  </w:pPr>
                  <w:r>
                    <w:rPr>
                      <w:color w:val="auto"/>
                      <w:kern w:val="0"/>
                      <w:szCs w:val="21"/>
                      <w:highlight w:val="none"/>
                    </w:rPr>
                    <w:t>0.010</w:t>
                  </w:r>
                </w:p>
              </w:tc>
            </w:tr>
            <w:tr w14:paraId="11077C7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3" w:type="dxa"/>
                  <w:tcBorders>
                    <w:tl2br w:val="nil"/>
                    <w:tr2bl w:val="nil"/>
                  </w:tcBorders>
                  <w:shd w:val="clear" w:color="auto" w:fill="auto"/>
                  <w:vAlign w:val="center"/>
                </w:tcPr>
                <w:p w14:paraId="113339EB">
                  <w:pPr>
                    <w:widowControl/>
                    <w:jc w:val="center"/>
                    <w:textAlignment w:val="center"/>
                    <w:rPr>
                      <w:color w:val="auto"/>
                      <w:szCs w:val="21"/>
                      <w:highlight w:val="none"/>
                    </w:rPr>
                  </w:pPr>
                  <w:r>
                    <w:rPr>
                      <w:color w:val="auto"/>
                      <w:kern w:val="0"/>
                      <w:szCs w:val="21"/>
                      <w:highlight w:val="none"/>
                    </w:rPr>
                    <w:t>6</w:t>
                  </w:r>
                </w:p>
              </w:tc>
              <w:tc>
                <w:tcPr>
                  <w:tcW w:w="1761" w:type="dxa"/>
                  <w:tcBorders>
                    <w:tl2br w:val="nil"/>
                    <w:tr2bl w:val="nil"/>
                  </w:tcBorders>
                  <w:shd w:val="clear" w:color="auto" w:fill="auto"/>
                  <w:vAlign w:val="center"/>
                </w:tcPr>
                <w:p w14:paraId="5A324EFC">
                  <w:pPr>
                    <w:widowControl/>
                    <w:jc w:val="center"/>
                    <w:textAlignment w:val="center"/>
                    <w:rPr>
                      <w:color w:val="auto"/>
                      <w:szCs w:val="21"/>
                      <w:highlight w:val="none"/>
                    </w:rPr>
                  </w:pPr>
                  <w:r>
                    <w:rPr>
                      <w:color w:val="auto"/>
                      <w:kern w:val="0"/>
                      <w:szCs w:val="21"/>
                      <w:highlight w:val="none"/>
                    </w:rPr>
                    <w:t>殡仪车辆清洗</w:t>
                  </w:r>
                </w:p>
              </w:tc>
              <w:tc>
                <w:tcPr>
                  <w:tcW w:w="1261" w:type="dxa"/>
                  <w:tcBorders>
                    <w:tl2br w:val="nil"/>
                    <w:tr2bl w:val="nil"/>
                  </w:tcBorders>
                  <w:shd w:val="clear" w:color="auto" w:fill="auto"/>
                  <w:vAlign w:val="center"/>
                </w:tcPr>
                <w:p w14:paraId="5323ABF2">
                  <w:pPr>
                    <w:widowControl/>
                    <w:jc w:val="center"/>
                    <w:textAlignment w:val="center"/>
                    <w:rPr>
                      <w:color w:val="auto"/>
                      <w:szCs w:val="21"/>
                      <w:highlight w:val="none"/>
                    </w:rPr>
                  </w:pPr>
                  <w:r>
                    <w:rPr>
                      <w:color w:val="auto"/>
                      <w:kern w:val="0"/>
                      <w:szCs w:val="21"/>
                      <w:highlight w:val="none"/>
                    </w:rPr>
                    <w:t>80L/</w:t>
                  </w:r>
                  <w:r>
                    <w:rPr>
                      <w:rStyle w:val="42"/>
                      <w:rFonts w:hint="default" w:ascii="Times New Roman" w:hAnsi="Times New Roman" w:cs="Times New Roman"/>
                      <w:color w:val="auto"/>
                      <w:highlight w:val="none"/>
                    </w:rPr>
                    <w:t>次</w:t>
                  </w:r>
                </w:p>
              </w:tc>
              <w:tc>
                <w:tcPr>
                  <w:tcW w:w="1322" w:type="dxa"/>
                  <w:tcBorders>
                    <w:tl2br w:val="nil"/>
                    <w:tr2bl w:val="nil"/>
                  </w:tcBorders>
                  <w:shd w:val="clear" w:color="auto" w:fill="auto"/>
                  <w:vAlign w:val="center"/>
                </w:tcPr>
                <w:p w14:paraId="1DF370BB">
                  <w:pPr>
                    <w:widowControl/>
                    <w:jc w:val="center"/>
                    <w:textAlignment w:val="center"/>
                    <w:rPr>
                      <w:color w:val="auto"/>
                      <w:szCs w:val="21"/>
                      <w:highlight w:val="none"/>
                    </w:rPr>
                  </w:pPr>
                  <w:r>
                    <w:rPr>
                      <w:color w:val="auto"/>
                      <w:kern w:val="0"/>
                      <w:szCs w:val="21"/>
                      <w:highlight w:val="none"/>
                    </w:rPr>
                    <w:t>0.057</w:t>
                  </w:r>
                </w:p>
              </w:tc>
              <w:tc>
                <w:tcPr>
                  <w:tcW w:w="1068" w:type="dxa"/>
                  <w:tcBorders>
                    <w:tl2br w:val="nil"/>
                    <w:tr2bl w:val="nil"/>
                  </w:tcBorders>
                  <w:shd w:val="clear" w:color="auto" w:fill="auto"/>
                  <w:vAlign w:val="center"/>
                </w:tcPr>
                <w:p w14:paraId="2ABA27AF">
                  <w:pPr>
                    <w:widowControl/>
                    <w:jc w:val="center"/>
                    <w:textAlignment w:val="center"/>
                    <w:rPr>
                      <w:color w:val="auto"/>
                      <w:szCs w:val="21"/>
                      <w:highlight w:val="none"/>
                    </w:rPr>
                  </w:pPr>
                  <w:r>
                    <w:rPr>
                      <w:color w:val="auto"/>
                      <w:kern w:val="0"/>
                      <w:szCs w:val="21"/>
                      <w:highlight w:val="none"/>
                    </w:rPr>
                    <w:t>0.9</w:t>
                  </w:r>
                </w:p>
              </w:tc>
              <w:tc>
                <w:tcPr>
                  <w:tcW w:w="1072" w:type="dxa"/>
                  <w:tcBorders>
                    <w:tl2br w:val="nil"/>
                    <w:tr2bl w:val="nil"/>
                  </w:tcBorders>
                  <w:shd w:val="clear" w:color="auto" w:fill="auto"/>
                  <w:vAlign w:val="center"/>
                </w:tcPr>
                <w:p w14:paraId="22C662DB">
                  <w:pPr>
                    <w:widowControl/>
                    <w:jc w:val="center"/>
                    <w:textAlignment w:val="center"/>
                    <w:rPr>
                      <w:color w:val="auto"/>
                      <w:szCs w:val="21"/>
                      <w:highlight w:val="none"/>
                    </w:rPr>
                  </w:pPr>
                  <w:r>
                    <w:rPr>
                      <w:color w:val="auto"/>
                      <w:kern w:val="0"/>
                      <w:szCs w:val="21"/>
                      <w:highlight w:val="none"/>
                    </w:rPr>
                    <w:t>0.006</w:t>
                  </w:r>
                </w:p>
              </w:tc>
              <w:tc>
                <w:tcPr>
                  <w:tcW w:w="1072" w:type="dxa"/>
                  <w:tcBorders>
                    <w:tl2br w:val="nil"/>
                    <w:tr2bl w:val="nil"/>
                  </w:tcBorders>
                  <w:shd w:val="clear" w:color="auto" w:fill="auto"/>
                  <w:vAlign w:val="center"/>
                </w:tcPr>
                <w:p w14:paraId="24DA42D2">
                  <w:pPr>
                    <w:widowControl/>
                    <w:jc w:val="center"/>
                    <w:textAlignment w:val="center"/>
                    <w:rPr>
                      <w:color w:val="auto"/>
                      <w:szCs w:val="21"/>
                      <w:highlight w:val="none"/>
                    </w:rPr>
                  </w:pPr>
                  <w:r>
                    <w:rPr>
                      <w:color w:val="auto"/>
                      <w:kern w:val="0"/>
                      <w:szCs w:val="21"/>
                      <w:highlight w:val="none"/>
                    </w:rPr>
                    <w:t>0.051</w:t>
                  </w:r>
                </w:p>
              </w:tc>
            </w:tr>
            <w:tr w14:paraId="1F2DC19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3" w:type="dxa"/>
                  <w:tcBorders>
                    <w:tl2br w:val="nil"/>
                    <w:tr2bl w:val="nil"/>
                  </w:tcBorders>
                  <w:shd w:val="clear" w:color="auto" w:fill="auto"/>
                  <w:vAlign w:val="center"/>
                </w:tcPr>
                <w:p w14:paraId="734410D6">
                  <w:pPr>
                    <w:jc w:val="center"/>
                    <w:rPr>
                      <w:rFonts w:hint="eastAsia" w:eastAsia="宋体"/>
                      <w:color w:val="auto"/>
                      <w:szCs w:val="21"/>
                      <w:highlight w:val="none"/>
                      <w:lang w:val="en-US" w:eastAsia="zh-CN"/>
                    </w:rPr>
                  </w:pPr>
                  <w:r>
                    <w:rPr>
                      <w:rFonts w:hint="eastAsia"/>
                      <w:color w:val="auto"/>
                      <w:szCs w:val="21"/>
                      <w:highlight w:val="none"/>
                      <w:lang w:val="en-US" w:eastAsia="zh-CN"/>
                    </w:rPr>
                    <w:t>/</w:t>
                  </w:r>
                </w:p>
              </w:tc>
              <w:tc>
                <w:tcPr>
                  <w:tcW w:w="1761" w:type="dxa"/>
                  <w:tcBorders>
                    <w:tl2br w:val="nil"/>
                    <w:tr2bl w:val="nil"/>
                  </w:tcBorders>
                  <w:shd w:val="clear" w:color="auto" w:fill="auto"/>
                  <w:vAlign w:val="center"/>
                </w:tcPr>
                <w:p w14:paraId="58132387">
                  <w:pPr>
                    <w:widowControl/>
                    <w:jc w:val="center"/>
                    <w:textAlignment w:val="center"/>
                    <w:rPr>
                      <w:color w:val="auto"/>
                      <w:szCs w:val="21"/>
                      <w:highlight w:val="none"/>
                    </w:rPr>
                  </w:pPr>
                  <w:r>
                    <w:rPr>
                      <w:color w:val="auto"/>
                      <w:kern w:val="0"/>
                      <w:szCs w:val="21"/>
                      <w:highlight w:val="none"/>
                    </w:rPr>
                    <w:t>合计</w:t>
                  </w:r>
                </w:p>
              </w:tc>
              <w:tc>
                <w:tcPr>
                  <w:tcW w:w="1261" w:type="dxa"/>
                  <w:tcBorders>
                    <w:tl2br w:val="nil"/>
                    <w:tr2bl w:val="nil"/>
                  </w:tcBorders>
                  <w:shd w:val="clear" w:color="auto" w:fill="auto"/>
                  <w:vAlign w:val="center"/>
                </w:tcPr>
                <w:p w14:paraId="50BF7779">
                  <w:pPr>
                    <w:widowControl/>
                    <w:jc w:val="center"/>
                    <w:textAlignment w:val="center"/>
                    <w:rPr>
                      <w:color w:val="auto"/>
                      <w:szCs w:val="21"/>
                      <w:highlight w:val="none"/>
                    </w:rPr>
                  </w:pPr>
                  <w:r>
                    <w:rPr>
                      <w:color w:val="auto"/>
                      <w:kern w:val="0"/>
                      <w:szCs w:val="21"/>
                      <w:highlight w:val="none"/>
                    </w:rPr>
                    <w:t>/</w:t>
                  </w:r>
                </w:p>
              </w:tc>
              <w:tc>
                <w:tcPr>
                  <w:tcW w:w="1322" w:type="dxa"/>
                  <w:tcBorders>
                    <w:tl2br w:val="nil"/>
                    <w:tr2bl w:val="nil"/>
                  </w:tcBorders>
                  <w:shd w:val="clear" w:color="auto" w:fill="auto"/>
                  <w:vAlign w:val="center"/>
                </w:tcPr>
                <w:p w14:paraId="48B41748">
                  <w:pPr>
                    <w:widowControl/>
                    <w:jc w:val="center"/>
                    <w:textAlignment w:val="center"/>
                    <w:rPr>
                      <w:color w:val="auto"/>
                      <w:szCs w:val="21"/>
                      <w:highlight w:val="none"/>
                    </w:rPr>
                  </w:pPr>
                  <w:r>
                    <w:rPr>
                      <w:color w:val="auto"/>
                      <w:kern w:val="0"/>
                      <w:szCs w:val="21"/>
                      <w:highlight w:val="none"/>
                    </w:rPr>
                    <w:t>3.80</w:t>
                  </w:r>
                </w:p>
              </w:tc>
              <w:tc>
                <w:tcPr>
                  <w:tcW w:w="1068" w:type="dxa"/>
                  <w:tcBorders>
                    <w:tl2br w:val="nil"/>
                    <w:tr2bl w:val="nil"/>
                  </w:tcBorders>
                  <w:shd w:val="clear" w:color="auto" w:fill="auto"/>
                  <w:vAlign w:val="center"/>
                </w:tcPr>
                <w:p w14:paraId="5BEC5C47">
                  <w:pPr>
                    <w:jc w:val="center"/>
                    <w:rPr>
                      <w:rFonts w:hint="eastAsia" w:eastAsia="宋体"/>
                      <w:color w:val="auto"/>
                      <w:szCs w:val="21"/>
                      <w:highlight w:val="none"/>
                      <w:lang w:val="en-US" w:eastAsia="zh-CN"/>
                    </w:rPr>
                  </w:pPr>
                  <w:r>
                    <w:rPr>
                      <w:rFonts w:hint="eastAsia"/>
                      <w:color w:val="auto"/>
                      <w:szCs w:val="21"/>
                      <w:highlight w:val="none"/>
                      <w:lang w:val="en-US" w:eastAsia="zh-CN"/>
                    </w:rPr>
                    <w:t>/</w:t>
                  </w:r>
                </w:p>
              </w:tc>
              <w:tc>
                <w:tcPr>
                  <w:tcW w:w="1072" w:type="dxa"/>
                  <w:tcBorders>
                    <w:tl2br w:val="nil"/>
                    <w:tr2bl w:val="nil"/>
                  </w:tcBorders>
                  <w:shd w:val="clear" w:color="auto" w:fill="auto"/>
                  <w:vAlign w:val="center"/>
                </w:tcPr>
                <w:p w14:paraId="4A8BF9BD">
                  <w:pPr>
                    <w:widowControl/>
                    <w:jc w:val="center"/>
                    <w:textAlignment w:val="center"/>
                    <w:rPr>
                      <w:color w:val="auto"/>
                      <w:szCs w:val="21"/>
                      <w:highlight w:val="none"/>
                    </w:rPr>
                  </w:pPr>
                  <w:r>
                    <w:rPr>
                      <w:color w:val="auto"/>
                      <w:kern w:val="0"/>
                      <w:szCs w:val="21"/>
                      <w:highlight w:val="none"/>
                    </w:rPr>
                    <w:t>0.584</w:t>
                  </w:r>
                </w:p>
              </w:tc>
              <w:tc>
                <w:tcPr>
                  <w:tcW w:w="1072" w:type="dxa"/>
                  <w:tcBorders>
                    <w:tl2br w:val="nil"/>
                    <w:tr2bl w:val="nil"/>
                  </w:tcBorders>
                  <w:shd w:val="clear" w:color="auto" w:fill="auto"/>
                  <w:vAlign w:val="center"/>
                </w:tcPr>
                <w:p w14:paraId="359101F6">
                  <w:pPr>
                    <w:widowControl/>
                    <w:jc w:val="center"/>
                    <w:textAlignment w:val="center"/>
                    <w:rPr>
                      <w:color w:val="auto"/>
                      <w:szCs w:val="21"/>
                      <w:highlight w:val="none"/>
                    </w:rPr>
                  </w:pPr>
                  <w:r>
                    <w:rPr>
                      <w:color w:val="auto"/>
                      <w:kern w:val="0"/>
                      <w:szCs w:val="21"/>
                      <w:highlight w:val="none"/>
                    </w:rPr>
                    <w:t>3.22</w:t>
                  </w:r>
                </w:p>
              </w:tc>
            </w:tr>
          </w:tbl>
          <w:p w14:paraId="45F5ABD0">
            <w:pPr>
              <w:autoSpaceDE w:val="0"/>
              <w:autoSpaceDN w:val="0"/>
              <w:adjustRightInd w:val="0"/>
              <w:snapToGrid w:val="0"/>
              <w:spacing w:line="360" w:lineRule="auto"/>
              <w:jc w:val="center"/>
              <w:rPr>
                <w:b/>
                <w:color w:val="auto"/>
                <w:kern w:val="0"/>
                <w:szCs w:val="21"/>
                <w:highlight w:val="none"/>
              </w:rPr>
            </w:pPr>
          </w:p>
          <w:p w14:paraId="7E62B731">
            <w:pPr>
              <w:autoSpaceDE w:val="0"/>
              <w:autoSpaceDN w:val="0"/>
              <w:adjustRightInd w:val="0"/>
              <w:snapToGrid w:val="0"/>
              <w:spacing w:line="360" w:lineRule="auto"/>
              <w:jc w:val="center"/>
              <w:rPr>
                <w:b/>
                <w:color w:val="auto"/>
                <w:kern w:val="0"/>
                <w:szCs w:val="21"/>
                <w:highlight w:val="none"/>
              </w:rPr>
            </w:pPr>
            <w:r>
              <w:rPr>
                <w:b/>
                <w:color w:val="auto"/>
                <w:kern w:val="0"/>
                <w:szCs w:val="21"/>
                <w:highlight w:val="none"/>
              </w:rPr>
              <w:drawing>
                <wp:inline distT="0" distB="0" distL="114300" distR="114300">
                  <wp:extent cx="4959985" cy="2548890"/>
                  <wp:effectExtent l="0" t="0" r="12065" b="3810"/>
                  <wp:docPr id="71"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0"/>
                          <pic:cNvPicPr>
                            <a:picLocks noChangeAspect="1"/>
                          </pic:cNvPicPr>
                        </pic:nvPicPr>
                        <pic:blipFill>
                          <a:blip r:embed="rId7" cstate="print"/>
                          <a:stretch>
                            <a:fillRect/>
                          </a:stretch>
                        </pic:blipFill>
                        <pic:spPr>
                          <a:xfrm>
                            <a:off x="0" y="0"/>
                            <a:ext cx="4959985" cy="2548890"/>
                          </a:xfrm>
                          <a:prstGeom prst="rect">
                            <a:avLst/>
                          </a:prstGeom>
                        </pic:spPr>
                      </pic:pic>
                    </a:graphicData>
                  </a:graphic>
                </wp:inline>
              </w:drawing>
            </w:r>
          </w:p>
          <w:p w14:paraId="39817DB1">
            <w:pPr>
              <w:pStyle w:val="29"/>
              <w:rPr>
                <w:color w:val="auto"/>
                <w:highlight w:val="none"/>
              </w:rPr>
            </w:pPr>
            <w:r>
              <w:rPr>
                <w:color w:val="auto"/>
                <w:highlight w:val="none"/>
              </w:rPr>
              <w:t>图2-1 项目用水平衡图</w:t>
            </w:r>
            <w:r>
              <w:rPr>
                <w:rFonts w:hint="eastAsia"/>
                <w:color w:val="auto"/>
                <w:highlight w:val="none"/>
                <w:lang w:eastAsia="zh-CN"/>
              </w:rPr>
              <w:t>（</w:t>
            </w:r>
            <w:r>
              <w:rPr>
                <w:rFonts w:hint="eastAsia"/>
                <w:color w:val="auto"/>
                <w:highlight w:val="none"/>
                <w:lang w:val="en-US" w:eastAsia="zh-CN"/>
              </w:rPr>
              <w:t>单位</w:t>
            </w:r>
            <w:r>
              <w:rPr>
                <w:rFonts w:hint="eastAsia"/>
                <w:color w:val="auto"/>
                <w:highlight w:val="none"/>
                <w:vertAlign w:val="baseline"/>
                <w:lang w:eastAsia="zh-CN"/>
              </w:rPr>
              <w:t>m</w:t>
            </w:r>
            <w:r>
              <w:rPr>
                <w:rFonts w:hint="eastAsia"/>
                <w:color w:val="auto"/>
                <w:highlight w:val="none"/>
                <w:vertAlign w:val="superscript"/>
                <w:lang w:eastAsia="zh-CN"/>
              </w:rPr>
              <w:t>3</w:t>
            </w:r>
            <w:r>
              <w:rPr>
                <w:color w:val="auto"/>
                <w:highlight w:val="none"/>
              </w:rPr>
              <w:t>/d</w:t>
            </w:r>
            <w:r>
              <w:rPr>
                <w:rFonts w:hint="eastAsia"/>
                <w:color w:val="auto"/>
                <w:highlight w:val="none"/>
                <w:lang w:eastAsia="zh-CN"/>
              </w:rPr>
              <w:t>）</w:t>
            </w:r>
          </w:p>
          <w:p w14:paraId="086F84BD">
            <w:pPr>
              <w:adjustRightInd w:val="0"/>
              <w:snapToGrid w:val="0"/>
              <w:spacing w:line="360" w:lineRule="auto"/>
              <w:ind w:firstLine="480" w:firstLineChars="200"/>
              <w:rPr>
                <w:bCs/>
                <w:color w:val="auto"/>
                <w:sz w:val="24"/>
                <w:highlight w:val="none"/>
              </w:rPr>
            </w:pPr>
            <w:r>
              <w:rPr>
                <w:bCs/>
                <w:color w:val="auto"/>
                <w:sz w:val="24"/>
                <w:highlight w:val="none"/>
              </w:rPr>
              <w:t>（3）供电工程</w:t>
            </w:r>
          </w:p>
          <w:p w14:paraId="11E86675">
            <w:pPr>
              <w:spacing w:line="360" w:lineRule="auto"/>
              <w:ind w:firstLine="480" w:firstLineChars="200"/>
              <w:rPr>
                <w:bCs/>
                <w:color w:val="auto"/>
                <w:sz w:val="24"/>
                <w:highlight w:val="none"/>
              </w:rPr>
            </w:pPr>
            <w:r>
              <w:rPr>
                <w:bCs/>
                <w:color w:val="auto"/>
                <w:sz w:val="24"/>
                <w:highlight w:val="none"/>
              </w:rPr>
              <w:t>项目总用电量为50000KWh，由当地电网供给。</w:t>
            </w:r>
          </w:p>
          <w:p w14:paraId="3C2CFF8B">
            <w:pPr>
              <w:spacing w:line="360" w:lineRule="auto"/>
              <w:ind w:firstLine="480" w:firstLineChars="200"/>
              <w:rPr>
                <w:bCs/>
                <w:color w:val="auto"/>
                <w:sz w:val="24"/>
                <w:highlight w:val="none"/>
              </w:rPr>
            </w:pPr>
            <w:r>
              <w:rPr>
                <w:bCs/>
                <w:color w:val="auto"/>
                <w:sz w:val="24"/>
                <w:highlight w:val="none"/>
              </w:rPr>
              <w:t>（4）供暖工程</w:t>
            </w:r>
          </w:p>
          <w:p w14:paraId="417E258B">
            <w:pPr>
              <w:spacing w:line="360" w:lineRule="auto"/>
              <w:ind w:firstLine="480" w:firstLineChars="200"/>
              <w:rPr>
                <w:color w:val="auto"/>
                <w:sz w:val="24"/>
                <w:highlight w:val="none"/>
              </w:rPr>
            </w:pPr>
            <w:r>
              <w:rPr>
                <w:color w:val="auto"/>
                <w:sz w:val="24"/>
                <w:highlight w:val="none"/>
              </w:rPr>
              <w:t>冬季取暖采用电暖气。</w:t>
            </w:r>
          </w:p>
          <w:p w14:paraId="281AA922">
            <w:pPr>
              <w:adjustRightInd w:val="0"/>
              <w:snapToGrid w:val="0"/>
              <w:spacing w:before="240" w:line="360" w:lineRule="auto"/>
              <w:jc w:val="left"/>
              <w:rPr>
                <w:b/>
                <w:bCs/>
                <w:color w:val="auto"/>
                <w:sz w:val="24"/>
                <w:highlight w:val="none"/>
              </w:rPr>
            </w:pPr>
            <w:r>
              <w:rPr>
                <w:rFonts w:hint="eastAsia"/>
                <w:b/>
                <w:bCs/>
                <w:color w:val="auto"/>
                <w:sz w:val="24"/>
                <w:highlight w:val="none"/>
                <w:lang w:val="en-US" w:eastAsia="zh-CN"/>
              </w:rPr>
              <w:t>8</w:t>
            </w:r>
            <w:r>
              <w:rPr>
                <w:b/>
                <w:bCs/>
                <w:color w:val="auto"/>
                <w:sz w:val="24"/>
                <w:highlight w:val="none"/>
              </w:rPr>
              <w:t>.厂区总平面布置</w:t>
            </w:r>
          </w:p>
          <w:p w14:paraId="216CEB9F">
            <w:pPr>
              <w:adjustRightInd w:val="0"/>
              <w:snapToGrid w:val="0"/>
              <w:spacing w:line="360" w:lineRule="auto"/>
              <w:ind w:firstLine="480" w:firstLineChars="200"/>
              <w:jc w:val="left"/>
              <w:rPr>
                <w:color w:val="auto"/>
                <w:highlight w:val="none"/>
              </w:rPr>
            </w:pPr>
            <w:r>
              <w:rPr>
                <w:bCs/>
                <w:color w:val="auto"/>
                <w:sz w:val="24"/>
                <w:highlight w:val="none"/>
              </w:rPr>
              <w:t>厂区大门位于项目西北侧，进门中部为新建骨灰堂，南侧为火化吊唁楼，北侧为办公住宿楼，火化吊唁楼东南侧</w:t>
            </w:r>
            <w:r>
              <w:rPr>
                <w:rFonts w:hint="eastAsia"/>
                <w:bCs/>
                <w:color w:val="auto"/>
                <w:sz w:val="24"/>
                <w:highlight w:val="none"/>
                <w:lang w:eastAsia="zh-CN"/>
              </w:rPr>
              <w:t>为</w:t>
            </w:r>
            <w:r>
              <w:rPr>
                <w:bCs/>
                <w:color w:val="auto"/>
                <w:sz w:val="24"/>
                <w:highlight w:val="none"/>
              </w:rPr>
              <w:t>遗物祭品焚烧车间。殡仪馆厂区东侧为</w:t>
            </w:r>
            <w:r>
              <w:rPr>
                <w:rFonts w:hint="eastAsia"/>
                <w:bCs/>
                <w:color w:val="auto"/>
                <w:sz w:val="24"/>
                <w:highlight w:val="none"/>
                <w:lang w:eastAsia="zh-CN"/>
              </w:rPr>
              <w:t>福寿</w:t>
            </w:r>
            <w:r>
              <w:rPr>
                <w:bCs/>
                <w:color w:val="auto"/>
                <w:sz w:val="24"/>
                <w:highlight w:val="none"/>
              </w:rPr>
              <w:t>龙陵园。厂区平面示意图见附图2。</w:t>
            </w:r>
          </w:p>
        </w:tc>
      </w:tr>
      <w:tr w14:paraId="379D80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239" w:type="pct"/>
            <w:vAlign w:val="center"/>
          </w:tcPr>
          <w:p w14:paraId="040525DD">
            <w:pPr>
              <w:pStyle w:val="16"/>
              <w:adjustRightInd w:val="0"/>
              <w:snapToGrid w:val="0"/>
              <w:spacing w:before="0" w:beforeAutospacing="0" w:after="0" w:afterAutospacing="0"/>
              <w:jc w:val="center"/>
              <w:rPr>
                <w:rFonts w:ascii="Times New Roman" w:hAnsi="Times New Roman"/>
                <w:b/>
                <w:bCs/>
                <w:color w:val="auto"/>
                <w:szCs w:val="24"/>
                <w:highlight w:val="none"/>
              </w:rPr>
            </w:pPr>
            <w:r>
              <w:rPr>
                <w:rFonts w:ascii="Times New Roman" w:hAnsi="Times New Roman"/>
                <w:b/>
                <w:bCs/>
                <w:color w:val="auto"/>
                <w:szCs w:val="24"/>
                <w:highlight w:val="none"/>
              </w:rPr>
              <w:t>工艺流程和产排污环节</w:t>
            </w:r>
          </w:p>
        </w:tc>
        <w:tc>
          <w:tcPr>
            <w:tcW w:w="4760" w:type="pct"/>
          </w:tcPr>
          <w:p w14:paraId="232C0F51">
            <w:pPr>
              <w:spacing w:line="360" w:lineRule="auto"/>
              <w:jc w:val="left"/>
              <w:rPr>
                <w:b/>
                <w:color w:val="auto"/>
                <w:sz w:val="24"/>
                <w:highlight w:val="none"/>
              </w:rPr>
            </w:pPr>
            <w:bookmarkStart w:id="7" w:name="_Toc65446908"/>
            <w:r>
              <w:rPr>
                <w:b/>
                <w:color w:val="auto"/>
                <w:sz w:val="24"/>
                <w:highlight w:val="none"/>
              </w:rPr>
              <w:t>项目生产工艺及流程</w:t>
            </w:r>
            <w:bookmarkEnd w:id="7"/>
          </w:p>
          <w:p w14:paraId="0FEB7242">
            <w:pPr>
              <w:spacing w:line="360" w:lineRule="auto"/>
              <w:jc w:val="left"/>
              <w:rPr>
                <w:b/>
                <w:color w:val="auto"/>
                <w:sz w:val="24"/>
                <w:highlight w:val="none"/>
              </w:rPr>
            </w:pPr>
            <w:r>
              <w:rPr>
                <w:b/>
                <w:color w:val="auto"/>
                <w:sz w:val="24"/>
                <w:highlight w:val="none"/>
              </w:rPr>
              <w:t>一、施工期工程分析</w:t>
            </w:r>
          </w:p>
          <w:p w14:paraId="51A77311">
            <w:pPr>
              <w:adjustRightInd w:val="0"/>
              <w:snapToGrid w:val="0"/>
              <w:spacing w:line="360" w:lineRule="auto"/>
              <w:ind w:firstLine="480" w:firstLineChars="200"/>
              <w:rPr>
                <w:color w:val="auto"/>
                <w:sz w:val="24"/>
                <w:highlight w:val="none"/>
              </w:rPr>
            </w:pPr>
            <w:r>
              <w:rPr>
                <w:color w:val="auto"/>
                <w:sz w:val="24"/>
                <w:highlight w:val="none"/>
              </w:rPr>
              <w:t>本次新建骨灰堂施工流程及各阶段主要污染物产生</w:t>
            </w:r>
            <w:r>
              <w:rPr>
                <w:rFonts w:hint="eastAsia"/>
                <w:color w:val="auto"/>
                <w:sz w:val="24"/>
                <w:highlight w:val="none"/>
                <w:lang w:eastAsia="zh-CN"/>
              </w:rPr>
              <w:t>情况</w:t>
            </w:r>
            <w:r>
              <w:rPr>
                <w:color w:val="auto"/>
                <w:sz w:val="24"/>
                <w:highlight w:val="none"/>
              </w:rPr>
              <w:t>见图2-2。</w:t>
            </w:r>
          </w:p>
          <w:p w14:paraId="40676B7D">
            <w:pPr>
              <w:adjustRightInd w:val="0"/>
              <w:snapToGrid w:val="0"/>
              <w:spacing w:line="360" w:lineRule="auto"/>
              <w:ind w:firstLine="480" w:firstLineChars="200"/>
              <w:jc w:val="center"/>
              <w:rPr>
                <w:color w:val="auto"/>
                <w:sz w:val="24"/>
                <w:highlight w:val="none"/>
              </w:rPr>
            </w:pPr>
            <w:r>
              <w:rPr>
                <w:color w:val="auto"/>
                <w:sz w:val="24"/>
                <w:highlight w:val="none"/>
              </w:rPr>
              <w:drawing>
                <wp:inline distT="0" distB="0" distL="114300" distR="114300">
                  <wp:extent cx="2707640" cy="1815465"/>
                  <wp:effectExtent l="0" t="0" r="1651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cstate="print"/>
                          <a:stretch>
                            <a:fillRect/>
                          </a:stretch>
                        </pic:blipFill>
                        <pic:spPr>
                          <a:xfrm>
                            <a:off x="0" y="0"/>
                            <a:ext cx="2707640" cy="1815465"/>
                          </a:xfrm>
                          <a:prstGeom prst="rect">
                            <a:avLst/>
                          </a:prstGeom>
                          <a:noFill/>
                          <a:ln>
                            <a:noFill/>
                          </a:ln>
                        </pic:spPr>
                      </pic:pic>
                    </a:graphicData>
                  </a:graphic>
                </wp:inline>
              </w:drawing>
            </w:r>
          </w:p>
          <w:p w14:paraId="738FB7ED">
            <w:pPr>
              <w:pStyle w:val="29"/>
              <w:rPr>
                <w:color w:val="auto"/>
                <w:highlight w:val="none"/>
              </w:rPr>
            </w:pPr>
            <w:r>
              <w:rPr>
                <w:color w:val="auto"/>
                <w:highlight w:val="none"/>
              </w:rPr>
              <w:t>图2-2 施工期工艺流程图</w:t>
            </w:r>
          </w:p>
          <w:p w14:paraId="365E22A3">
            <w:pPr>
              <w:adjustRightInd w:val="0"/>
              <w:snapToGrid w:val="0"/>
              <w:spacing w:line="360" w:lineRule="auto"/>
              <w:jc w:val="left"/>
              <w:rPr>
                <w:b/>
                <w:bCs/>
                <w:color w:val="auto"/>
                <w:sz w:val="24"/>
                <w:highlight w:val="none"/>
              </w:rPr>
            </w:pPr>
            <w:r>
              <w:rPr>
                <w:b/>
                <w:bCs/>
                <w:color w:val="auto"/>
                <w:sz w:val="24"/>
                <w:highlight w:val="none"/>
              </w:rPr>
              <w:t>二、运营期工程分析</w:t>
            </w:r>
          </w:p>
          <w:p w14:paraId="5E6E5B47">
            <w:pPr>
              <w:adjustRightInd w:val="0"/>
              <w:snapToGrid w:val="0"/>
              <w:spacing w:line="360" w:lineRule="auto"/>
              <w:ind w:firstLine="480" w:firstLineChars="200"/>
              <w:jc w:val="left"/>
              <w:rPr>
                <w:bCs/>
                <w:color w:val="auto"/>
                <w:sz w:val="24"/>
                <w:highlight w:val="none"/>
              </w:rPr>
            </w:pPr>
            <w:r>
              <w:rPr>
                <w:bCs/>
                <w:color w:val="auto"/>
                <w:sz w:val="24"/>
                <w:highlight w:val="none"/>
              </w:rPr>
              <w:t>运营期殡仪馆服务流程及产污环节见下图：</w:t>
            </w:r>
          </w:p>
          <w:p w14:paraId="6EF1FBE9">
            <w:pPr>
              <w:adjustRightInd w:val="0"/>
              <w:snapToGrid w:val="0"/>
              <w:spacing w:line="360" w:lineRule="auto"/>
              <w:jc w:val="center"/>
              <w:rPr>
                <w:bCs/>
                <w:color w:val="auto"/>
                <w:sz w:val="24"/>
                <w:highlight w:val="none"/>
              </w:rPr>
            </w:pPr>
            <w:r>
              <w:rPr>
                <w:bCs/>
                <w:color w:val="auto"/>
                <w:sz w:val="24"/>
                <w:highlight w:val="none"/>
              </w:rPr>
              <w:object>
                <v:shape id="_x0000_i1025" o:spt="75" type="#_x0000_t75" style="height:272.25pt;width:278.35pt;" o:ole="t" filled="f" o:preferrelative="t" stroked="f" coordsize="21600,21600">
                  <v:path/>
                  <v:fill on="f" focussize="0,0"/>
                  <v:stroke on="f"/>
                  <v:imagedata r:id="rId10" o:title=""/>
                  <o:lock v:ext="edit" aspectratio="f"/>
                  <w10:wrap type="none"/>
                  <w10:anchorlock/>
                </v:shape>
                <o:OLEObject Type="Embed" ProgID="Visio.Drawing.11" ShapeID="_x0000_i1025" DrawAspect="Content" ObjectID="_1468075725" r:id="rId9">
                  <o:LockedField>false</o:LockedField>
                </o:OLEObject>
              </w:object>
            </w:r>
          </w:p>
          <w:p w14:paraId="6FBEF75B">
            <w:pPr>
              <w:pStyle w:val="5"/>
              <w:ind w:firstLine="0" w:firstLineChars="0"/>
              <w:jc w:val="center"/>
              <w:rPr>
                <w:rFonts w:ascii="Times New Roman" w:hAnsi="Times New Roman"/>
                <w:color w:val="auto"/>
                <w:highlight w:val="none"/>
              </w:rPr>
            </w:pPr>
          </w:p>
          <w:p w14:paraId="1B306093">
            <w:pPr>
              <w:adjustRightInd w:val="0"/>
              <w:snapToGrid w:val="0"/>
              <w:spacing w:line="360" w:lineRule="auto"/>
              <w:jc w:val="center"/>
              <w:rPr>
                <w:b/>
                <w:color w:val="auto"/>
                <w:sz w:val="24"/>
                <w:highlight w:val="none"/>
              </w:rPr>
            </w:pPr>
            <w:r>
              <w:rPr>
                <w:b/>
                <w:color w:val="auto"/>
                <w:sz w:val="24"/>
                <w:highlight w:val="none"/>
              </w:rPr>
              <w:t>图2-3殡仪馆服务流程及产污环节图</w:t>
            </w:r>
          </w:p>
          <w:p w14:paraId="6E1195EE">
            <w:pPr>
              <w:adjustRightInd w:val="0"/>
              <w:snapToGrid w:val="0"/>
              <w:spacing w:line="360" w:lineRule="auto"/>
              <w:ind w:firstLine="480" w:firstLineChars="200"/>
              <w:jc w:val="left"/>
              <w:rPr>
                <w:bCs/>
                <w:color w:val="auto"/>
                <w:sz w:val="24"/>
                <w:highlight w:val="none"/>
              </w:rPr>
            </w:pPr>
            <w:r>
              <w:rPr>
                <w:bCs/>
                <w:color w:val="auto"/>
                <w:sz w:val="24"/>
                <w:highlight w:val="none"/>
              </w:rPr>
              <w:t>工艺流程简述：</w:t>
            </w:r>
          </w:p>
          <w:p w14:paraId="69DA0B54">
            <w:pPr>
              <w:adjustRightInd w:val="0"/>
              <w:snapToGrid w:val="0"/>
              <w:spacing w:line="360" w:lineRule="auto"/>
              <w:ind w:firstLine="480" w:firstLineChars="200"/>
              <w:jc w:val="left"/>
              <w:rPr>
                <w:bCs/>
                <w:color w:val="auto"/>
                <w:sz w:val="24"/>
                <w:highlight w:val="none"/>
              </w:rPr>
            </w:pPr>
            <w:r>
              <w:rPr>
                <w:bCs/>
                <w:color w:val="auto"/>
                <w:sz w:val="24"/>
                <w:highlight w:val="none"/>
              </w:rPr>
              <w:t>（1）遗体接回殡仪馆、遗体处置、遗体暂存：</w:t>
            </w:r>
            <w:r>
              <w:rPr>
                <w:rFonts w:hint="eastAsia"/>
                <w:bCs/>
                <w:color w:val="auto"/>
                <w:sz w:val="24"/>
                <w:highlight w:val="none"/>
              </w:rPr>
              <w:t>逝者</w:t>
            </w:r>
            <w:r>
              <w:rPr>
                <w:bCs/>
                <w:color w:val="auto"/>
                <w:sz w:val="24"/>
                <w:highlight w:val="none"/>
              </w:rPr>
              <w:t>遗体由殡仪馆专用车接回馆内；部分不在当日火化的遗体实行冷藏防腐处理，当日火化遗体由工作人员推入告别厅举行办丧悼念活动。</w:t>
            </w:r>
          </w:p>
          <w:p w14:paraId="72D38ACA">
            <w:pPr>
              <w:adjustRightInd w:val="0"/>
              <w:snapToGrid w:val="0"/>
              <w:spacing w:line="360" w:lineRule="auto"/>
              <w:ind w:firstLine="480" w:firstLineChars="200"/>
              <w:jc w:val="left"/>
              <w:rPr>
                <w:bCs/>
                <w:color w:val="auto"/>
                <w:sz w:val="24"/>
                <w:highlight w:val="none"/>
              </w:rPr>
            </w:pPr>
            <w:r>
              <w:rPr>
                <w:bCs/>
                <w:color w:val="auto"/>
                <w:sz w:val="24"/>
                <w:highlight w:val="none"/>
              </w:rPr>
              <w:t>（2）遗体告别：告别仪式在死者家属办理完各种手续后进行，告别仪式在告别厅进行，家属告别过程中会产生灵堂噪声、生活垃圾、祭祀垃圾、生活污水</w:t>
            </w:r>
            <w:r>
              <w:rPr>
                <w:rFonts w:hint="eastAsia"/>
                <w:bCs/>
                <w:color w:val="auto"/>
                <w:sz w:val="24"/>
                <w:highlight w:val="none"/>
                <w:lang w:eastAsia="zh-CN"/>
              </w:rPr>
              <w:t>等</w:t>
            </w:r>
            <w:r>
              <w:rPr>
                <w:bCs/>
                <w:color w:val="auto"/>
                <w:sz w:val="24"/>
                <w:highlight w:val="none"/>
              </w:rPr>
              <w:t>。</w:t>
            </w:r>
          </w:p>
          <w:p w14:paraId="73DD960D">
            <w:pPr>
              <w:adjustRightInd w:val="0"/>
              <w:snapToGrid w:val="0"/>
              <w:spacing w:line="360" w:lineRule="auto"/>
              <w:ind w:firstLine="480" w:firstLineChars="200"/>
              <w:jc w:val="left"/>
              <w:rPr>
                <w:bCs/>
                <w:color w:val="auto"/>
                <w:sz w:val="24"/>
                <w:highlight w:val="none"/>
              </w:rPr>
            </w:pPr>
            <w:r>
              <w:rPr>
                <w:bCs/>
                <w:color w:val="auto"/>
                <w:sz w:val="24"/>
                <w:highlight w:val="none"/>
              </w:rPr>
              <w:t>（3）遗体火化：家属完成告别后进行遗体火化，火化发生在火化车间，火化由轻柴油作为燃料，由于遗体含有有机物质和汞等金属类物质，有机物燃烧过程中会产生含硫、含氯、可气化的汞以及二噁英类等废气，主要污染物包括烟尘、SO</w:t>
            </w:r>
            <w:r>
              <w:rPr>
                <w:bCs/>
                <w:color w:val="auto"/>
                <w:sz w:val="24"/>
                <w:highlight w:val="none"/>
                <w:vertAlign w:val="subscript"/>
              </w:rPr>
              <w:t>2</w:t>
            </w:r>
            <w:r>
              <w:rPr>
                <w:bCs/>
                <w:color w:val="auto"/>
                <w:sz w:val="24"/>
                <w:highlight w:val="none"/>
              </w:rPr>
              <w:t>、NOx、CO、HCL、Hg、二噁英类等，同时产生骨灰、火化设备噪声。</w:t>
            </w:r>
            <w:r>
              <w:rPr>
                <w:rFonts w:hint="eastAsia"/>
                <w:bCs/>
                <w:color w:val="auto"/>
                <w:sz w:val="24"/>
                <w:highlight w:val="none"/>
                <w:lang w:val="en-US" w:eastAsia="zh-CN"/>
              </w:rPr>
              <w:t>废气处理过程中产生除尘灰（含废活性炭）、除酸废渣、废布袋等。</w:t>
            </w:r>
          </w:p>
          <w:p w14:paraId="27CBF7BC">
            <w:pPr>
              <w:adjustRightInd w:val="0"/>
              <w:snapToGrid w:val="0"/>
              <w:spacing w:line="360" w:lineRule="auto"/>
              <w:ind w:firstLine="480" w:firstLineChars="200"/>
              <w:jc w:val="left"/>
              <w:rPr>
                <w:rFonts w:hint="default" w:eastAsia="宋体"/>
                <w:bCs/>
                <w:color w:val="auto"/>
                <w:sz w:val="24"/>
                <w:highlight w:val="none"/>
                <w:lang w:val="en-US" w:eastAsia="zh-CN"/>
              </w:rPr>
            </w:pPr>
            <w:r>
              <w:rPr>
                <w:bCs/>
                <w:color w:val="auto"/>
                <w:sz w:val="24"/>
                <w:highlight w:val="none"/>
              </w:rPr>
              <w:t>（4）领取骨灰：遗体燃烧完成后，剩余的骨灰主要是含有钙、镁、磷等氧化物的灰渣，灰渣收集后放入骨灰盒，由逝者亲属领走或寄存于本殡仪馆骨灰楼，在寄存过程中会进行祭祀，祭祀活动中</w:t>
            </w:r>
            <w:r>
              <w:rPr>
                <w:rFonts w:hint="eastAsia"/>
                <w:bCs/>
                <w:color w:val="auto"/>
                <w:sz w:val="24"/>
                <w:highlight w:val="none"/>
              </w:rPr>
              <w:t>在焚烧炉中</w:t>
            </w:r>
            <w:r>
              <w:rPr>
                <w:bCs/>
                <w:color w:val="auto"/>
                <w:sz w:val="24"/>
                <w:highlight w:val="none"/>
              </w:rPr>
              <w:t>烧纸钱</w:t>
            </w:r>
            <w:r>
              <w:rPr>
                <w:rFonts w:hint="eastAsia"/>
                <w:bCs/>
                <w:color w:val="auto"/>
                <w:sz w:val="24"/>
                <w:highlight w:val="none"/>
              </w:rPr>
              <w:t>、逝者遗物</w:t>
            </w:r>
            <w:r>
              <w:rPr>
                <w:bCs/>
                <w:color w:val="auto"/>
                <w:sz w:val="24"/>
                <w:highlight w:val="none"/>
              </w:rPr>
              <w:t>等会产生焚烧废气、焚烧炉渣等。</w:t>
            </w:r>
            <w:r>
              <w:rPr>
                <w:rFonts w:hint="eastAsia"/>
                <w:bCs/>
                <w:color w:val="auto"/>
                <w:sz w:val="24"/>
                <w:highlight w:val="none"/>
                <w:lang w:val="en-US" w:eastAsia="zh-CN"/>
              </w:rPr>
              <w:t>废气处理过程中产生除尘灰（含废活性炭）、除酸废渣、废布袋等。</w:t>
            </w:r>
          </w:p>
          <w:p w14:paraId="47286CE0">
            <w:pPr>
              <w:adjustRightInd w:val="0"/>
              <w:snapToGrid w:val="0"/>
              <w:spacing w:line="360" w:lineRule="auto"/>
              <w:rPr>
                <w:b/>
                <w:bCs/>
                <w:color w:val="auto"/>
                <w:sz w:val="24"/>
                <w:highlight w:val="none"/>
              </w:rPr>
            </w:pPr>
            <w:r>
              <w:rPr>
                <w:b/>
                <w:bCs/>
                <w:color w:val="auto"/>
                <w:sz w:val="24"/>
                <w:highlight w:val="none"/>
              </w:rPr>
              <w:t>主要污染工序</w:t>
            </w:r>
          </w:p>
          <w:p w14:paraId="66B2D919">
            <w:pPr>
              <w:adjustRightInd w:val="0"/>
              <w:snapToGrid w:val="0"/>
              <w:spacing w:line="360" w:lineRule="auto"/>
              <w:ind w:firstLine="482" w:firstLineChars="200"/>
              <w:rPr>
                <w:b/>
                <w:bCs/>
                <w:color w:val="auto"/>
                <w:sz w:val="24"/>
                <w:highlight w:val="none"/>
              </w:rPr>
            </w:pPr>
            <w:r>
              <w:rPr>
                <w:b/>
                <w:bCs/>
                <w:color w:val="auto"/>
                <w:sz w:val="24"/>
                <w:highlight w:val="none"/>
              </w:rPr>
              <w:t>1.施工期主要污染工序</w:t>
            </w:r>
          </w:p>
          <w:p w14:paraId="1D1E0095">
            <w:pPr>
              <w:adjustRightInd w:val="0"/>
              <w:snapToGrid w:val="0"/>
              <w:spacing w:line="360" w:lineRule="auto"/>
              <w:ind w:firstLine="480" w:firstLineChars="200"/>
              <w:rPr>
                <w:bCs/>
                <w:color w:val="auto"/>
                <w:sz w:val="24"/>
                <w:highlight w:val="none"/>
              </w:rPr>
            </w:pPr>
            <w:r>
              <w:rPr>
                <w:bCs/>
                <w:color w:val="auto"/>
                <w:sz w:val="24"/>
                <w:highlight w:val="none"/>
              </w:rPr>
              <w:t>（1）废气：主要为扬尘以及施工机械、运输车辆</w:t>
            </w:r>
            <w:r>
              <w:rPr>
                <w:rFonts w:hint="eastAsia"/>
                <w:bCs/>
                <w:color w:val="auto"/>
                <w:sz w:val="24"/>
                <w:highlight w:val="none"/>
                <w:lang w:eastAsia="zh-CN"/>
              </w:rPr>
              <w:t>等</w:t>
            </w:r>
            <w:r>
              <w:rPr>
                <w:bCs/>
                <w:color w:val="auto"/>
                <w:sz w:val="24"/>
                <w:highlight w:val="none"/>
              </w:rPr>
              <w:t>废气。</w:t>
            </w:r>
          </w:p>
          <w:p w14:paraId="6F9062A0">
            <w:pPr>
              <w:adjustRightInd w:val="0"/>
              <w:snapToGrid w:val="0"/>
              <w:spacing w:line="360" w:lineRule="auto"/>
              <w:ind w:firstLine="480" w:firstLineChars="200"/>
              <w:rPr>
                <w:bCs/>
                <w:color w:val="auto"/>
                <w:sz w:val="24"/>
                <w:highlight w:val="none"/>
              </w:rPr>
            </w:pPr>
            <w:r>
              <w:rPr>
                <w:bCs/>
                <w:color w:val="auto"/>
                <w:sz w:val="24"/>
                <w:highlight w:val="none"/>
              </w:rPr>
              <w:t>（2）废水：主要为施工人员生活污水和施工废水。</w:t>
            </w:r>
          </w:p>
          <w:p w14:paraId="3E7DD83A">
            <w:pPr>
              <w:adjustRightInd w:val="0"/>
              <w:snapToGrid w:val="0"/>
              <w:spacing w:line="360" w:lineRule="auto"/>
              <w:ind w:firstLine="480" w:firstLineChars="200"/>
              <w:rPr>
                <w:bCs/>
                <w:color w:val="auto"/>
                <w:sz w:val="24"/>
                <w:highlight w:val="none"/>
              </w:rPr>
            </w:pPr>
            <w:r>
              <w:rPr>
                <w:bCs/>
                <w:color w:val="auto"/>
                <w:sz w:val="24"/>
                <w:highlight w:val="none"/>
              </w:rPr>
              <w:t>（3）噪声：主要为施工过程中作业机械运行时产生的噪声。</w:t>
            </w:r>
          </w:p>
          <w:p w14:paraId="6904B85F">
            <w:pPr>
              <w:adjustRightInd w:val="0"/>
              <w:snapToGrid w:val="0"/>
              <w:spacing w:line="360" w:lineRule="auto"/>
              <w:ind w:firstLine="480" w:firstLineChars="200"/>
              <w:rPr>
                <w:bCs/>
                <w:color w:val="auto"/>
                <w:sz w:val="24"/>
                <w:highlight w:val="none"/>
              </w:rPr>
            </w:pPr>
            <w:r>
              <w:rPr>
                <w:bCs/>
                <w:color w:val="auto"/>
                <w:sz w:val="24"/>
                <w:highlight w:val="none"/>
              </w:rPr>
              <w:t>（4）固体废物：主要为建筑垃圾和施工人员生活垃圾。</w:t>
            </w:r>
          </w:p>
          <w:p w14:paraId="6C4D989B">
            <w:pPr>
              <w:adjustRightInd w:val="0"/>
              <w:snapToGrid w:val="0"/>
              <w:spacing w:line="360" w:lineRule="auto"/>
              <w:ind w:firstLine="482" w:firstLineChars="200"/>
              <w:rPr>
                <w:b/>
                <w:bCs/>
                <w:color w:val="auto"/>
                <w:sz w:val="24"/>
                <w:highlight w:val="none"/>
              </w:rPr>
            </w:pPr>
            <w:r>
              <w:rPr>
                <w:b/>
                <w:bCs/>
                <w:color w:val="auto"/>
                <w:sz w:val="24"/>
                <w:highlight w:val="none"/>
              </w:rPr>
              <w:t>2.运营期主要污染工序</w:t>
            </w:r>
          </w:p>
          <w:p w14:paraId="27986AC9">
            <w:pPr>
              <w:adjustRightInd w:val="0"/>
              <w:snapToGrid w:val="0"/>
              <w:spacing w:line="360" w:lineRule="auto"/>
              <w:ind w:firstLine="480" w:firstLineChars="200"/>
              <w:rPr>
                <w:bCs/>
                <w:color w:val="auto"/>
                <w:sz w:val="24"/>
                <w:highlight w:val="none"/>
              </w:rPr>
            </w:pPr>
            <w:r>
              <w:rPr>
                <w:bCs/>
                <w:color w:val="auto"/>
                <w:sz w:val="24"/>
                <w:highlight w:val="none"/>
              </w:rPr>
              <w:t>（1）废气：主要为火化机废气</w:t>
            </w:r>
            <w:r>
              <w:rPr>
                <w:rFonts w:hint="eastAsia"/>
                <w:bCs/>
                <w:color w:val="auto"/>
                <w:sz w:val="24"/>
                <w:highlight w:val="none"/>
                <w:lang w:eastAsia="zh-CN"/>
              </w:rPr>
              <w:t>和</w:t>
            </w:r>
            <w:r>
              <w:rPr>
                <w:bCs/>
                <w:color w:val="auto"/>
                <w:sz w:val="24"/>
                <w:highlight w:val="none"/>
              </w:rPr>
              <w:t>焚烧炉废气。</w:t>
            </w:r>
          </w:p>
          <w:p w14:paraId="0114F0EB">
            <w:pPr>
              <w:adjustRightInd w:val="0"/>
              <w:snapToGrid w:val="0"/>
              <w:spacing w:line="360" w:lineRule="auto"/>
              <w:ind w:firstLine="480" w:firstLineChars="200"/>
              <w:rPr>
                <w:bCs/>
                <w:color w:val="auto"/>
                <w:sz w:val="24"/>
                <w:highlight w:val="none"/>
              </w:rPr>
            </w:pPr>
            <w:r>
              <w:rPr>
                <w:bCs/>
                <w:color w:val="auto"/>
                <w:sz w:val="24"/>
                <w:highlight w:val="none"/>
              </w:rPr>
              <w:t>（2）废水：主要为生产废水和生活污水。</w:t>
            </w:r>
          </w:p>
          <w:p w14:paraId="2F1CDC3C">
            <w:pPr>
              <w:adjustRightInd w:val="0"/>
              <w:snapToGrid w:val="0"/>
              <w:spacing w:line="360" w:lineRule="auto"/>
              <w:ind w:firstLine="480" w:firstLineChars="200"/>
              <w:rPr>
                <w:bCs/>
                <w:color w:val="auto"/>
                <w:sz w:val="24"/>
                <w:highlight w:val="none"/>
              </w:rPr>
            </w:pPr>
            <w:r>
              <w:rPr>
                <w:bCs/>
                <w:color w:val="auto"/>
                <w:sz w:val="24"/>
                <w:highlight w:val="none"/>
              </w:rPr>
              <w:t>（3）噪声：主要为引风机、鼓风机等设备运转过程中产生的噪声。</w:t>
            </w:r>
          </w:p>
          <w:p w14:paraId="0C481EA8">
            <w:pPr>
              <w:adjustRightInd w:val="0"/>
              <w:snapToGrid w:val="0"/>
              <w:spacing w:line="360" w:lineRule="auto"/>
              <w:ind w:firstLine="480" w:firstLineChars="200"/>
              <w:rPr>
                <w:bCs/>
                <w:color w:val="auto"/>
                <w:sz w:val="24"/>
                <w:highlight w:val="none"/>
              </w:rPr>
            </w:pPr>
            <w:r>
              <w:rPr>
                <w:bCs/>
                <w:color w:val="auto"/>
                <w:sz w:val="24"/>
                <w:highlight w:val="none"/>
              </w:rPr>
              <w:t>（4）固体废物：主要为生活垃圾、除尘灰</w:t>
            </w:r>
            <w:r>
              <w:rPr>
                <w:rFonts w:hint="eastAsia"/>
                <w:bCs/>
                <w:color w:val="auto"/>
                <w:sz w:val="24"/>
                <w:highlight w:val="none"/>
                <w:lang w:eastAsia="zh-CN"/>
              </w:rPr>
              <w:t>（</w:t>
            </w:r>
            <w:r>
              <w:rPr>
                <w:rFonts w:hint="eastAsia"/>
                <w:bCs/>
                <w:color w:val="auto"/>
                <w:sz w:val="24"/>
                <w:highlight w:val="none"/>
                <w:lang w:val="en-US" w:eastAsia="zh-CN"/>
              </w:rPr>
              <w:t>含废活性炭</w:t>
            </w:r>
            <w:r>
              <w:rPr>
                <w:rFonts w:hint="eastAsia"/>
                <w:bCs/>
                <w:color w:val="auto"/>
                <w:sz w:val="24"/>
                <w:highlight w:val="none"/>
                <w:lang w:eastAsia="zh-CN"/>
              </w:rPr>
              <w:t>）</w:t>
            </w:r>
            <w:r>
              <w:rPr>
                <w:bCs/>
                <w:color w:val="auto"/>
                <w:sz w:val="24"/>
                <w:highlight w:val="none"/>
              </w:rPr>
              <w:t>、焚烧炉渣、</w:t>
            </w:r>
            <w:r>
              <w:rPr>
                <w:rFonts w:hint="eastAsia"/>
                <w:bCs/>
                <w:color w:val="auto"/>
                <w:sz w:val="24"/>
                <w:highlight w:val="none"/>
              </w:rPr>
              <w:t>除酸废渣、废布袋</w:t>
            </w:r>
            <w:r>
              <w:rPr>
                <w:rFonts w:hint="eastAsia"/>
                <w:bCs/>
                <w:color w:val="auto"/>
                <w:sz w:val="24"/>
                <w:highlight w:val="none"/>
                <w:lang w:eastAsia="zh-CN"/>
              </w:rPr>
              <w:t>、</w:t>
            </w:r>
            <w:r>
              <w:rPr>
                <w:rFonts w:hint="eastAsia"/>
                <w:bCs/>
                <w:color w:val="auto"/>
                <w:sz w:val="24"/>
                <w:highlight w:val="none"/>
                <w:lang w:val="en-US" w:eastAsia="zh-CN"/>
              </w:rPr>
              <w:t>废矿物油、废油桶</w:t>
            </w:r>
            <w:r>
              <w:rPr>
                <w:bCs/>
                <w:color w:val="auto"/>
                <w:sz w:val="24"/>
                <w:highlight w:val="none"/>
              </w:rPr>
              <w:t>等。</w:t>
            </w:r>
          </w:p>
        </w:tc>
      </w:tr>
      <w:tr w14:paraId="4FA483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04" w:hRule="atLeast"/>
          <w:jc w:val="center"/>
        </w:trPr>
        <w:tc>
          <w:tcPr>
            <w:tcW w:w="239" w:type="pct"/>
            <w:vAlign w:val="center"/>
          </w:tcPr>
          <w:p w14:paraId="2E27F85B">
            <w:pPr>
              <w:pStyle w:val="16"/>
              <w:adjustRightInd w:val="0"/>
              <w:snapToGrid w:val="0"/>
              <w:spacing w:before="0" w:beforeAutospacing="0" w:after="0" w:afterAutospacing="0"/>
              <w:jc w:val="center"/>
              <w:rPr>
                <w:rFonts w:ascii="Times New Roman" w:hAnsi="Times New Roman"/>
                <w:b/>
                <w:bCs/>
                <w:color w:val="auto"/>
                <w:szCs w:val="24"/>
                <w:highlight w:val="none"/>
              </w:rPr>
            </w:pPr>
            <w:r>
              <w:rPr>
                <w:rFonts w:ascii="Times New Roman" w:hAnsi="Times New Roman"/>
                <w:b/>
                <w:bCs/>
                <w:color w:val="auto"/>
                <w:kern w:val="2"/>
                <w:szCs w:val="24"/>
                <w:highlight w:val="none"/>
              </w:rPr>
              <w:t>与项目有关的原有环境污染问题</w:t>
            </w:r>
          </w:p>
        </w:tc>
        <w:tc>
          <w:tcPr>
            <w:tcW w:w="4760" w:type="pct"/>
            <w:vAlign w:val="center"/>
          </w:tcPr>
          <w:p w14:paraId="191FE8DA">
            <w:pPr>
              <w:spacing w:line="360" w:lineRule="auto"/>
              <w:ind w:firstLine="482" w:firstLineChars="200"/>
              <w:rPr>
                <w:b/>
                <w:bCs/>
                <w:color w:val="auto"/>
                <w:kern w:val="0"/>
                <w:sz w:val="24"/>
                <w:highlight w:val="none"/>
              </w:rPr>
            </w:pPr>
            <w:r>
              <w:rPr>
                <w:b/>
                <w:bCs/>
                <w:color w:val="auto"/>
                <w:kern w:val="0"/>
                <w:sz w:val="24"/>
                <w:highlight w:val="none"/>
              </w:rPr>
              <w:t>1.环保手续履行情况</w:t>
            </w:r>
          </w:p>
          <w:p w14:paraId="736FAB68">
            <w:pPr>
              <w:spacing w:line="360" w:lineRule="auto"/>
              <w:ind w:firstLine="480" w:firstLineChars="200"/>
              <w:rPr>
                <w:rFonts w:hint="eastAsia"/>
                <w:color w:val="auto"/>
                <w:kern w:val="0"/>
                <w:sz w:val="24"/>
                <w:highlight w:val="none"/>
                <w:lang w:eastAsia="zh-CN"/>
              </w:rPr>
            </w:pPr>
            <w:r>
              <w:rPr>
                <w:color w:val="auto"/>
                <w:kern w:val="0"/>
                <w:sz w:val="24"/>
                <w:highlight w:val="none"/>
              </w:rPr>
              <w:t>杭锦旗殡仪馆始建于2010年，主要从事火化、殡葬服务，建设单位为杭锦旗民政局。2010年6月，《鄂尔多斯市杭锦旗</w:t>
            </w:r>
            <w:r>
              <w:rPr>
                <w:rFonts w:hint="eastAsia"/>
                <w:color w:val="auto"/>
                <w:kern w:val="0"/>
                <w:sz w:val="24"/>
                <w:highlight w:val="none"/>
                <w:lang w:eastAsia="zh-CN"/>
              </w:rPr>
              <w:t>福寿</w:t>
            </w:r>
            <w:r>
              <w:rPr>
                <w:color w:val="auto"/>
                <w:kern w:val="0"/>
                <w:sz w:val="24"/>
                <w:highlight w:val="none"/>
              </w:rPr>
              <w:t>龙陵园建设项目环境影响登记表》取得原杭锦旗环境保护局审批意见。2019年7月，《杭锦旗</w:t>
            </w:r>
            <w:r>
              <w:rPr>
                <w:rFonts w:hint="eastAsia"/>
                <w:color w:val="auto"/>
                <w:kern w:val="0"/>
                <w:sz w:val="24"/>
                <w:highlight w:val="none"/>
                <w:lang w:eastAsia="zh-CN"/>
              </w:rPr>
              <w:t>福寿</w:t>
            </w:r>
            <w:r>
              <w:rPr>
                <w:color w:val="auto"/>
                <w:kern w:val="0"/>
                <w:sz w:val="24"/>
                <w:highlight w:val="none"/>
              </w:rPr>
              <w:t>龙陵园建设项目环境影响登记表》进行备案。杭锦旗殡仪馆（杭锦旗</w:t>
            </w:r>
            <w:r>
              <w:rPr>
                <w:rFonts w:hint="eastAsia"/>
                <w:color w:val="auto"/>
                <w:kern w:val="0"/>
                <w:sz w:val="24"/>
                <w:highlight w:val="none"/>
                <w:lang w:eastAsia="zh-CN"/>
              </w:rPr>
              <w:t>福寿</w:t>
            </w:r>
            <w:r>
              <w:rPr>
                <w:color w:val="auto"/>
                <w:kern w:val="0"/>
                <w:sz w:val="24"/>
                <w:highlight w:val="none"/>
              </w:rPr>
              <w:t>龙陵园）运营期间，于2017年购置</w:t>
            </w:r>
            <w:r>
              <w:rPr>
                <w:rFonts w:hint="eastAsia"/>
                <w:color w:val="auto"/>
                <w:kern w:val="0"/>
                <w:sz w:val="24"/>
                <w:highlight w:val="none"/>
                <w:lang w:eastAsia="zh-CN"/>
              </w:rPr>
              <w:t>火化机</w:t>
            </w:r>
            <w:r>
              <w:rPr>
                <w:color w:val="auto"/>
                <w:kern w:val="0"/>
                <w:sz w:val="24"/>
                <w:highlight w:val="none"/>
              </w:rPr>
              <w:t>2台</w:t>
            </w:r>
            <w:r>
              <w:rPr>
                <w:rFonts w:hint="eastAsia"/>
                <w:color w:val="auto"/>
                <w:kern w:val="0"/>
                <w:sz w:val="24"/>
                <w:highlight w:val="none"/>
                <w:lang w:eastAsia="zh-CN"/>
              </w:rPr>
              <w:t>。</w:t>
            </w:r>
          </w:p>
          <w:p w14:paraId="360B39FE">
            <w:pPr>
              <w:spacing w:line="360" w:lineRule="auto"/>
              <w:ind w:firstLine="480" w:firstLineChars="200"/>
              <w:rPr>
                <w:color w:val="auto"/>
                <w:kern w:val="0"/>
                <w:sz w:val="24"/>
                <w:highlight w:val="none"/>
              </w:rPr>
            </w:pPr>
            <w:r>
              <w:rPr>
                <w:bCs/>
                <w:color w:val="auto"/>
                <w:sz w:val="24"/>
                <w:highlight w:val="none"/>
              </w:rPr>
              <w:t>为完善杭锦旗城市发展及完善城市设施，需新建一处符合规范的骨灰堂</w:t>
            </w:r>
            <w:r>
              <w:rPr>
                <w:rFonts w:hint="eastAsia"/>
                <w:bCs/>
                <w:color w:val="auto"/>
                <w:sz w:val="24"/>
                <w:highlight w:val="none"/>
                <w:lang w:eastAsia="zh-CN"/>
              </w:rPr>
              <w:t>，</w:t>
            </w:r>
            <w:r>
              <w:rPr>
                <w:rFonts w:hint="eastAsia"/>
                <w:bCs/>
                <w:color w:val="auto"/>
                <w:sz w:val="24"/>
                <w:highlight w:val="none"/>
                <w:lang w:val="en-US" w:eastAsia="zh-CN"/>
              </w:rPr>
              <w:t>并购置</w:t>
            </w:r>
            <w:r>
              <w:rPr>
                <w:bCs/>
                <w:color w:val="auto"/>
                <w:sz w:val="24"/>
                <w:highlight w:val="none"/>
              </w:rPr>
              <w:t>焚烧炉1台</w:t>
            </w:r>
            <w:r>
              <w:rPr>
                <w:rFonts w:hint="eastAsia"/>
                <w:bCs/>
                <w:color w:val="auto"/>
                <w:sz w:val="24"/>
                <w:highlight w:val="none"/>
                <w:lang w:eastAsia="zh-CN"/>
              </w:rPr>
              <w:t>，</w:t>
            </w:r>
            <w:r>
              <w:rPr>
                <w:rFonts w:hint="eastAsia"/>
                <w:bCs/>
                <w:color w:val="auto"/>
                <w:sz w:val="24"/>
                <w:highlight w:val="none"/>
                <w:lang w:val="en-US" w:eastAsia="zh-CN"/>
              </w:rPr>
              <w:t>用于焚烧祭奠用品</w:t>
            </w:r>
            <w:r>
              <w:rPr>
                <w:color w:val="auto"/>
                <w:kern w:val="0"/>
                <w:sz w:val="24"/>
                <w:highlight w:val="none"/>
              </w:rPr>
              <w:t>。</w:t>
            </w:r>
          </w:p>
          <w:p w14:paraId="5BC5F9B1">
            <w:pPr>
              <w:spacing w:line="360" w:lineRule="auto"/>
              <w:ind w:firstLine="482" w:firstLineChars="200"/>
              <w:rPr>
                <w:b/>
                <w:bCs/>
                <w:color w:val="auto"/>
                <w:kern w:val="0"/>
                <w:sz w:val="24"/>
                <w:highlight w:val="none"/>
                <w:lang w:val="zh-CN"/>
              </w:rPr>
            </w:pPr>
            <w:r>
              <w:rPr>
                <w:rFonts w:hint="eastAsia"/>
                <w:b/>
                <w:bCs/>
                <w:color w:val="auto"/>
                <w:kern w:val="0"/>
                <w:sz w:val="24"/>
                <w:highlight w:val="none"/>
              </w:rPr>
              <w:t>2</w:t>
            </w:r>
            <w:r>
              <w:rPr>
                <w:b/>
                <w:bCs/>
                <w:color w:val="auto"/>
                <w:kern w:val="0"/>
                <w:sz w:val="24"/>
                <w:highlight w:val="none"/>
              </w:rPr>
              <w:t>.</w:t>
            </w:r>
            <w:r>
              <w:rPr>
                <w:b/>
                <w:bCs/>
                <w:color w:val="auto"/>
                <w:kern w:val="0"/>
                <w:sz w:val="24"/>
                <w:highlight w:val="none"/>
                <w:lang w:val="zh-CN"/>
              </w:rPr>
              <w:t>现有工程污染物排放情况</w:t>
            </w:r>
          </w:p>
          <w:p w14:paraId="17B940CA">
            <w:pPr>
              <w:spacing w:line="360" w:lineRule="auto"/>
              <w:ind w:firstLine="480" w:firstLineChars="200"/>
              <w:rPr>
                <w:rFonts w:hint="eastAsia"/>
                <w:color w:val="auto"/>
                <w:kern w:val="0"/>
                <w:sz w:val="24"/>
                <w:highlight w:val="none"/>
              </w:rPr>
            </w:pPr>
            <w:r>
              <w:rPr>
                <w:rFonts w:hint="eastAsia"/>
                <w:color w:val="auto"/>
                <w:kern w:val="0"/>
                <w:sz w:val="24"/>
                <w:highlight w:val="none"/>
              </w:rPr>
              <w:t>（1）废气：本项目设置两台</w:t>
            </w:r>
            <w:r>
              <w:rPr>
                <w:rFonts w:hint="eastAsia"/>
                <w:color w:val="auto"/>
                <w:kern w:val="0"/>
                <w:sz w:val="24"/>
                <w:highlight w:val="none"/>
                <w:lang w:eastAsia="zh-CN"/>
              </w:rPr>
              <w:t>火化机</w:t>
            </w:r>
            <w:r>
              <w:rPr>
                <w:rFonts w:hint="eastAsia"/>
                <w:color w:val="auto"/>
                <w:kern w:val="0"/>
                <w:sz w:val="24"/>
                <w:highlight w:val="none"/>
              </w:rPr>
              <w:t>，</w:t>
            </w:r>
            <w:r>
              <w:rPr>
                <w:rFonts w:hint="eastAsia"/>
                <w:color w:val="auto"/>
                <w:kern w:val="0"/>
                <w:sz w:val="24"/>
                <w:highlight w:val="none"/>
                <w:lang w:eastAsia="zh-CN"/>
              </w:rPr>
              <w:t>火化机</w:t>
            </w:r>
            <w:r>
              <w:rPr>
                <w:rFonts w:hint="eastAsia"/>
                <w:color w:val="auto"/>
                <w:kern w:val="0"/>
                <w:sz w:val="24"/>
                <w:highlight w:val="none"/>
              </w:rPr>
              <w:t>燃烧废气经1套</w:t>
            </w:r>
            <w:r>
              <w:rPr>
                <w:rFonts w:hint="eastAsia"/>
                <w:color w:val="auto"/>
                <w:kern w:val="0"/>
                <w:sz w:val="24"/>
                <w:highlight w:val="none"/>
                <w:lang w:eastAsia="zh-CN"/>
              </w:rPr>
              <w:t>“</w:t>
            </w:r>
            <w:r>
              <w:rPr>
                <w:rFonts w:hint="eastAsia"/>
                <w:color w:val="auto"/>
                <w:kern w:val="0"/>
                <w:sz w:val="24"/>
                <w:highlight w:val="none"/>
              </w:rPr>
              <w:t>烟气急冷系统+消石灰+</w:t>
            </w:r>
            <w:r>
              <w:rPr>
                <w:rFonts w:hint="eastAsia"/>
                <w:color w:val="auto"/>
                <w:kern w:val="0"/>
                <w:sz w:val="24"/>
                <w:highlight w:val="none"/>
                <w:lang w:eastAsia="zh-CN"/>
              </w:rPr>
              <w:t>旋风除尘器</w:t>
            </w:r>
            <w:r>
              <w:rPr>
                <w:rFonts w:hint="eastAsia"/>
                <w:color w:val="auto"/>
                <w:kern w:val="0"/>
                <w:sz w:val="24"/>
                <w:highlight w:val="none"/>
              </w:rPr>
              <w:t>+</w:t>
            </w:r>
            <w:r>
              <w:rPr>
                <w:rFonts w:hint="eastAsia"/>
                <w:color w:val="auto"/>
                <w:kern w:val="0"/>
                <w:sz w:val="24"/>
                <w:highlight w:val="none"/>
                <w:lang w:eastAsia="zh-CN"/>
              </w:rPr>
              <w:t>活性炭喷射装置+布袋除尘器”</w:t>
            </w:r>
            <w:r>
              <w:rPr>
                <w:rFonts w:hint="eastAsia"/>
                <w:color w:val="auto"/>
                <w:kern w:val="0"/>
                <w:sz w:val="24"/>
                <w:highlight w:val="none"/>
              </w:rPr>
              <w:t>处理后经12</w:t>
            </w:r>
            <w:r>
              <w:rPr>
                <w:rFonts w:hint="eastAsia"/>
                <w:color w:val="auto"/>
                <w:kern w:val="0"/>
                <w:sz w:val="24"/>
                <w:highlight w:val="none"/>
                <w:lang w:eastAsia="zh-CN"/>
              </w:rPr>
              <w:t>m</w:t>
            </w:r>
            <w:r>
              <w:rPr>
                <w:rFonts w:hint="eastAsia"/>
                <w:color w:val="auto"/>
                <w:kern w:val="0"/>
                <w:sz w:val="24"/>
                <w:highlight w:val="none"/>
              </w:rPr>
              <w:t>高排气筒排放。</w:t>
            </w:r>
          </w:p>
          <w:p w14:paraId="70E12F1C">
            <w:pPr>
              <w:spacing w:line="360" w:lineRule="auto"/>
              <w:ind w:firstLine="480" w:firstLineChars="200"/>
              <w:rPr>
                <w:color w:val="auto"/>
                <w:kern w:val="0"/>
                <w:sz w:val="24"/>
                <w:highlight w:val="none"/>
              </w:rPr>
            </w:pPr>
            <w:r>
              <w:rPr>
                <w:rFonts w:hint="eastAsia"/>
                <w:color w:val="auto"/>
                <w:kern w:val="0"/>
                <w:sz w:val="24"/>
                <w:highlight w:val="none"/>
              </w:rPr>
              <w:t>（2）废水：</w:t>
            </w:r>
            <w:r>
              <w:rPr>
                <w:color w:val="auto"/>
                <w:kern w:val="0"/>
                <w:sz w:val="24"/>
                <w:highlight w:val="none"/>
              </w:rPr>
              <w:t>生活污水、餐饮废水、遗体处置废水、解剖废水</w:t>
            </w:r>
            <w:r>
              <w:rPr>
                <w:rFonts w:hint="eastAsia"/>
                <w:color w:val="auto"/>
                <w:kern w:val="0"/>
                <w:sz w:val="24"/>
                <w:highlight w:val="none"/>
                <w:lang w:eastAsia="zh-CN"/>
              </w:rPr>
              <w:t>和</w:t>
            </w:r>
            <w:r>
              <w:rPr>
                <w:color w:val="auto"/>
                <w:kern w:val="0"/>
                <w:sz w:val="24"/>
                <w:highlight w:val="none"/>
              </w:rPr>
              <w:t>殡仪车辆清洗废水暂存于化粪池（20</w:t>
            </w:r>
            <w:r>
              <w:rPr>
                <w:rFonts w:hint="eastAsia"/>
                <w:color w:val="auto"/>
                <w:kern w:val="0"/>
                <w:sz w:val="24"/>
                <w:highlight w:val="none"/>
                <w:vertAlign w:val="baseline"/>
                <w:lang w:eastAsia="zh-CN"/>
              </w:rPr>
              <w:t>m</w:t>
            </w:r>
            <w:r>
              <w:rPr>
                <w:rFonts w:hint="eastAsia"/>
                <w:color w:val="auto"/>
                <w:kern w:val="0"/>
                <w:sz w:val="24"/>
                <w:highlight w:val="none"/>
                <w:vertAlign w:val="superscript"/>
                <w:lang w:eastAsia="zh-CN"/>
              </w:rPr>
              <w:t>3</w:t>
            </w:r>
            <w:r>
              <w:rPr>
                <w:color w:val="auto"/>
                <w:kern w:val="0"/>
                <w:sz w:val="24"/>
                <w:highlight w:val="none"/>
              </w:rPr>
              <w:t>）内，定期拉运至杭锦旗锡尼镇污水处理厂处理</w:t>
            </w:r>
            <w:r>
              <w:rPr>
                <w:rFonts w:hint="eastAsia"/>
                <w:color w:val="auto"/>
                <w:kern w:val="0"/>
                <w:sz w:val="24"/>
                <w:highlight w:val="none"/>
              </w:rPr>
              <w:t>。</w:t>
            </w:r>
          </w:p>
          <w:p w14:paraId="150F6B2F">
            <w:pPr>
              <w:spacing w:line="360" w:lineRule="auto"/>
              <w:ind w:firstLine="480" w:firstLineChars="200"/>
              <w:rPr>
                <w:color w:val="auto"/>
                <w:kern w:val="0"/>
                <w:sz w:val="24"/>
                <w:highlight w:val="none"/>
              </w:rPr>
            </w:pPr>
            <w:r>
              <w:rPr>
                <w:rFonts w:hint="eastAsia"/>
                <w:color w:val="auto"/>
                <w:kern w:val="0"/>
                <w:sz w:val="24"/>
                <w:highlight w:val="none"/>
              </w:rPr>
              <w:t>（3）噪声：主要为</w:t>
            </w:r>
            <w:r>
              <w:rPr>
                <w:color w:val="auto"/>
                <w:kern w:val="0"/>
                <w:sz w:val="24"/>
                <w:highlight w:val="none"/>
              </w:rPr>
              <w:t>火化机配套的引风机、鼓风机运行时产生的噪声</w:t>
            </w:r>
            <w:r>
              <w:rPr>
                <w:rFonts w:hint="eastAsia"/>
                <w:color w:val="auto"/>
                <w:kern w:val="0"/>
                <w:sz w:val="24"/>
                <w:highlight w:val="none"/>
              </w:rPr>
              <w:t>，</w:t>
            </w:r>
            <w:r>
              <w:rPr>
                <w:color w:val="auto"/>
                <w:kern w:val="0"/>
                <w:sz w:val="24"/>
                <w:highlight w:val="none"/>
              </w:rPr>
              <w:t>采用减振、消声、隔音等措施。</w:t>
            </w:r>
          </w:p>
          <w:p w14:paraId="58E4ACBA">
            <w:pPr>
              <w:spacing w:line="360" w:lineRule="auto"/>
              <w:ind w:firstLine="480" w:firstLineChars="200"/>
              <w:rPr>
                <w:color w:val="auto"/>
                <w:kern w:val="0"/>
                <w:sz w:val="24"/>
                <w:highlight w:val="none"/>
              </w:rPr>
            </w:pPr>
            <w:r>
              <w:rPr>
                <w:rFonts w:hint="eastAsia"/>
                <w:color w:val="auto"/>
                <w:kern w:val="0"/>
                <w:sz w:val="24"/>
                <w:highlight w:val="none"/>
              </w:rPr>
              <w:t>（4）固废：生活垃圾经厂内垃圾箱收集后交由当地环卫部门定期清运处理；除尘灰、除酸废渣集中收集</w:t>
            </w:r>
            <w:r>
              <w:rPr>
                <w:rFonts w:hint="eastAsia"/>
                <w:color w:val="auto"/>
                <w:kern w:val="0"/>
                <w:sz w:val="24"/>
                <w:highlight w:val="none"/>
                <w:lang w:eastAsia="zh-CN"/>
              </w:rPr>
              <w:t>并</w:t>
            </w:r>
            <w:r>
              <w:rPr>
                <w:rFonts w:hint="eastAsia"/>
                <w:color w:val="auto"/>
                <w:kern w:val="0"/>
                <w:sz w:val="24"/>
                <w:highlight w:val="none"/>
              </w:rPr>
              <w:t>袋装暂存至遗物</w:t>
            </w:r>
            <w:r>
              <w:rPr>
                <w:rFonts w:hint="eastAsia"/>
                <w:color w:val="auto"/>
                <w:kern w:val="0"/>
                <w:sz w:val="24"/>
                <w:highlight w:val="none"/>
                <w:lang w:eastAsia="zh-CN"/>
              </w:rPr>
              <w:t>和</w:t>
            </w:r>
            <w:r>
              <w:rPr>
                <w:rFonts w:hint="eastAsia"/>
                <w:color w:val="auto"/>
                <w:kern w:val="0"/>
                <w:sz w:val="24"/>
                <w:highlight w:val="none"/>
              </w:rPr>
              <w:t>祭品焚烧车间，定期送至锡尼镇垃圾填埋场填埋；尾气装置购置于2025年，暂未产生废布袋。</w:t>
            </w:r>
          </w:p>
          <w:p w14:paraId="4270CD6F">
            <w:pPr>
              <w:spacing w:line="360" w:lineRule="auto"/>
              <w:ind w:firstLine="480" w:firstLineChars="200"/>
              <w:rPr>
                <w:color w:val="auto"/>
                <w:kern w:val="0"/>
                <w:sz w:val="24"/>
                <w:highlight w:val="none"/>
              </w:rPr>
            </w:pPr>
            <w:r>
              <w:rPr>
                <w:rFonts w:hint="eastAsia"/>
                <w:color w:val="auto"/>
                <w:kern w:val="0"/>
                <w:sz w:val="24"/>
                <w:highlight w:val="none"/>
              </w:rPr>
              <w:t>杭锦旗殡仪馆运行期间未进行定期污染物监测，无法判断现有工程污染物排放是否达标。</w:t>
            </w:r>
            <w:r>
              <w:rPr>
                <w:color w:val="auto"/>
                <w:kern w:val="0"/>
                <w:sz w:val="24"/>
                <w:highlight w:val="none"/>
              </w:rPr>
              <w:t>根据现场调查，未发现环境遗留问题，未收到环境污染投诉。</w:t>
            </w:r>
          </w:p>
          <w:p w14:paraId="32F6BC84">
            <w:pPr>
              <w:spacing w:line="360" w:lineRule="auto"/>
              <w:ind w:firstLine="482" w:firstLineChars="200"/>
              <w:rPr>
                <w:b/>
                <w:bCs/>
                <w:color w:val="auto"/>
                <w:kern w:val="0"/>
                <w:sz w:val="24"/>
                <w:highlight w:val="none"/>
              </w:rPr>
            </w:pPr>
            <w:r>
              <w:rPr>
                <w:rFonts w:hint="eastAsia"/>
                <w:b/>
                <w:bCs/>
                <w:color w:val="auto"/>
                <w:kern w:val="0"/>
                <w:sz w:val="24"/>
                <w:highlight w:val="none"/>
              </w:rPr>
              <w:t>3</w:t>
            </w:r>
            <w:r>
              <w:rPr>
                <w:b/>
                <w:bCs/>
                <w:color w:val="auto"/>
                <w:kern w:val="0"/>
                <w:sz w:val="24"/>
                <w:highlight w:val="none"/>
              </w:rPr>
              <w:t>.现有工程存在主要环境问题及整改措施</w:t>
            </w:r>
          </w:p>
          <w:p w14:paraId="3E8696B1">
            <w:pPr>
              <w:spacing w:line="360" w:lineRule="auto"/>
              <w:ind w:firstLine="480" w:firstLineChars="200"/>
              <w:rPr>
                <w:color w:val="auto"/>
                <w:kern w:val="0"/>
                <w:sz w:val="24"/>
                <w:highlight w:val="none"/>
              </w:rPr>
            </w:pPr>
            <w:r>
              <w:rPr>
                <w:rFonts w:hint="eastAsia"/>
                <w:color w:val="auto"/>
                <w:kern w:val="0"/>
                <w:sz w:val="24"/>
                <w:highlight w:val="none"/>
              </w:rPr>
              <w:t>现有工程未建设危废暂存库，未设置环境监测计划。本次环评要求建设单位建设危废暂存库，用于暂存除尘灰</w:t>
            </w:r>
            <w:r>
              <w:rPr>
                <w:rFonts w:hint="eastAsia"/>
                <w:color w:val="auto"/>
                <w:kern w:val="0"/>
                <w:sz w:val="24"/>
                <w:highlight w:val="none"/>
                <w:lang w:eastAsia="zh-CN"/>
              </w:rPr>
              <w:t>（</w:t>
            </w:r>
            <w:r>
              <w:rPr>
                <w:rFonts w:hint="eastAsia"/>
                <w:color w:val="auto"/>
                <w:kern w:val="0"/>
                <w:sz w:val="24"/>
                <w:highlight w:val="none"/>
                <w:lang w:val="en-US" w:eastAsia="zh-CN"/>
              </w:rPr>
              <w:t>含废活性炭</w:t>
            </w:r>
            <w:r>
              <w:rPr>
                <w:rFonts w:hint="eastAsia"/>
                <w:color w:val="auto"/>
                <w:kern w:val="0"/>
                <w:sz w:val="24"/>
                <w:highlight w:val="none"/>
                <w:lang w:eastAsia="zh-CN"/>
              </w:rPr>
              <w:t>）</w:t>
            </w:r>
            <w:r>
              <w:rPr>
                <w:rFonts w:hint="eastAsia"/>
                <w:color w:val="auto"/>
                <w:kern w:val="0"/>
                <w:sz w:val="24"/>
                <w:highlight w:val="none"/>
              </w:rPr>
              <w:t>、除酸废渣、废布袋</w:t>
            </w:r>
            <w:r>
              <w:rPr>
                <w:rFonts w:hint="eastAsia"/>
                <w:color w:val="auto"/>
                <w:kern w:val="0"/>
                <w:sz w:val="24"/>
                <w:highlight w:val="none"/>
                <w:lang w:eastAsia="zh-CN"/>
              </w:rPr>
              <w:t>、</w:t>
            </w:r>
            <w:r>
              <w:rPr>
                <w:rFonts w:hint="eastAsia"/>
                <w:color w:val="auto"/>
                <w:kern w:val="0"/>
                <w:sz w:val="24"/>
                <w:highlight w:val="none"/>
                <w:lang w:val="en-US" w:eastAsia="zh-CN"/>
              </w:rPr>
              <w:t>废矿物油、废油桶</w:t>
            </w:r>
            <w:r>
              <w:rPr>
                <w:rFonts w:hint="eastAsia"/>
                <w:color w:val="auto"/>
                <w:kern w:val="0"/>
                <w:sz w:val="24"/>
                <w:highlight w:val="none"/>
              </w:rPr>
              <w:t>等，并设置定期环境监测计划。</w:t>
            </w:r>
          </w:p>
        </w:tc>
      </w:tr>
    </w:tbl>
    <w:p w14:paraId="32DA696F">
      <w:pPr>
        <w:pStyle w:val="16"/>
        <w:jc w:val="center"/>
        <w:rPr>
          <w:rFonts w:ascii="Times New Roman" w:hAnsi="Times New Roman" w:eastAsia="黑体"/>
          <w:snapToGrid w:val="0"/>
          <w:color w:val="auto"/>
          <w:sz w:val="36"/>
          <w:szCs w:val="36"/>
          <w:highlight w:val="none"/>
        </w:rPr>
        <w:sectPr>
          <w:pgSz w:w="11906" w:h="16838"/>
          <w:pgMar w:top="1701" w:right="1531" w:bottom="1701" w:left="1531" w:header="851" w:footer="851" w:gutter="0"/>
          <w:cols w:space="720" w:num="1"/>
          <w:docGrid w:linePitch="312" w:charSpace="0"/>
        </w:sectPr>
      </w:pPr>
    </w:p>
    <w:p w14:paraId="484A923C">
      <w:pPr>
        <w:pStyle w:val="16"/>
        <w:jc w:val="center"/>
        <w:outlineLvl w:val="0"/>
        <w:rPr>
          <w:rFonts w:ascii="Times New Roman" w:hAnsi="Times New Roman" w:eastAsia="黑体"/>
          <w:snapToGrid w:val="0"/>
          <w:color w:val="auto"/>
          <w:sz w:val="30"/>
          <w:szCs w:val="30"/>
          <w:highlight w:val="none"/>
        </w:rPr>
      </w:pPr>
      <w:r>
        <w:rPr>
          <w:rFonts w:ascii="Times New Roman" w:hAnsi="Times New Roman" w:eastAsia="黑体"/>
          <w:snapToGrid w:val="0"/>
          <w:color w:val="auto"/>
          <w:sz w:val="30"/>
          <w:szCs w:val="30"/>
          <w:highlight w:val="none"/>
        </w:rPr>
        <w:t>三、区域环境质量现状、环境保护目标及评价标准</w:t>
      </w:r>
    </w:p>
    <w:tbl>
      <w:tblPr>
        <w:tblStyle w:val="2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4"/>
        <w:gridCol w:w="8527"/>
      </w:tblGrid>
      <w:tr w14:paraId="590F6F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35" w:hRule="atLeast"/>
          <w:jc w:val="center"/>
        </w:trPr>
        <w:tc>
          <w:tcPr>
            <w:tcW w:w="534" w:type="dxa"/>
            <w:vAlign w:val="center"/>
          </w:tcPr>
          <w:p w14:paraId="3BAA5F9A">
            <w:pPr>
              <w:adjustRightInd w:val="0"/>
              <w:snapToGrid w:val="0"/>
              <w:jc w:val="center"/>
              <w:rPr>
                <w:b/>
                <w:bCs/>
                <w:color w:val="auto"/>
                <w:kern w:val="0"/>
                <w:sz w:val="24"/>
                <w:highlight w:val="none"/>
              </w:rPr>
            </w:pPr>
            <w:r>
              <w:rPr>
                <w:b/>
                <w:bCs/>
                <w:color w:val="auto"/>
                <w:kern w:val="0"/>
                <w:sz w:val="24"/>
                <w:highlight w:val="none"/>
              </w:rPr>
              <w:t>区域</w:t>
            </w:r>
          </w:p>
          <w:p w14:paraId="672A76BC">
            <w:pPr>
              <w:adjustRightInd w:val="0"/>
              <w:snapToGrid w:val="0"/>
              <w:jc w:val="center"/>
              <w:rPr>
                <w:b/>
                <w:bCs/>
                <w:color w:val="auto"/>
                <w:kern w:val="0"/>
                <w:sz w:val="24"/>
                <w:highlight w:val="none"/>
              </w:rPr>
            </w:pPr>
            <w:r>
              <w:rPr>
                <w:b/>
                <w:bCs/>
                <w:color w:val="auto"/>
                <w:kern w:val="0"/>
                <w:sz w:val="24"/>
                <w:highlight w:val="none"/>
              </w:rPr>
              <w:t>环境</w:t>
            </w:r>
          </w:p>
          <w:p w14:paraId="05CC2ECB">
            <w:pPr>
              <w:adjustRightInd w:val="0"/>
              <w:snapToGrid w:val="0"/>
              <w:jc w:val="center"/>
              <w:rPr>
                <w:b/>
                <w:bCs/>
                <w:color w:val="auto"/>
                <w:kern w:val="0"/>
                <w:sz w:val="24"/>
                <w:highlight w:val="none"/>
              </w:rPr>
            </w:pPr>
            <w:r>
              <w:rPr>
                <w:b/>
                <w:bCs/>
                <w:color w:val="auto"/>
                <w:kern w:val="0"/>
                <w:sz w:val="24"/>
                <w:highlight w:val="none"/>
              </w:rPr>
              <w:t>质量</w:t>
            </w:r>
          </w:p>
          <w:p w14:paraId="65503865">
            <w:pPr>
              <w:adjustRightInd w:val="0"/>
              <w:snapToGrid w:val="0"/>
              <w:jc w:val="center"/>
              <w:rPr>
                <w:b/>
                <w:bCs/>
                <w:color w:val="auto"/>
                <w:kern w:val="0"/>
                <w:sz w:val="24"/>
                <w:highlight w:val="none"/>
              </w:rPr>
            </w:pPr>
            <w:r>
              <w:rPr>
                <w:b/>
                <w:bCs/>
                <w:color w:val="auto"/>
                <w:kern w:val="0"/>
                <w:sz w:val="24"/>
                <w:highlight w:val="none"/>
              </w:rPr>
              <w:t>现状</w:t>
            </w:r>
          </w:p>
        </w:tc>
        <w:tc>
          <w:tcPr>
            <w:tcW w:w="8527" w:type="dxa"/>
            <w:vAlign w:val="center"/>
          </w:tcPr>
          <w:p w14:paraId="53D37819">
            <w:pPr>
              <w:autoSpaceDE w:val="0"/>
              <w:autoSpaceDN w:val="0"/>
              <w:spacing w:line="360" w:lineRule="auto"/>
              <w:ind w:firstLine="482" w:firstLineChars="200"/>
              <w:jc w:val="left"/>
              <w:rPr>
                <w:b/>
                <w:color w:val="auto"/>
                <w:kern w:val="0"/>
                <w:sz w:val="24"/>
                <w:highlight w:val="none"/>
              </w:rPr>
            </w:pPr>
            <w:r>
              <w:rPr>
                <w:b/>
                <w:color w:val="auto"/>
                <w:kern w:val="0"/>
                <w:sz w:val="24"/>
                <w:highlight w:val="none"/>
              </w:rPr>
              <w:t>1.环境空气质量现状监测与评价</w:t>
            </w:r>
          </w:p>
          <w:p w14:paraId="3BB0998C">
            <w:pPr>
              <w:spacing w:line="360" w:lineRule="auto"/>
              <w:ind w:firstLine="480" w:firstLineChars="200"/>
              <w:rPr>
                <w:color w:val="auto"/>
                <w:kern w:val="0"/>
                <w:sz w:val="24"/>
                <w:highlight w:val="none"/>
              </w:rPr>
            </w:pPr>
            <w:r>
              <w:rPr>
                <w:color w:val="auto"/>
                <w:kern w:val="0"/>
                <w:sz w:val="24"/>
                <w:highlight w:val="none"/>
              </w:rPr>
              <w:t>1.1达标区判断及基本污染物环境空气质量</w:t>
            </w:r>
          </w:p>
          <w:p w14:paraId="59F47FE4">
            <w:pPr>
              <w:widowControl/>
              <w:spacing w:line="360" w:lineRule="auto"/>
              <w:ind w:firstLine="480" w:firstLineChars="200"/>
              <w:jc w:val="left"/>
              <w:rPr>
                <w:color w:val="auto"/>
                <w:highlight w:val="none"/>
              </w:rPr>
            </w:pPr>
            <w:r>
              <w:rPr>
                <w:bCs/>
                <w:color w:val="auto"/>
                <w:kern w:val="0"/>
                <w:sz w:val="24"/>
                <w:highlight w:val="none"/>
              </w:rPr>
              <w:t>2025年6月，内蒙古自治区生态环境厅发布《2024年内蒙古自治区生态环境状况公报》，报告指出</w:t>
            </w:r>
            <w:r>
              <w:rPr>
                <w:rFonts w:hint="eastAsia"/>
                <w:bCs/>
                <w:color w:val="auto"/>
                <w:kern w:val="0"/>
                <w:sz w:val="24"/>
                <w:highlight w:val="none"/>
                <w:lang w:eastAsia="zh-CN"/>
              </w:rPr>
              <w:t>“</w:t>
            </w:r>
            <w:r>
              <w:rPr>
                <w:bCs/>
                <w:color w:val="auto"/>
                <w:kern w:val="0"/>
                <w:sz w:val="24"/>
                <w:highlight w:val="none"/>
              </w:rPr>
              <w:t>2024年，全区环境空气六项污染物年均浓度均达标</w:t>
            </w:r>
            <w:r>
              <w:rPr>
                <w:rFonts w:hint="eastAsia"/>
                <w:bCs/>
                <w:color w:val="auto"/>
                <w:kern w:val="0"/>
                <w:sz w:val="24"/>
                <w:highlight w:val="none"/>
                <w:lang w:eastAsia="zh-CN"/>
              </w:rPr>
              <w:t>”</w:t>
            </w:r>
            <w:r>
              <w:rPr>
                <w:bCs/>
                <w:color w:val="auto"/>
                <w:kern w:val="0"/>
                <w:sz w:val="24"/>
                <w:highlight w:val="none"/>
              </w:rPr>
              <w:t>。故项目所在区域为达标区域。</w:t>
            </w:r>
          </w:p>
          <w:p w14:paraId="25B903CD">
            <w:pPr>
              <w:adjustRightInd w:val="0"/>
              <w:snapToGrid w:val="0"/>
              <w:spacing w:line="360" w:lineRule="auto"/>
              <w:ind w:firstLine="480" w:firstLineChars="200"/>
              <w:jc w:val="left"/>
              <w:rPr>
                <w:bCs/>
                <w:color w:val="auto"/>
                <w:sz w:val="24"/>
                <w:highlight w:val="none"/>
              </w:rPr>
            </w:pPr>
            <w:r>
              <w:rPr>
                <w:bCs/>
                <w:color w:val="auto"/>
                <w:sz w:val="24"/>
                <w:highlight w:val="none"/>
              </w:rPr>
              <w:t>1.2环境空气质量现状补充监测</w:t>
            </w:r>
          </w:p>
          <w:p w14:paraId="0AF12496">
            <w:pPr>
              <w:adjustRightInd w:val="0"/>
              <w:snapToGrid w:val="0"/>
              <w:spacing w:line="360" w:lineRule="auto"/>
              <w:ind w:firstLine="482"/>
              <w:rPr>
                <w:color w:val="auto"/>
                <w:sz w:val="24"/>
                <w:highlight w:val="none"/>
              </w:rPr>
            </w:pPr>
            <w:r>
              <w:rPr>
                <w:color w:val="auto"/>
                <w:sz w:val="24"/>
                <w:highlight w:val="none"/>
              </w:rPr>
              <w:t>（1）监测布点</w:t>
            </w:r>
          </w:p>
          <w:p w14:paraId="033A6FA3">
            <w:pPr>
              <w:adjustRightInd w:val="0"/>
              <w:snapToGrid w:val="0"/>
              <w:spacing w:line="360" w:lineRule="auto"/>
              <w:ind w:firstLine="482"/>
              <w:rPr>
                <w:color w:val="auto"/>
                <w:sz w:val="24"/>
                <w:highlight w:val="none"/>
              </w:rPr>
            </w:pPr>
            <w:r>
              <w:rPr>
                <w:color w:val="auto"/>
                <w:sz w:val="24"/>
                <w:highlight w:val="none"/>
              </w:rPr>
              <w:t>根据《环境影响评价技术导则 大气环境》（HJ2.2-2018）和《建设项目环境影响报告表编制技术指南（污染影响类）（试行）》的要求，结合厂址所在区域的地形特点以及当地气象特征，本次评价共设置1个大气环境质量现状补充监测点。内蒙古泽铭技术检测有限公司于2025年5月25日至2025年5月27日连续3天在项目厂区对氨、硫化氢、臭气浓度、总悬浮颗粒物、氯化氢、汞、二噁英类进行采样。</w:t>
            </w:r>
          </w:p>
          <w:p w14:paraId="7DF8EA80">
            <w:pPr>
              <w:adjustRightInd w:val="0"/>
              <w:snapToGrid w:val="0"/>
              <w:spacing w:line="360" w:lineRule="auto"/>
              <w:ind w:firstLine="482"/>
              <w:rPr>
                <w:color w:val="auto"/>
                <w:sz w:val="24"/>
                <w:highlight w:val="none"/>
              </w:rPr>
            </w:pPr>
            <w:r>
              <w:rPr>
                <w:color w:val="auto"/>
                <w:sz w:val="24"/>
                <w:highlight w:val="none"/>
              </w:rPr>
              <w:t>（2）环境空气质量现状评价结果</w:t>
            </w:r>
          </w:p>
          <w:p w14:paraId="262C8C69">
            <w:pPr>
              <w:adjustRightInd w:val="0"/>
              <w:snapToGrid w:val="0"/>
              <w:spacing w:line="360" w:lineRule="auto"/>
              <w:ind w:firstLine="480" w:firstLineChars="200"/>
              <w:rPr>
                <w:color w:val="auto"/>
                <w:sz w:val="24"/>
                <w:highlight w:val="none"/>
              </w:rPr>
            </w:pPr>
            <w:r>
              <w:rPr>
                <w:color w:val="auto"/>
                <w:sz w:val="24"/>
                <w:highlight w:val="none"/>
              </w:rPr>
              <w:t>监测期间，监测点TSP日均浓度监测数据统计分析结果见表3-1。</w:t>
            </w:r>
          </w:p>
          <w:p w14:paraId="1637DE90">
            <w:pPr>
              <w:pStyle w:val="29"/>
              <w:rPr>
                <w:color w:val="auto"/>
                <w:highlight w:val="none"/>
              </w:rPr>
            </w:pPr>
            <w:r>
              <w:rPr>
                <w:color w:val="auto"/>
                <w:highlight w:val="none"/>
              </w:rPr>
              <w:t>表3-1 环境空气质量现状评价表</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1"/>
              <w:gridCol w:w="1836"/>
              <w:gridCol w:w="2359"/>
              <w:gridCol w:w="1352"/>
              <w:gridCol w:w="1462"/>
            </w:tblGrid>
            <w:tr w14:paraId="69CB0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6" w:type="dxa"/>
                  <w:vMerge w:val="restart"/>
                  <w:tcBorders>
                    <w:tl2br w:val="nil"/>
                    <w:tr2bl w:val="nil"/>
                  </w:tcBorders>
                  <w:vAlign w:val="center"/>
                </w:tcPr>
                <w:p w14:paraId="6B689F61">
                  <w:pPr>
                    <w:widowControl/>
                    <w:adjustRightInd w:val="0"/>
                    <w:snapToGrid w:val="0"/>
                    <w:jc w:val="center"/>
                    <w:textAlignment w:val="center"/>
                    <w:rPr>
                      <w:b/>
                      <w:bCs/>
                      <w:color w:val="auto"/>
                      <w:position w:val="-10"/>
                      <w:szCs w:val="21"/>
                      <w:highlight w:val="none"/>
                    </w:rPr>
                  </w:pPr>
                  <w:r>
                    <w:rPr>
                      <w:b/>
                      <w:bCs/>
                      <w:color w:val="auto"/>
                      <w:position w:val="-10"/>
                      <w:szCs w:val="21"/>
                      <w:highlight w:val="none"/>
                    </w:rPr>
                    <w:t>采样日期</w:t>
                  </w:r>
                </w:p>
              </w:tc>
              <w:tc>
                <w:tcPr>
                  <w:tcW w:w="1656" w:type="dxa"/>
                  <w:vMerge w:val="restart"/>
                  <w:tcBorders>
                    <w:tl2br w:val="nil"/>
                    <w:tr2bl w:val="nil"/>
                  </w:tcBorders>
                  <w:vAlign w:val="center"/>
                </w:tcPr>
                <w:p w14:paraId="52C79021">
                  <w:pPr>
                    <w:widowControl/>
                    <w:adjustRightInd w:val="0"/>
                    <w:snapToGrid w:val="0"/>
                    <w:jc w:val="center"/>
                    <w:textAlignment w:val="center"/>
                    <w:rPr>
                      <w:b/>
                      <w:bCs/>
                      <w:color w:val="auto"/>
                      <w:position w:val="-10"/>
                      <w:szCs w:val="21"/>
                      <w:highlight w:val="none"/>
                    </w:rPr>
                  </w:pPr>
                  <w:r>
                    <w:rPr>
                      <w:b/>
                      <w:bCs/>
                      <w:color w:val="auto"/>
                      <w:position w:val="-10"/>
                      <w:szCs w:val="21"/>
                      <w:highlight w:val="none"/>
                    </w:rPr>
                    <w:t>检测项目</w:t>
                  </w:r>
                </w:p>
              </w:tc>
              <w:tc>
                <w:tcPr>
                  <w:tcW w:w="2129" w:type="dxa"/>
                  <w:tcBorders>
                    <w:tl2br w:val="nil"/>
                    <w:tr2bl w:val="nil"/>
                  </w:tcBorders>
                  <w:vAlign w:val="center"/>
                </w:tcPr>
                <w:p w14:paraId="0160C66E">
                  <w:pPr>
                    <w:widowControl/>
                    <w:adjustRightInd w:val="0"/>
                    <w:snapToGrid w:val="0"/>
                    <w:jc w:val="center"/>
                    <w:textAlignment w:val="center"/>
                    <w:rPr>
                      <w:b/>
                      <w:bCs/>
                      <w:color w:val="auto"/>
                      <w:position w:val="-10"/>
                      <w:szCs w:val="21"/>
                      <w:highlight w:val="none"/>
                    </w:rPr>
                  </w:pPr>
                  <w:r>
                    <w:rPr>
                      <w:b/>
                      <w:bCs/>
                      <w:color w:val="auto"/>
                      <w:position w:val="-10"/>
                      <w:szCs w:val="21"/>
                      <w:highlight w:val="none"/>
                    </w:rPr>
                    <w:t>分析结果</w:t>
                  </w:r>
                </w:p>
              </w:tc>
              <w:tc>
                <w:tcPr>
                  <w:tcW w:w="1220" w:type="dxa"/>
                  <w:vMerge w:val="restart"/>
                  <w:tcBorders>
                    <w:tl2br w:val="nil"/>
                    <w:tr2bl w:val="nil"/>
                  </w:tcBorders>
                  <w:vAlign w:val="center"/>
                </w:tcPr>
                <w:p w14:paraId="5A3B94F5">
                  <w:pPr>
                    <w:widowControl/>
                    <w:adjustRightInd w:val="0"/>
                    <w:snapToGrid w:val="0"/>
                    <w:jc w:val="center"/>
                    <w:textAlignment w:val="center"/>
                    <w:rPr>
                      <w:b/>
                      <w:bCs/>
                      <w:color w:val="auto"/>
                      <w:position w:val="-10"/>
                      <w:szCs w:val="21"/>
                      <w:highlight w:val="none"/>
                    </w:rPr>
                  </w:pPr>
                  <w:r>
                    <w:rPr>
                      <w:b/>
                      <w:bCs/>
                      <w:color w:val="auto"/>
                      <w:position w:val="-10"/>
                      <w:szCs w:val="21"/>
                      <w:highlight w:val="none"/>
                    </w:rPr>
                    <w:t>限值</w:t>
                  </w:r>
                </w:p>
              </w:tc>
              <w:tc>
                <w:tcPr>
                  <w:tcW w:w="1319" w:type="dxa"/>
                  <w:vMerge w:val="restart"/>
                  <w:tcBorders>
                    <w:tl2br w:val="nil"/>
                    <w:tr2bl w:val="nil"/>
                  </w:tcBorders>
                  <w:vAlign w:val="center"/>
                </w:tcPr>
                <w:p w14:paraId="2D240FFF">
                  <w:pPr>
                    <w:widowControl/>
                    <w:adjustRightInd w:val="0"/>
                    <w:snapToGrid w:val="0"/>
                    <w:jc w:val="center"/>
                    <w:textAlignment w:val="center"/>
                    <w:rPr>
                      <w:b/>
                      <w:bCs/>
                      <w:color w:val="auto"/>
                      <w:position w:val="-10"/>
                      <w:szCs w:val="21"/>
                      <w:highlight w:val="none"/>
                    </w:rPr>
                  </w:pPr>
                  <w:r>
                    <w:rPr>
                      <w:b/>
                      <w:bCs/>
                      <w:color w:val="auto"/>
                      <w:position w:val="-10"/>
                      <w:szCs w:val="21"/>
                      <w:highlight w:val="none"/>
                    </w:rPr>
                    <w:t>单位</w:t>
                  </w:r>
                </w:p>
              </w:tc>
            </w:tr>
            <w:tr w14:paraId="485F7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6" w:type="dxa"/>
                  <w:vMerge w:val="continue"/>
                  <w:tcBorders>
                    <w:tl2br w:val="nil"/>
                    <w:tr2bl w:val="nil"/>
                  </w:tcBorders>
                  <w:vAlign w:val="center"/>
                </w:tcPr>
                <w:p w14:paraId="32C3757F">
                  <w:pPr>
                    <w:widowControl/>
                    <w:adjustRightInd w:val="0"/>
                    <w:snapToGrid w:val="0"/>
                    <w:jc w:val="center"/>
                    <w:textAlignment w:val="center"/>
                    <w:rPr>
                      <w:color w:val="auto"/>
                      <w:position w:val="-10"/>
                      <w:szCs w:val="21"/>
                      <w:highlight w:val="none"/>
                    </w:rPr>
                  </w:pPr>
                </w:p>
              </w:tc>
              <w:tc>
                <w:tcPr>
                  <w:tcW w:w="1656" w:type="dxa"/>
                  <w:vMerge w:val="continue"/>
                  <w:tcBorders>
                    <w:tl2br w:val="nil"/>
                    <w:tr2bl w:val="nil"/>
                  </w:tcBorders>
                  <w:vAlign w:val="center"/>
                </w:tcPr>
                <w:p w14:paraId="2FEC4609">
                  <w:pPr>
                    <w:widowControl/>
                    <w:adjustRightInd w:val="0"/>
                    <w:snapToGrid w:val="0"/>
                    <w:jc w:val="center"/>
                    <w:textAlignment w:val="center"/>
                    <w:rPr>
                      <w:color w:val="auto"/>
                      <w:position w:val="-10"/>
                      <w:szCs w:val="21"/>
                      <w:highlight w:val="none"/>
                    </w:rPr>
                  </w:pPr>
                </w:p>
              </w:tc>
              <w:tc>
                <w:tcPr>
                  <w:tcW w:w="2129" w:type="dxa"/>
                  <w:tcBorders>
                    <w:tl2br w:val="nil"/>
                    <w:tr2bl w:val="nil"/>
                  </w:tcBorders>
                  <w:vAlign w:val="center"/>
                </w:tcPr>
                <w:p w14:paraId="1E39FFB7">
                  <w:pPr>
                    <w:widowControl/>
                    <w:adjustRightInd w:val="0"/>
                    <w:snapToGrid w:val="0"/>
                    <w:jc w:val="center"/>
                    <w:textAlignment w:val="center"/>
                    <w:rPr>
                      <w:b/>
                      <w:bCs/>
                      <w:color w:val="auto"/>
                      <w:position w:val="-10"/>
                      <w:szCs w:val="21"/>
                      <w:highlight w:val="none"/>
                    </w:rPr>
                  </w:pPr>
                  <w:r>
                    <w:rPr>
                      <w:b/>
                      <w:bCs/>
                      <w:color w:val="auto"/>
                      <w:highlight w:val="none"/>
                    </w:rPr>
                    <w:t>1#厂区办公区下风向</w:t>
                  </w:r>
                </w:p>
              </w:tc>
              <w:tc>
                <w:tcPr>
                  <w:tcW w:w="1220" w:type="dxa"/>
                  <w:vMerge w:val="continue"/>
                  <w:tcBorders>
                    <w:tl2br w:val="nil"/>
                    <w:tr2bl w:val="nil"/>
                  </w:tcBorders>
                  <w:vAlign w:val="center"/>
                </w:tcPr>
                <w:p w14:paraId="3442501F">
                  <w:pPr>
                    <w:widowControl/>
                    <w:adjustRightInd w:val="0"/>
                    <w:snapToGrid w:val="0"/>
                    <w:jc w:val="center"/>
                    <w:textAlignment w:val="center"/>
                    <w:rPr>
                      <w:color w:val="auto"/>
                      <w:position w:val="-10"/>
                      <w:szCs w:val="21"/>
                      <w:highlight w:val="none"/>
                    </w:rPr>
                  </w:pPr>
                </w:p>
              </w:tc>
              <w:tc>
                <w:tcPr>
                  <w:tcW w:w="1319" w:type="dxa"/>
                  <w:vMerge w:val="continue"/>
                  <w:tcBorders>
                    <w:tl2br w:val="nil"/>
                    <w:tr2bl w:val="nil"/>
                  </w:tcBorders>
                  <w:vAlign w:val="center"/>
                </w:tcPr>
                <w:p w14:paraId="35B34CC2">
                  <w:pPr>
                    <w:widowControl/>
                    <w:adjustRightInd w:val="0"/>
                    <w:snapToGrid w:val="0"/>
                    <w:jc w:val="center"/>
                    <w:textAlignment w:val="center"/>
                    <w:rPr>
                      <w:color w:val="auto"/>
                      <w:position w:val="-10"/>
                      <w:szCs w:val="21"/>
                      <w:highlight w:val="none"/>
                    </w:rPr>
                  </w:pPr>
                </w:p>
              </w:tc>
            </w:tr>
            <w:tr w14:paraId="2045D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6" w:type="dxa"/>
                  <w:vMerge w:val="restart"/>
                  <w:tcBorders>
                    <w:tl2br w:val="nil"/>
                    <w:tr2bl w:val="nil"/>
                  </w:tcBorders>
                  <w:vAlign w:val="center"/>
                </w:tcPr>
                <w:p w14:paraId="34553870">
                  <w:pPr>
                    <w:widowControl/>
                    <w:adjustRightInd w:val="0"/>
                    <w:snapToGrid w:val="0"/>
                    <w:jc w:val="center"/>
                    <w:textAlignment w:val="center"/>
                    <w:rPr>
                      <w:bCs/>
                      <w:color w:val="auto"/>
                      <w:szCs w:val="21"/>
                      <w:highlight w:val="none"/>
                    </w:rPr>
                  </w:pPr>
                  <w:r>
                    <w:rPr>
                      <w:color w:val="auto"/>
                      <w:kern w:val="0"/>
                      <w:szCs w:val="21"/>
                      <w:highlight w:val="none"/>
                    </w:rPr>
                    <w:t>2025.05.25</w:t>
                  </w:r>
                </w:p>
              </w:tc>
              <w:tc>
                <w:tcPr>
                  <w:tcW w:w="1656" w:type="dxa"/>
                  <w:tcBorders>
                    <w:tl2br w:val="nil"/>
                    <w:tr2bl w:val="nil"/>
                  </w:tcBorders>
                  <w:vAlign w:val="center"/>
                </w:tcPr>
                <w:p w14:paraId="2CCDD3B4">
                  <w:pPr>
                    <w:adjustRightInd w:val="0"/>
                    <w:snapToGrid w:val="0"/>
                    <w:jc w:val="center"/>
                    <w:rPr>
                      <w:snapToGrid w:val="0"/>
                      <w:color w:val="auto"/>
                      <w:kern w:val="0"/>
                      <w:highlight w:val="none"/>
                    </w:rPr>
                  </w:pPr>
                  <w:r>
                    <w:rPr>
                      <w:color w:val="auto"/>
                      <w:szCs w:val="22"/>
                      <w:highlight w:val="none"/>
                    </w:rPr>
                    <w:t>臭气浓度</w:t>
                  </w:r>
                </w:p>
              </w:tc>
              <w:tc>
                <w:tcPr>
                  <w:tcW w:w="2129" w:type="dxa"/>
                  <w:tcBorders>
                    <w:tl2br w:val="nil"/>
                    <w:tr2bl w:val="nil"/>
                  </w:tcBorders>
                  <w:vAlign w:val="center"/>
                </w:tcPr>
                <w:p w14:paraId="068B72F5">
                  <w:pPr>
                    <w:widowControl/>
                    <w:adjustRightInd w:val="0"/>
                    <w:snapToGrid w:val="0"/>
                    <w:jc w:val="center"/>
                    <w:textAlignment w:val="center"/>
                    <w:rPr>
                      <w:color w:val="auto"/>
                      <w:szCs w:val="21"/>
                      <w:highlight w:val="none"/>
                    </w:rPr>
                  </w:pPr>
                  <w:r>
                    <w:rPr>
                      <w:rFonts w:hint="eastAsia" w:ascii="Times New Roman" w:hAnsi="Times New Roman" w:cs="Times New Roman"/>
                      <w:color w:val="auto"/>
                      <w:szCs w:val="21"/>
                      <w:highlight w:val="none"/>
                      <w:lang w:eastAsia="zh-CN"/>
                    </w:rPr>
                    <w:t>&lt;</w:t>
                  </w:r>
                  <w:r>
                    <w:rPr>
                      <w:color w:val="auto"/>
                      <w:szCs w:val="21"/>
                      <w:highlight w:val="none"/>
                    </w:rPr>
                    <w:t>10</w:t>
                  </w:r>
                </w:p>
              </w:tc>
              <w:tc>
                <w:tcPr>
                  <w:tcW w:w="1220" w:type="dxa"/>
                  <w:tcBorders>
                    <w:tl2br w:val="nil"/>
                    <w:tr2bl w:val="nil"/>
                  </w:tcBorders>
                  <w:vAlign w:val="center"/>
                </w:tcPr>
                <w:p w14:paraId="7DD8B5E5">
                  <w:pPr>
                    <w:widowControl/>
                    <w:adjustRightInd w:val="0"/>
                    <w:snapToGrid w:val="0"/>
                    <w:jc w:val="center"/>
                    <w:textAlignment w:val="center"/>
                    <w:rPr>
                      <w:snapToGrid w:val="0"/>
                      <w:color w:val="auto"/>
                      <w:kern w:val="0"/>
                      <w:szCs w:val="21"/>
                      <w:highlight w:val="none"/>
                    </w:rPr>
                  </w:pPr>
                  <w:r>
                    <w:rPr>
                      <w:snapToGrid w:val="0"/>
                      <w:color w:val="auto"/>
                      <w:kern w:val="0"/>
                      <w:szCs w:val="21"/>
                      <w:highlight w:val="none"/>
                    </w:rPr>
                    <w:t>—</w:t>
                  </w:r>
                </w:p>
              </w:tc>
              <w:tc>
                <w:tcPr>
                  <w:tcW w:w="1319" w:type="dxa"/>
                  <w:tcBorders>
                    <w:tl2br w:val="nil"/>
                    <w:tr2bl w:val="nil"/>
                  </w:tcBorders>
                  <w:vAlign w:val="center"/>
                </w:tcPr>
                <w:p w14:paraId="61EF715D">
                  <w:pPr>
                    <w:widowControl/>
                    <w:adjustRightInd w:val="0"/>
                    <w:snapToGrid w:val="0"/>
                    <w:jc w:val="center"/>
                    <w:textAlignment w:val="center"/>
                    <w:rPr>
                      <w:color w:val="auto"/>
                      <w:position w:val="-10"/>
                      <w:szCs w:val="21"/>
                      <w:highlight w:val="none"/>
                    </w:rPr>
                  </w:pPr>
                  <w:r>
                    <w:rPr>
                      <w:color w:val="auto"/>
                      <w:szCs w:val="21"/>
                      <w:highlight w:val="none"/>
                    </w:rPr>
                    <w:t>无量纲</w:t>
                  </w:r>
                </w:p>
              </w:tc>
            </w:tr>
            <w:tr w14:paraId="5F70C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6" w:type="dxa"/>
                  <w:vMerge w:val="continue"/>
                  <w:tcBorders>
                    <w:tl2br w:val="nil"/>
                    <w:tr2bl w:val="nil"/>
                  </w:tcBorders>
                  <w:vAlign w:val="center"/>
                </w:tcPr>
                <w:p w14:paraId="700F4F70">
                  <w:pPr>
                    <w:widowControl/>
                    <w:adjustRightInd w:val="0"/>
                    <w:snapToGrid w:val="0"/>
                    <w:jc w:val="center"/>
                    <w:textAlignment w:val="center"/>
                    <w:rPr>
                      <w:color w:val="auto"/>
                      <w:kern w:val="0"/>
                      <w:szCs w:val="21"/>
                      <w:highlight w:val="none"/>
                    </w:rPr>
                  </w:pPr>
                </w:p>
              </w:tc>
              <w:tc>
                <w:tcPr>
                  <w:tcW w:w="1656" w:type="dxa"/>
                  <w:tcBorders>
                    <w:tl2br w:val="nil"/>
                    <w:tr2bl w:val="nil"/>
                  </w:tcBorders>
                  <w:vAlign w:val="center"/>
                </w:tcPr>
                <w:p w14:paraId="211357A2">
                  <w:pPr>
                    <w:adjustRightInd w:val="0"/>
                    <w:snapToGrid w:val="0"/>
                    <w:jc w:val="center"/>
                    <w:rPr>
                      <w:snapToGrid w:val="0"/>
                      <w:color w:val="auto"/>
                      <w:kern w:val="0"/>
                      <w:szCs w:val="21"/>
                      <w:highlight w:val="none"/>
                    </w:rPr>
                  </w:pPr>
                  <w:r>
                    <w:rPr>
                      <w:snapToGrid w:val="0"/>
                      <w:color w:val="auto"/>
                      <w:kern w:val="0"/>
                      <w:highlight w:val="none"/>
                    </w:rPr>
                    <w:t>氨</w:t>
                  </w:r>
                </w:p>
              </w:tc>
              <w:tc>
                <w:tcPr>
                  <w:tcW w:w="2129" w:type="dxa"/>
                  <w:tcBorders>
                    <w:tl2br w:val="nil"/>
                    <w:tr2bl w:val="nil"/>
                  </w:tcBorders>
                  <w:vAlign w:val="center"/>
                </w:tcPr>
                <w:p w14:paraId="34A2F072">
                  <w:pPr>
                    <w:widowControl/>
                    <w:adjustRightInd w:val="0"/>
                    <w:snapToGrid w:val="0"/>
                    <w:jc w:val="center"/>
                    <w:textAlignment w:val="center"/>
                    <w:rPr>
                      <w:color w:val="auto"/>
                      <w:position w:val="-10"/>
                      <w:szCs w:val="21"/>
                      <w:highlight w:val="none"/>
                    </w:rPr>
                  </w:pPr>
                  <w:r>
                    <w:rPr>
                      <w:color w:val="auto"/>
                      <w:position w:val="-10"/>
                      <w:szCs w:val="21"/>
                      <w:highlight w:val="none"/>
                    </w:rPr>
                    <w:t>0.01L</w:t>
                  </w:r>
                </w:p>
              </w:tc>
              <w:tc>
                <w:tcPr>
                  <w:tcW w:w="1220" w:type="dxa"/>
                  <w:tcBorders>
                    <w:tl2br w:val="nil"/>
                    <w:tr2bl w:val="nil"/>
                  </w:tcBorders>
                  <w:vAlign w:val="center"/>
                </w:tcPr>
                <w:p w14:paraId="1DA57258">
                  <w:pPr>
                    <w:widowControl/>
                    <w:adjustRightInd w:val="0"/>
                    <w:snapToGrid w:val="0"/>
                    <w:jc w:val="center"/>
                    <w:textAlignment w:val="center"/>
                    <w:rPr>
                      <w:color w:val="auto"/>
                      <w:position w:val="-10"/>
                      <w:szCs w:val="21"/>
                      <w:highlight w:val="none"/>
                    </w:rPr>
                  </w:pPr>
                  <w:r>
                    <w:rPr>
                      <w:snapToGrid w:val="0"/>
                      <w:color w:val="auto"/>
                      <w:kern w:val="0"/>
                      <w:szCs w:val="21"/>
                      <w:highlight w:val="none"/>
                    </w:rPr>
                    <w:t>—</w:t>
                  </w:r>
                </w:p>
              </w:tc>
              <w:tc>
                <w:tcPr>
                  <w:tcW w:w="1319" w:type="dxa"/>
                  <w:tcBorders>
                    <w:tl2br w:val="nil"/>
                    <w:tr2bl w:val="nil"/>
                  </w:tcBorders>
                  <w:vAlign w:val="center"/>
                </w:tcPr>
                <w:p w14:paraId="098128FC">
                  <w:pPr>
                    <w:widowControl/>
                    <w:adjustRightInd w:val="0"/>
                    <w:snapToGrid w:val="0"/>
                    <w:jc w:val="center"/>
                    <w:textAlignment w:val="center"/>
                    <w:rPr>
                      <w:rFonts w:hint="eastAsia" w:eastAsia="宋体"/>
                      <w:color w:val="auto"/>
                      <w:position w:val="-10"/>
                      <w:szCs w:val="21"/>
                      <w:highlight w:val="none"/>
                      <w:lang w:eastAsia="zh-CN"/>
                    </w:rPr>
                  </w:pPr>
                  <w:r>
                    <w:rPr>
                      <w:rFonts w:hint="eastAsia"/>
                      <w:snapToGrid w:val="0"/>
                      <w:color w:val="auto"/>
                      <w:kern w:val="0"/>
                      <w:szCs w:val="21"/>
                      <w:highlight w:val="none"/>
                      <w:lang w:eastAsia="zh-CN"/>
                    </w:rPr>
                    <w:t>m</w:t>
                  </w:r>
                  <w:r>
                    <w:rPr>
                      <w:snapToGrid w:val="0"/>
                      <w:color w:val="auto"/>
                      <w:kern w:val="0"/>
                      <w:szCs w:val="21"/>
                      <w:highlight w:val="none"/>
                    </w:rPr>
                    <w:t>g/</w:t>
                  </w:r>
                  <w:r>
                    <w:rPr>
                      <w:rFonts w:hint="eastAsia"/>
                      <w:snapToGrid w:val="0"/>
                      <w:color w:val="auto"/>
                      <w:kern w:val="0"/>
                      <w:szCs w:val="21"/>
                      <w:highlight w:val="none"/>
                      <w:vertAlign w:val="baseline"/>
                      <w:lang w:eastAsia="zh-CN"/>
                    </w:rPr>
                    <w:t>m</w:t>
                  </w:r>
                  <w:r>
                    <w:rPr>
                      <w:rFonts w:hint="eastAsia"/>
                      <w:snapToGrid w:val="0"/>
                      <w:color w:val="auto"/>
                      <w:kern w:val="0"/>
                      <w:szCs w:val="21"/>
                      <w:highlight w:val="none"/>
                      <w:vertAlign w:val="superscript"/>
                      <w:lang w:eastAsia="zh-CN"/>
                    </w:rPr>
                    <w:t>3</w:t>
                  </w:r>
                </w:p>
              </w:tc>
            </w:tr>
            <w:tr w14:paraId="5335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6" w:type="dxa"/>
                  <w:vMerge w:val="continue"/>
                  <w:tcBorders>
                    <w:tl2br w:val="nil"/>
                    <w:tr2bl w:val="nil"/>
                  </w:tcBorders>
                  <w:vAlign w:val="center"/>
                </w:tcPr>
                <w:p w14:paraId="44FF9E33">
                  <w:pPr>
                    <w:widowControl/>
                    <w:adjustRightInd w:val="0"/>
                    <w:snapToGrid w:val="0"/>
                    <w:jc w:val="center"/>
                    <w:textAlignment w:val="center"/>
                    <w:rPr>
                      <w:color w:val="auto"/>
                      <w:kern w:val="0"/>
                      <w:szCs w:val="21"/>
                      <w:highlight w:val="none"/>
                    </w:rPr>
                  </w:pPr>
                </w:p>
              </w:tc>
              <w:tc>
                <w:tcPr>
                  <w:tcW w:w="1656" w:type="dxa"/>
                  <w:tcBorders>
                    <w:tl2br w:val="nil"/>
                    <w:tr2bl w:val="nil"/>
                  </w:tcBorders>
                  <w:vAlign w:val="center"/>
                </w:tcPr>
                <w:p w14:paraId="6E7C8E3A">
                  <w:pPr>
                    <w:adjustRightInd w:val="0"/>
                    <w:snapToGrid w:val="0"/>
                    <w:jc w:val="center"/>
                    <w:rPr>
                      <w:color w:val="auto"/>
                      <w:szCs w:val="21"/>
                      <w:highlight w:val="none"/>
                    </w:rPr>
                  </w:pPr>
                  <w:r>
                    <w:rPr>
                      <w:color w:val="auto"/>
                      <w:szCs w:val="21"/>
                      <w:highlight w:val="none"/>
                    </w:rPr>
                    <w:t>硫化氢</w:t>
                  </w:r>
                </w:p>
              </w:tc>
              <w:tc>
                <w:tcPr>
                  <w:tcW w:w="2129" w:type="dxa"/>
                  <w:tcBorders>
                    <w:tl2br w:val="nil"/>
                    <w:tr2bl w:val="nil"/>
                  </w:tcBorders>
                  <w:vAlign w:val="center"/>
                </w:tcPr>
                <w:p w14:paraId="47B3A3F3">
                  <w:pPr>
                    <w:widowControl/>
                    <w:adjustRightInd w:val="0"/>
                    <w:snapToGrid w:val="0"/>
                    <w:jc w:val="center"/>
                    <w:textAlignment w:val="center"/>
                    <w:rPr>
                      <w:color w:val="auto"/>
                      <w:position w:val="-10"/>
                      <w:szCs w:val="21"/>
                      <w:highlight w:val="none"/>
                    </w:rPr>
                  </w:pPr>
                  <w:r>
                    <w:rPr>
                      <w:color w:val="auto"/>
                      <w:position w:val="-10"/>
                      <w:szCs w:val="21"/>
                      <w:highlight w:val="none"/>
                    </w:rPr>
                    <w:t>0.001L</w:t>
                  </w:r>
                </w:p>
              </w:tc>
              <w:tc>
                <w:tcPr>
                  <w:tcW w:w="1220" w:type="dxa"/>
                  <w:tcBorders>
                    <w:tl2br w:val="nil"/>
                    <w:tr2bl w:val="nil"/>
                  </w:tcBorders>
                  <w:vAlign w:val="center"/>
                </w:tcPr>
                <w:p w14:paraId="7BDE3CBA">
                  <w:pPr>
                    <w:widowControl/>
                    <w:adjustRightInd w:val="0"/>
                    <w:snapToGrid w:val="0"/>
                    <w:jc w:val="center"/>
                    <w:textAlignment w:val="center"/>
                    <w:rPr>
                      <w:snapToGrid w:val="0"/>
                      <w:color w:val="auto"/>
                      <w:kern w:val="0"/>
                      <w:szCs w:val="21"/>
                      <w:highlight w:val="none"/>
                    </w:rPr>
                  </w:pPr>
                  <w:r>
                    <w:rPr>
                      <w:snapToGrid w:val="0"/>
                      <w:color w:val="auto"/>
                      <w:kern w:val="0"/>
                      <w:szCs w:val="21"/>
                      <w:highlight w:val="none"/>
                    </w:rPr>
                    <w:t>—</w:t>
                  </w:r>
                </w:p>
              </w:tc>
              <w:tc>
                <w:tcPr>
                  <w:tcW w:w="1319" w:type="dxa"/>
                  <w:tcBorders>
                    <w:tl2br w:val="nil"/>
                    <w:tr2bl w:val="nil"/>
                  </w:tcBorders>
                  <w:vAlign w:val="center"/>
                </w:tcPr>
                <w:p w14:paraId="5160797E">
                  <w:pPr>
                    <w:widowControl/>
                    <w:adjustRightInd w:val="0"/>
                    <w:snapToGrid w:val="0"/>
                    <w:jc w:val="center"/>
                    <w:textAlignment w:val="center"/>
                    <w:rPr>
                      <w:rFonts w:hint="eastAsia" w:eastAsia="宋体"/>
                      <w:color w:val="auto"/>
                      <w:position w:val="-10"/>
                      <w:szCs w:val="21"/>
                      <w:highlight w:val="none"/>
                      <w:lang w:eastAsia="zh-CN"/>
                    </w:rPr>
                  </w:pPr>
                  <w:r>
                    <w:rPr>
                      <w:rFonts w:hint="eastAsia"/>
                      <w:color w:val="auto"/>
                      <w:position w:val="-10"/>
                      <w:szCs w:val="21"/>
                      <w:highlight w:val="none"/>
                      <w:lang w:eastAsia="zh-CN"/>
                    </w:rPr>
                    <w:t>m</w:t>
                  </w:r>
                  <w:r>
                    <w:rPr>
                      <w:color w:val="auto"/>
                      <w:position w:val="-10"/>
                      <w:szCs w:val="21"/>
                      <w:highlight w:val="none"/>
                    </w:rPr>
                    <w:t>g/</w:t>
                  </w:r>
                  <w:r>
                    <w:rPr>
                      <w:rFonts w:hint="eastAsia"/>
                      <w:color w:val="auto"/>
                      <w:position w:val="-10"/>
                      <w:szCs w:val="21"/>
                      <w:highlight w:val="none"/>
                      <w:vertAlign w:val="baseline"/>
                      <w:lang w:eastAsia="zh-CN"/>
                    </w:rPr>
                    <w:t>m</w:t>
                  </w:r>
                  <w:r>
                    <w:rPr>
                      <w:rFonts w:hint="eastAsia"/>
                      <w:color w:val="auto"/>
                      <w:position w:val="-10"/>
                      <w:szCs w:val="21"/>
                      <w:highlight w:val="none"/>
                      <w:vertAlign w:val="superscript"/>
                      <w:lang w:eastAsia="zh-CN"/>
                    </w:rPr>
                    <w:t>3</w:t>
                  </w:r>
                </w:p>
              </w:tc>
            </w:tr>
            <w:tr w14:paraId="4B6A5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6" w:type="dxa"/>
                  <w:vMerge w:val="continue"/>
                  <w:tcBorders>
                    <w:tl2br w:val="nil"/>
                    <w:tr2bl w:val="nil"/>
                  </w:tcBorders>
                  <w:vAlign w:val="center"/>
                </w:tcPr>
                <w:p w14:paraId="300D8607">
                  <w:pPr>
                    <w:widowControl/>
                    <w:adjustRightInd w:val="0"/>
                    <w:snapToGrid w:val="0"/>
                    <w:jc w:val="center"/>
                    <w:textAlignment w:val="center"/>
                    <w:rPr>
                      <w:color w:val="auto"/>
                      <w:kern w:val="0"/>
                      <w:szCs w:val="21"/>
                      <w:highlight w:val="none"/>
                    </w:rPr>
                  </w:pPr>
                </w:p>
              </w:tc>
              <w:tc>
                <w:tcPr>
                  <w:tcW w:w="1656" w:type="dxa"/>
                  <w:tcBorders>
                    <w:tl2br w:val="nil"/>
                    <w:tr2bl w:val="nil"/>
                  </w:tcBorders>
                  <w:vAlign w:val="center"/>
                </w:tcPr>
                <w:p w14:paraId="27E2C0A0">
                  <w:pPr>
                    <w:adjustRightInd w:val="0"/>
                    <w:snapToGrid w:val="0"/>
                    <w:jc w:val="center"/>
                    <w:rPr>
                      <w:color w:val="auto"/>
                      <w:szCs w:val="21"/>
                      <w:highlight w:val="none"/>
                    </w:rPr>
                  </w:pPr>
                  <w:r>
                    <w:rPr>
                      <w:snapToGrid w:val="0"/>
                      <w:color w:val="auto"/>
                      <w:highlight w:val="none"/>
                    </w:rPr>
                    <w:t>总悬浮颗粒物</w:t>
                  </w:r>
                </w:p>
              </w:tc>
              <w:tc>
                <w:tcPr>
                  <w:tcW w:w="2129" w:type="dxa"/>
                  <w:tcBorders>
                    <w:tl2br w:val="nil"/>
                    <w:tr2bl w:val="nil"/>
                  </w:tcBorders>
                  <w:vAlign w:val="center"/>
                </w:tcPr>
                <w:p w14:paraId="257D7D08">
                  <w:pPr>
                    <w:widowControl/>
                    <w:adjustRightInd w:val="0"/>
                    <w:snapToGrid w:val="0"/>
                    <w:jc w:val="center"/>
                    <w:textAlignment w:val="center"/>
                    <w:rPr>
                      <w:color w:val="auto"/>
                      <w:position w:val="-10"/>
                      <w:szCs w:val="21"/>
                      <w:highlight w:val="none"/>
                    </w:rPr>
                  </w:pPr>
                  <w:r>
                    <w:rPr>
                      <w:color w:val="auto"/>
                      <w:position w:val="-10"/>
                      <w:szCs w:val="21"/>
                      <w:highlight w:val="none"/>
                    </w:rPr>
                    <w:t>0.107</w:t>
                  </w:r>
                </w:p>
              </w:tc>
              <w:tc>
                <w:tcPr>
                  <w:tcW w:w="1220" w:type="dxa"/>
                  <w:tcBorders>
                    <w:tl2br w:val="nil"/>
                    <w:tr2bl w:val="nil"/>
                  </w:tcBorders>
                  <w:shd w:val="clear" w:color="auto" w:fill="auto"/>
                  <w:vAlign w:val="center"/>
                </w:tcPr>
                <w:p w14:paraId="2FBFABB6">
                  <w:pPr>
                    <w:widowControl/>
                    <w:adjustRightInd w:val="0"/>
                    <w:snapToGrid w:val="0"/>
                    <w:jc w:val="center"/>
                    <w:textAlignment w:val="center"/>
                    <w:rPr>
                      <w:color w:val="auto"/>
                      <w:position w:val="-10"/>
                      <w:szCs w:val="21"/>
                      <w:highlight w:val="none"/>
                    </w:rPr>
                  </w:pPr>
                  <w:r>
                    <w:rPr>
                      <w:color w:val="auto"/>
                      <w:position w:val="-10"/>
                      <w:szCs w:val="21"/>
                      <w:highlight w:val="none"/>
                    </w:rPr>
                    <w:t>0.3</w:t>
                  </w:r>
                </w:p>
              </w:tc>
              <w:tc>
                <w:tcPr>
                  <w:tcW w:w="1319" w:type="dxa"/>
                  <w:tcBorders>
                    <w:tl2br w:val="nil"/>
                    <w:tr2bl w:val="nil"/>
                  </w:tcBorders>
                  <w:shd w:val="clear" w:color="auto" w:fill="auto"/>
                  <w:vAlign w:val="center"/>
                </w:tcPr>
                <w:p w14:paraId="0FF471E4">
                  <w:pPr>
                    <w:widowControl/>
                    <w:adjustRightInd w:val="0"/>
                    <w:snapToGrid w:val="0"/>
                    <w:jc w:val="center"/>
                    <w:textAlignment w:val="center"/>
                    <w:rPr>
                      <w:rFonts w:hint="eastAsia" w:eastAsia="宋体"/>
                      <w:color w:val="auto"/>
                      <w:position w:val="-10"/>
                      <w:szCs w:val="21"/>
                      <w:highlight w:val="none"/>
                      <w:lang w:eastAsia="zh-CN"/>
                    </w:rPr>
                  </w:pPr>
                  <w:r>
                    <w:rPr>
                      <w:rFonts w:hint="eastAsia"/>
                      <w:color w:val="auto"/>
                      <w:position w:val="-10"/>
                      <w:szCs w:val="21"/>
                      <w:highlight w:val="none"/>
                      <w:lang w:eastAsia="zh-CN"/>
                    </w:rPr>
                    <w:t>m</w:t>
                  </w:r>
                  <w:r>
                    <w:rPr>
                      <w:color w:val="auto"/>
                      <w:position w:val="-10"/>
                      <w:szCs w:val="21"/>
                      <w:highlight w:val="none"/>
                    </w:rPr>
                    <w:t>g/</w:t>
                  </w:r>
                  <w:r>
                    <w:rPr>
                      <w:rFonts w:hint="eastAsia"/>
                      <w:color w:val="auto"/>
                      <w:position w:val="-10"/>
                      <w:szCs w:val="21"/>
                      <w:highlight w:val="none"/>
                      <w:vertAlign w:val="baseline"/>
                      <w:lang w:eastAsia="zh-CN"/>
                    </w:rPr>
                    <w:t>m</w:t>
                  </w:r>
                  <w:r>
                    <w:rPr>
                      <w:rFonts w:hint="eastAsia"/>
                      <w:color w:val="auto"/>
                      <w:position w:val="-10"/>
                      <w:szCs w:val="21"/>
                      <w:highlight w:val="none"/>
                      <w:vertAlign w:val="superscript"/>
                      <w:lang w:eastAsia="zh-CN"/>
                    </w:rPr>
                    <w:t>3</w:t>
                  </w:r>
                </w:p>
              </w:tc>
            </w:tr>
            <w:tr w14:paraId="0EB5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6" w:type="dxa"/>
                  <w:vMerge w:val="continue"/>
                  <w:tcBorders>
                    <w:tl2br w:val="nil"/>
                    <w:tr2bl w:val="nil"/>
                  </w:tcBorders>
                  <w:vAlign w:val="center"/>
                </w:tcPr>
                <w:p w14:paraId="451B794B">
                  <w:pPr>
                    <w:widowControl/>
                    <w:adjustRightInd w:val="0"/>
                    <w:snapToGrid w:val="0"/>
                    <w:jc w:val="center"/>
                    <w:textAlignment w:val="center"/>
                    <w:rPr>
                      <w:color w:val="auto"/>
                      <w:kern w:val="0"/>
                      <w:szCs w:val="21"/>
                      <w:highlight w:val="none"/>
                    </w:rPr>
                  </w:pPr>
                </w:p>
              </w:tc>
              <w:tc>
                <w:tcPr>
                  <w:tcW w:w="1656" w:type="dxa"/>
                  <w:tcBorders>
                    <w:tl2br w:val="nil"/>
                    <w:tr2bl w:val="nil"/>
                  </w:tcBorders>
                  <w:shd w:val="clear" w:color="auto" w:fill="auto"/>
                  <w:vAlign w:val="center"/>
                </w:tcPr>
                <w:p w14:paraId="5CD31A52">
                  <w:pPr>
                    <w:adjustRightInd w:val="0"/>
                    <w:snapToGrid w:val="0"/>
                    <w:jc w:val="center"/>
                    <w:rPr>
                      <w:color w:val="auto"/>
                      <w:position w:val="-10"/>
                      <w:szCs w:val="21"/>
                      <w:highlight w:val="none"/>
                    </w:rPr>
                  </w:pPr>
                  <w:r>
                    <w:rPr>
                      <w:color w:val="auto"/>
                      <w:highlight w:val="none"/>
                    </w:rPr>
                    <w:t>氯化氢</w:t>
                  </w:r>
                </w:p>
              </w:tc>
              <w:tc>
                <w:tcPr>
                  <w:tcW w:w="2129" w:type="dxa"/>
                  <w:tcBorders>
                    <w:tl2br w:val="nil"/>
                    <w:tr2bl w:val="nil"/>
                  </w:tcBorders>
                  <w:vAlign w:val="center"/>
                </w:tcPr>
                <w:p w14:paraId="7595E347">
                  <w:pPr>
                    <w:widowControl/>
                    <w:adjustRightInd w:val="0"/>
                    <w:snapToGrid w:val="0"/>
                    <w:jc w:val="center"/>
                    <w:textAlignment w:val="center"/>
                    <w:rPr>
                      <w:color w:val="auto"/>
                      <w:position w:val="-10"/>
                      <w:szCs w:val="21"/>
                      <w:highlight w:val="none"/>
                    </w:rPr>
                  </w:pPr>
                  <w:r>
                    <w:rPr>
                      <w:color w:val="auto"/>
                      <w:position w:val="-10"/>
                      <w:szCs w:val="21"/>
                      <w:highlight w:val="none"/>
                    </w:rPr>
                    <w:t>0.02L</w:t>
                  </w:r>
                </w:p>
              </w:tc>
              <w:tc>
                <w:tcPr>
                  <w:tcW w:w="1220" w:type="dxa"/>
                  <w:tcBorders>
                    <w:tl2br w:val="nil"/>
                    <w:tr2bl w:val="nil"/>
                  </w:tcBorders>
                  <w:shd w:val="clear" w:color="auto" w:fill="auto"/>
                  <w:vAlign w:val="center"/>
                </w:tcPr>
                <w:p w14:paraId="4EB1BE52">
                  <w:pPr>
                    <w:widowControl/>
                    <w:adjustRightInd w:val="0"/>
                    <w:snapToGrid w:val="0"/>
                    <w:jc w:val="center"/>
                    <w:textAlignment w:val="center"/>
                    <w:rPr>
                      <w:color w:val="auto"/>
                      <w:position w:val="-10"/>
                      <w:szCs w:val="21"/>
                      <w:highlight w:val="none"/>
                    </w:rPr>
                  </w:pPr>
                  <w:r>
                    <w:rPr>
                      <w:snapToGrid w:val="0"/>
                      <w:color w:val="auto"/>
                      <w:kern w:val="0"/>
                      <w:szCs w:val="21"/>
                      <w:highlight w:val="none"/>
                    </w:rPr>
                    <w:t>—</w:t>
                  </w:r>
                </w:p>
              </w:tc>
              <w:tc>
                <w:tcPr>
                  <w:tcW w:w="1319" w:type="dxa"/>
                  <w:tcBorders>
                    <w:tl2br w:val="nil"/>
                    <w:tr2bl w:val="nil"/>
                  </w:tcBorders>
                  <w:shd w:val="clear" w:color="auto" w:fill="auto"/>
                  <w:vAlign w:val="center"/>
                </w:tcPr>
                <w:p w14:paraId="3D60D5B5">
                  <w:pPr>
                    <w:widowControl/>
                    <w:adjustRightInd w:val="0"/>
                    <w:snapToGrid w:val="0"/>
                    <w:jc w:val="center"/>
                    <w:textAlignment w:val="center"/>
                    <w:rPr>
                      <w:rFonts w:hint="eastAsia" w:eastAsia="宋体"/>
                      <w:color w:val="auto"/>
                      <w:position w:val="-10"/>
                      <w:szCs w:val="21"/>
                      <w:highlight w:val="none"/>
                      <w:lang w:eastAsia="zh-CN"/>
                    </w:rPr>
                  </w:pPr>
                  <w:r>
                    <w:rPr>
                      <w:rFonts w:hint="eastAsia"/>
                      <w:snapToGrid w:val="0"/>
                      <w:color w:val="auto"/>
                      <w:kern w:val="0"/>
                      <w:szCs w:val="21"/>
                      <w:highlight w:val="none"/>
                      <w:lang w:eastAsia="zh-CN"/>
                    </w:rPr>
                    <w:t>m</w:t>
                  </w:r>
                  <w:r>
                    <w:rPr>
                      <w:snapToGrid w:val="0"/>
                      <w:color w:val="auto"/>
                      <w:kern w:val="0"/>
                      <w:szCs w:val="21"/>
                      <w:highlight w:val="none"/>
                    </w:rPr>
                    <w:t>g/</w:t>
                  </w:r>
                  <w:r>
                    <w:rPr>
                      <w:rFonts w:hint="eastAsia"/>
                      <w:snapToGrid w:val="0"/>
                      <w:color w:val="auto"/>
                      <w:kern w:val="0"/>
                      <w:szCs w:val="21"/>
                      <w:highlight w:val="none"/>
                      <w:vertAlign w:val="baseline"/>
                      <w:lang w:eastAsia="zh-CN"/>
                    </w:rPr>
                    <w:t>m</w:t>
                  </w:r>
                  <w:r>
                    <w:rPr>
                      <w:rFonts w:hint="eastAsia"/>
                      <w:snapToGrid w:val="0"/>
                      <w:color w:val="auto"/>
                      <w:kern w:val="0"/>
                      <w:szCs w:val="21"/>
                      <w:highlight w:val="none"/>
                      <w:vertAlign w:val="superscript"/>
                      <w:lang w:eastAsia="zh-CN"/>
                    </w:rPr>
                    <w:t>3</w:t>
                  </w:r>
                </w:p>
              </w:tc>
            </w:tr>
            <w:tr w14:paraId="0F19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6" w:type="dxa"/>
                  <w:vMerge w:val="continue"/>
                  <w:tcBorders>
                    <w:tl2br w:val="nil"/>
                    <w:tr2bl w:val="nil"/>
                  </w:tcBorders>
                  <w:vAlign w:val="center"/>
                </w:tcPr>
                <w:p w14:paraId="44219CBA">
                  <w:pPr>
                    <w:widowControl/>
                    <w:adjustRightInd w:val="0"/>
                    <w:snapToGrid w:val="0"/>
                    <w:jc w:val="center"/>
                    <w:textAlignment w:val="center"/>
                    <w:rPr>
                      <w:color w:val="auto"/>
                      <w:kern w:val="0"/>
                      <w:szCs w:val="21"/>
                      <w:highlight w:val="none"/>
                    </w:rPr>
                  </w:pPr>
                </w:p>
              </w:tc>
              <w:tc>
                <w:tcPr>
                  <w:tcW w:w="1656" w:type="dxa"/>
                  <w:tcBorders>
                    <w:tl2br w:val="nil"/>
                    <w:tr2bl w:val="nil"/>
                  </w:tcBorders>
                  <w:shd w:val="clear" w:color="auto" w:fill="auto"/>
                  <w:vAlign w:val="center"/>
                </w:tcPr>
                <w:p w14:paraId="4BF47AEE">
                  <w:pPr>
                    <w:pStyle w:val="19"/>
                    <w:adjustRightInd w:val="0"/>
                    <w:snapToGrid w:val="0"/>
                    <w:ind w:left="0" w:leftChars="0" w:firstLine="0" w:firstLineChars="0"/>
                    <w:jc w:val="center"/>
                    <w:rPr>
                      <w:color w:val="auto"/>
                      <w:position w:val="-10"/>
                      <w:szCs w:val="21"/>
                      <w:highlight w:val="none"/>
                    </w:rPr>
                  </w:pPr>
                  <w:r>
                    <w:rPr>
                      <w:bCs/>
                      <w:color w:val="auto"/>
                      <w:szCs w:val="21"/>
                      <w:highlight w:val="none"/>
                    </w:rPr>
                    <w:t>汞</w:t>
                  </w:r>
                </w:p>
              </w:tc>
              <w:tc>
                <w:tcPr>
                  <w:tcW w:w="2129" w:type="dxa"/>
                  <w:tcBorders>
                    <w:tl2br w:val="nil"/>
                    <w:tr2bl w:val="nil"/>
                  </w:tcBorders>
                  <w:vAlign w:val="center"/>
                </w:tcPr>
                <w:p w14:paraId="3B5FE412">
                  <w:pPr>
                    <w:widowControl/>
                    <w:adjustRightInd w:val="0"/>
                    <w:snapToGrid w:val="0"/>
                    <w:jc w:val="center"/>
                    <w:textAlignment w:val="center"/>
                    <w:rPr>
                      <w:color w:val="auto"/>
                      <w:position w:val="-10"/>
                      <w:szCs w:val="21"/>
                      <w:highlight w:val="none"/>
                    </w:rPr>
                  </w:pPr>
                  <w:r>
                    <w:rPr>
                      <w:snapToGrid w:val="0"/>
                      <w:color w:val="auto"/>
                      <w:kern w:val="0"/>
                      <w:szCs w:val="21"/>
                      <w:highlight w:val="none"/>
                    </w:rPr>
                    <w:t>3×10</w:t>
                  </w:r>
                  <w:r>
                    <w:rPr>
                      <w:snapToGrid w:val="0"/>
                      <w:color w:val="auto"/>
                      <w:kern w:val="0"/>
                      <w:szCs w:val="21"/>
                      <w:highlight w:val="none"/>
                      <w:vertAlign w:val="superscript"/>
                    </w:rPr>
                    <w:t>-6</w:t>
                  </w:r>
                  <w:r>
                    <w:rPr>
                      <w:snapToGrid w:val="0"/>
                      <w:color w:val="auto"/>
                      <w:kern w:val="0"/>
                      <w:szCs w:val="21"/>
                      <w:highlight w:val="none"/>
                    </w:rPr>
                    <w:t>L</w:t>
                  </w:r>
                </w:p>
              </w:tc>
              <w:tc>
                <w:tcPr>
                  <w:tcW w:w="1220" w:type="dxa"/>
                  <w:tcBorders>
                    <w:tl2br w:val="nil"/>
                    <w:tr2bl w:val="nil"/>
                  </w:tcBorders>
                  <w:shd w:val="clear" w:color="auto" w:fill="auto"/>
                  <w:vAlign w:val="center"/>
                </w:tcPr>
                <w:p w14:paraId="502C73B0">
                  <w:pPr>
                    <w:widowControl/>
                    <w:adjustRightInd w:val="0"/>
                    <w:snapToGrid w:val="0"/>
                    <w:jc w:val="center"/>
                    <w:textAlignment w:val="center"/>
                    <w:rPr>
                      <w:color w:val="auto"/>
                      <w:position w:val="-10"/>
                      <w:szCs w:val="21"/>
                      <w:highlight w:val="none"/>
                    </w:rPr>
                  </w:pPr>
                  <w:r>
                    <w:rPr>
                      <w:color w:val="auto"/>
                      <w:position w:val="-10"/>
                      <w:szCs w:val="21"/>
                      <w:highlight w:val="none"/>
                    </w:rPr>
                    <w:t>0.05</w:t>
                  </w:r>
                </w:p>
              </w:tc>
              <w:tc>
                <w:tcPr>
                  <w:tcW w:w="1319" w:type="dxa"/>
                  <w:tcBorders>
                    <w:tl2br w:val="nil"/>
                    <w:tr2bl w:val="nil"/>
                  </w:tcBorders>
                  <w:shd w:val="clear" w:color="auto" w:fill="auto"/>
                  <w:vAlign w:val="center"/>
                </w:tcPr>
                <w:p w14:paraId="388ABE90">
                  <w:pPr>
                    <w:widowControl/>
                    <w:adjustRightInd w:val="0"/>
                    <w:snapToGrid w:val="0"/>
                    <w:jc w:val="center"/>
                    <w:textAlignment w:val="center"/>
                    <w:rPr>
                      <w:rFonts w:hint="eastAsia" w:eastAsia="宋体"/>
                      <w:color w:val="auto"/>
                      <w:position w:val="-10"/>
                      <w:szCs w:val="21"/>
                      <w:highlight w:val="none"/>
                      <w:lang w:eastAsia="zh-CN"/>
                    </w:rPr>
                  </w:pPr>
                  <w:r>
                    <w:rPr>
                      <w:rFonts w:hint="eastAsia"/>
                      <w:snapToGrid w:val="0"/>
                      <w:color w:val="auto"/>
                      <w:kern w:val="0"/>
                      <w:szCs w:val="21"/>
                      <w:highlight w:val="none"/>
                      <w:lang w:eastAsia="zh-CN"/>
                    </w:rPr>
                    <w:t>m</w:t>
                  </w:r>
                  <w:r>
                    <w:rPr>
                      <w:snapToGrid w:val="0"/>
                      <w:color w:val="auto"/>
                      <w:kern w:val="0"/>
                      <w:szCs w:val="21"/>
                      <w:highlight w:val="none"/>
                    </w:rPr>
                    <w:t>g/</w:t>
                  </w:r>
                  <w:r>
                    <w:rPr>
                      <w:rFonts w:hint="eastAsia"/>
                      <w:snapToGrid w:val="0"/>
                      <w:color w:val="auto"/>
                      <w:kern w:val="0"/>
                      <w:szCs w:val="21"/>
                      <w:highlight w:val="none"/>
                      <w:vertAlign w:val="baseline"/>
                      <w:lang w:eastAsia="zh-CN"/>
                    </w:rPr>
                    <w:t>m</w:t>
                  </w:r>
                  <w:r>
                    <w:rPr>
                      <w:rFonts w:hint="eastAsia"/>
                      <w:snapToGrid w:val="0"/>
                      <w:color w:val="auto"/>
                      <w:kern w:val="0"/>
                      <w:szCs w:val="21"/>
                      <w:highlight w:val="none"/>
                      <w:vertAlign w:val="superscript"/>
                      <w:lang w:eastAsia="zh-CN"/>
                    </w:rPr>
                    <w:t>3</w:t>
                  </w:r>
                </w:p>
              </w:tc>
            </w:tr>
            <w:tr w14:paraId="24158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6" w:type="dxa"/>
                  <w:vMerge w:val="continue"/>
                  <w:tcBorders>
                    <w:tl2br w:val="nil"/>
                    <w:tr2bl w:val="nil"/>
                  </w:tcBorders>
                  <w:vAlign w:val="center"/>
                </w:tcPr>
                <w:p w14:paraId="2440EA72">
                  <w:pPr>
                    <w:widowControl/>
                    <w:adjustRightInd w:val="0"/>
                    <w:snapToGrid w:val="0"/>
                    <w:jc w:val="center"/>
                    <w:textAlignment w:val="center"/>
                    <w:rPr>
                      <w:color w:val="auto"/>
                      <w:kern w:val="0"/>
                      <w:szCs w:val="21"/>
                      <w:highlight w:val="none"/>
                    </w:rPr>
                  </w:pPr>
                </w:p>
              </w:tc>
              <w:tc>
                <w:tcPr>
                  <w:tcW w:w="1656" w:type="dxa"/>
                  <w:tcBorders>
                    <w:tl2br w:val="nil"/>
                    <w:tr2bl w:val="nil"/>
                  </w:tcBorders>
                  <w:shd w:val="clear" w:color="auto" w:fill="auto"/>
                  <w:vAlign w:val="center"/>
                </w:tcPr>
                <w:p w14:paraId="51B6FEA2">
                  <w:pPr>
                    <w:pStyle w:val="19"/>
                    <w:adjustRightInd w:val="0"/>
                    <w:snapToGrid w:val="0"/>
                    <w:ind w:left="0" w:leftChars="0" w:firstLine="0" w:firstLineChars="0"/>
                    <w:jc w:val="center"/>
                    <w:rPr>
                      <w:color w:val="auto"/>
                      <w:position w:val="-10"/>
                      <w:szCs w:val="21"/>
                      <w:highlight w:val="none"/>
                    </w:rPr>
                  </w:pPr>
                  <w:r>
                    <w:rPr>
                      <w:snapToGrid w:val="0"/>
                      <w:color w:val="auto"/>
                      <w:highlight w:val="none"/>
                    </w:rPr>
                    <w:t>*二噁英类</w:t>
                  </w:r>
                </w:p>
              </w:tc>
              <w:tc>
                <w:tcPr>
                  <w:tcW w:w="2129" w:type="dxa"/>
                  <w:tcBorders>
                    <w:tl2br w:val="nil"/>
                    <w:tr2bl w:val="nil"/>
                  </w:tcBorders>
                  <w:vAlign w:val="center"/>
                </w:tcPr>
                <w:p w14:paraId="1BFF6EFE">
                  <w:pPr>
                    <w:widowControl/>
                    <w:adjustRightInd w:val="0"/>
                    <w:snapToGrid w:val="0"/>
                    <w:jc w:val="center"/>
                    <w:textAlignment w:val="center"/>
                    <w:rPr>
                      <w:color w:val="auto"/>
                      <w:position w:val="-10"/>
                      <w:szCs w:val="21"/>
                      <w:highlight w:val="none"/>
                    </w:rPr>
                  </w:pPr>
                  <w:r>
                    <w:rPr>
                      <w:color w:val="auto"/>
                      <w:position w:val="-10"/>
                      <w:szCs w:val="21"/>
                      <w:highlight w:val="none"/>
                    </w:rPr>
                    <w:t>0.031</w:t>
                  </w:r>
                </w:p>
              </w:tc>
              <w:tc>
                <w:tcPr>
                  <w:tcW w:w="1220" w:type="dxa"/>
                  <w:tcBorders>
                    <w:tl2br w:val="nil"/>
                    <w:tr2bl w:val="nil"/>
                  </w:tcBorders>
                  <w:shd w:val="clear" w:color="auto" w:fill="auto"/>
                  <w:vAlign w:val="center"/>
                </w:tcPr>
                <w:p w14:paraId="3122FE21">
                  <w:pPr>
                    <w:widowControl/>
                    <w:adjustRightInd w:val="0"/>
                    <w:snapToGrid w:val="0"/>
                    <w:jc w:val="center"/>
                    <w:textAlignment w:val="center"/>
                    <w:rPr>
                      <w:color w:val="auto"/>
                      <w:position w:val="-10"/>
                      <w:szCs w:val="21"/>
                      <w:highlight w:val="none"/>
                    </w:rPr>
                  </w:pPr>
                  <w:r>
                    <w:rPr>
                      <w:color w:val="auto"/>
                      <w:szCs w:val="21"/>
                      <w:highlight w:val="none"/>
                    </w:rPr>
                    <w:t>0.6</w:t>
                  </w:r>
                </w:p>
              </w:tc>
              <w:tc>
                <w:tcPr>
                  <w:tcW w:w="1319" w:type="dxa"/>
                  <w:tcBorders>
                    <w:tl2br w:val="nil"/>
                    <w:tr2bl w:val="nil"/>
                  </w:tcBorders>
                  <w:shd w:val="clear" w:color="auto" w:fill="auto"/>
                  <w:vAlign w:val="center"/>
                </w:tcPr>
                <w:p w14:paraId="75D8BAB7">
                  <w:pPr>
                    <w:widowControl/>
                    <w:adjustRightInd w:val="0"/>
                    <w:snapToGrid w:val="0"/>
                    <w:jc w:val="center"/>
                    <w:textAlignment w:val="center"/>
                    <w:rPr>
                      <w:rFonts w:hint="eastAsia" w:eastAsia="宋体"/>
                      <w:color w:val="auto"/>
                      <w:position w:val="-10"/>
                      <w:szCs w:val="21"/>
                      <w:highlight w:val="none"/>
                      <w:lang w:eastAsia="zh-CN"/>
                    </w:rPr>
                  </w:pPr>
                  <w:r>
                    <w:rPr>
                      <w:rFonts w:eastAsia="Times New Roman"/>
                      <w:bCs/>
                      <w:color w:val="auto"/>
                      <w:sz w:val="20"/>
                      <w:highlight w:val="none"/>
                    </w:rPr>
                    <w:t>pgTEQ/N</w:t>
                  </w:r>
                  <w:r>
                    <w:rPr>
                      <w:rFonts w:hint="eastAsia" w:eastAsia="宋体"/>
                      <w:bCs/>
                      <w:color w:val="auto"/>
                      <w:sz w:val="20"/>
                      <w:highlight w:val="none"/>
                      <w:vertAlign w:val="baseline"/>
                      <w:lang w:eastAsia="zh-CN"/>
                    </w:rPr>
                    <w:t>m</w:t>
                  </w:r>
                  <w:r>
                    <w:rPr>
                      <w:rFonts w:hint="eastAsia" w:eastAsia="宋体"/>
                      <w:bCs/>
                      <w:color w:val="auto"/>
                      <w:sz w:val="20"/>
                      <w:highlight w:val="none"/>
                      <w:vertAlign w:val="superscript"/>
                      <w:lang w:eastAsia="zh-CN"/>
                    </w:rPr>
                    <w:t>3</w:t>
                  </w:r>
                </w:p>
              </w:tc>
            </w:tr>
            <w:tr w14:paraId="3B464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6" w:type="dxa"/>
                  <w:vMerge w:val="restart"/>
                  <w:tcBorders>
                    <w:tl2br w:val="nil"/>
                    <w:tr2bl w:val="nil"/>
                  </w:tcBorders>
                  <w:vAlign w:val="center"/>
                </w:tcPr>
                <w:p w14:paraId="4AEBC6FC">
                  <w:pPr>
                    <w:widowControl/>
                    <w:adjustRightInd w:val="0"/>
                    <w:snapToGrid w:val="0"/>
                    <w:jc w:val="center"/>
                    <w:textAlignment w:val="center"/>
                    <w:rPr>
                      <w:bCs/>
                      <w:color w:val="auto"/>
                      <w:szCs w:val="21"/>
                      <w:highlight w:val="none"/>
                    </w:rPr>
                  </w:pPr>
                  <w:r>
                    <w:rPr>
                      <w:color w:val="auto"/>
                      <w:kern w:val="0"/>
                      <w:szCs w:val="21"/>
                      <w:highlight w:val="none"/>
                    </w:rPr>
                    <w:t>2025.05.26</w:t>
                  </w:r>
                </w:p>
              </w:tc>
              <w:tc>
                <w:tcPr>
                  <w:tcW w:w="1656" w:type="dxa"/>
                  <w:tcBorders>
                    <w:tl2br w:val="nil"/>
                    <w:tr2bl w:val="nil"/>
                  </w:tcBorders>
                  <w:vAlign w:val="center"/>
                </w:tcPr>
                <w:p w14:paraId="6724CFB5">
                  <w:pPr>
                    <w:adjustRightInd w:val="0"/>
                    <w:snapToGrid w:val="0"/>
                    <w:jc w:val="center"/>
                    <w:rPr>
                      <w:color w:val="auto"/>
                      <w:szCs w:val="21"/>
                      <w:highlight w:val="none"/>
                    </w:rPr>
                  </w:pPr>
                  <w:r>
                    <w:rPr>
                      <w:color w:val="auto"/>
                      <w:szCs w:val="22"/>
                      <w:highlight w:val="none"/>
                    </w:rPr>
                    <w:t>臭气浓度</w:t>
                  </w:r>
                </w:p>
              </w:tc>
              <w:tc>
                <w:tcPr>
                  <w:tcW w:w="2129" w:type="dxa"/>
                  <w:tcBorders>
                    <w:tl2br w:val="nil"/>
                    <w:tr2bl w:val="nil"/>
                  </w:tcBorders>
                  <w:vAlign w:val="center"/>
                </w:tcPr>
                <w:p w14:paraId="4629B406">
                  <w:pPr>
                    <w:widowControl/>
                    <w:adjustRightInd w:val="0"/>
                    <w:snapToGrid w:val="0"/>
                    <w:jc w:val="center"/>
                    <w:textAlignment w:val="center"/>
                    <w:rPr>
                      <w:color w:val="auto"/>
                      <w:position w:val="-10"/>
                      <w:szCs w:val="21"/>
                      <w:highlight w:val="none"/>
                    </w:rPr>
                  </w:pPr>
                  <w:r>
                    <w:rPr>
                      <w:rFonts w:hint="eastAsia"/>
                      <w:color w:val="auto"/>
                      <w:szCs w:val="21"/>
                      <w:highlight w:val="none"/>
                      <w:lang w:eastAsia="zh-CN"/>
                    </w:rPr>
                    <w:t>&lt;</w:t>
                  </w:r>
                  <w:r>
                    <w:rPr>
                      <w:color w:val="auto"/>
                      <w:szCs w:val="21"/>
                      <w:highlight w:val="none"/>
                    </w:rPr>
                    <w:t>10</w:t>
                  </w:r>
                </w:p>
              </w:tc>
              <w:tc>
                <w:tcPr>
                  <w:tcW w:w="1220" w:type="dxa"/>
                  <w:tcBorders>
                    <w:tl2br w:val="nil"/>
                    <w:tr2bl w:val="nil"/>
                  </w:tcBorders>
                  <w:shd w:val="clear" w:color="auto" w:fill="auto"/>
                  <w:vAlign w:val="center"/>
                </w:tcPr>
                <w:p w14:paraId="6EF9A7DE">
                  <w:pPr>
                    <w:widowControl/>
                    <w:adjustRightInd w:val="0"/>
                    <w:snapToGrid w:val="0"/>
                    <w:jc w:val="center"/>
                    <w:textAlignment w:val="center"/>
                    <w:rPr>
                      <w:snapToGrid w:val="0"/>
                      <w:color w:val="auto"/>
                      <w:kern w:val="0"/>
                      <w:szCs w:val="21"/>
                      <w:highlight w:val="none"/>
                    </w:rPr>
                  </w:pPr>
                  <w:r>
                    <w:rPr>
                      <w:snapToGrid w:val="0"/>
                      <w:color w:val="auto"/>
                      <w:kern w:val="0"/>
                      <w:szCs w:val="21"/>
                      <w:highlight w:val="none"/>
                    </w:rPr>
                    <w:t>—</w:t>
                  </w:r>
                </w:p>
              </w:tc>
              <w:tc>
                <w:tcPr>
                  <w:tcW w:w="1319" w:type="dxa"/>
                  <w:tcBorders>
                    <w:tl2br w:val="nil"/>
                    <w:tr2bl w:val="nil"/>
                  </w:tcBorders>
                  <w:shd w:val="clear" w:color="auto" w:fill="auto"/>
                  <w:vAlign w:val="center"/>
                </w:tcPr>
                <w:p w14:paraId="4B2B7631">
                  <w:pPr>
                    <w:widowControl/>
                    <w:adjustRightInd w:val="0"/>
                    <w:snapToGrid w:val="0"/>
                    <w:jc w:val="center"/>
                    <w:textAlignment w:val="center"/>
                    <w:rPr>
                      <w:color w:val="auto"/>
                      <w:position w:val="-10"/>
                      <w:szCs w:val="21"/>
                      <w:highlight w:val="none"/>
                    </w:rPr>
                  </w:pPr>
                  <w:r>
                    <w:rPr>
                      <w:color w:val="auto"/>
                      <w:szCs w:val="21"/>
                      <w:highlight w:val="none"/>
                    </w:rPr>
                    <w:t>无量纲</w:t>
                  </w:r>
                </w:p>
              </w:tc>
            </w:tr>
            <w:tr w14:paraId="3C61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6" w:type="dxa"/>
                  <w:vMerge w:val="continue"/>
                  <w:tcBorders>
                    <w:tl2br w:val="nil"/>
                    <w:tr2bl w:val="nil"/>
                  </w:tcBorders>
                  <w:vAlign w:val="center"/>
                </w:tcPr>
                <w:p w14:paraId="5C213760">
                  <w:pPr>
                    <w:pStyle w:val="27"/>
                    <w:tabs>
                      <w:tab w:val="left" w:pos="0"/>
                    </w:tabs>
                    <w:rPr>
                      <w:bCs/>
                      <w:color w:val="auto"/>
                      <w:szCs w:val="21"/>
                      <w:highlight w:val="none"/>
                    </w:rPr>
                  </w:pPr>
                </w:p>
              </w:tc>
              <w:tc>
                <w:tcPr>
                  <w:tcW w:w="1656" w:type="dxa"/>
                  <w:tcBorders>
                    <w:tl2br w:val="nil"/>
                    <w:tr2bl w:val="nil"/>
                  </w:tcBorders>
                  <w:vAlign w:val="center"/>
                </w:tcPr>
                <w:p w14:paraId="6BF8303D">
                  <w:pPr>
                    <w:adjustRightInd w:val="0"/>
                    <w:snapToGrid w:val="0"/>
                    <w:jc w:val="center"/>
                    <w:rPr>
                      <w:snapToGrid w:val="0"/>
                      <w:color w:val="auto"/>
                      <w:kern w:val="0"/>
                      <w:highlight w:val="none"/>
                    </w:rPr>
                  </w:pPr>
                  <w:r>
                    <w:rPr>
                      <w:snapToGrid w:val="0"/>
                      <w:color w:val="auto"/>
                      <w:kern w:val="0"/>
                      <w:highlight w:val="none"/>
                    </w:rPr>
                    <w:t>氨</w:t>
                  </w:r>
                </w:p>
              </w:tc>
              <w:tc>
                <w:tcPr>
                  <w:tcW w:w="2129" w:type="dxa"/>
                  <w:tcBorders>
                    <w:tl2br w:val="nil"/>
                    <w:tr2bl w:val="nil"/>
                  </w:tcBorders>
                  <w:vAlign w:val="center"/>
                </w:tcPr>
                <w:p w14:paraId="487EE8C8">
                  <w:pPr>
                    <w:widowControl/>
                    <w:adjustRightInd w:val="0"/>
                    <w:snapToGrid w:val="0"/>
                    <w:jc w:val="center"/>
                    <w:textAlignment w:val="center"/>
                    <w:rPr>
                      <w:color w:val="auto"/>
                      <w:position w:val="-10"/>
                      <w:szCs w:val="21"/>
                      <w:highlight w:val="none"/>
                    </w:rPr>
                  </w:pPr>
                  <w:r>
                    <w:rPr>
                      <w:color w:val="auto"/>
                      <w:position w:val="-10"/>
                      <w:szCs w:val="21"/>
                      <w:highlight w:val="none"/>
                    </w:rPr>
                    <w:t>0.01L</w:t>
                  </w:r>
                </w:p>
              </w:tc>
              <w:tc>
                <w:tcPr>
                  <w:tcW w:w="1220" w:type="dxa"/>
                  <w:tcBorders>
                    <w:tl2br w:val="nil"/>
                    <w:tr2bl w:val="nil"/>
                  </w:tcBorders>
                  <w:vAlign w:val="center"/>
                </w:tcPr>
                <w:p w14:paraId="778C5C65">
                  <w:pPr>
                    <w:widowControl/>
                    <w:adjustRightInd w:val="0"/>
                    <w:snapToGrid w:val="0"/>
                    <w:jc w:val="center"/>
                    <w:textAlignment w:val="center"/>
                    <w:rPr>
                      <w:snapToGrid w:val="0"/>
                      <w:color w:val="auto"/>
                      <w:kern w:val="0"/>
                      <w:szCs w:val="21"/>
                      <w:highlight w:val="none"/>
                    </w:rPr>
                  </w:pPr>
                  <w:r>
                    <w:rPr>
                      <w:snapToGrid w:val="0"/>
                      <w:color w:val="auto"/>
                      <w:kern w:val="0"/>
                      <w:szCs w:val="21"/>
                      <w:highlight w:val="none"/>
                    </w:rPr>
                    <w:t>—</w:t>
                  </w:r>
                </w:p>
              </w:tc>
              <w:tc>
                <w:tcPr>
                  <w:tcW w:w="1319" w:type="dxa"/>
                  <w:tcBorders>
                    <w:tl2br w:val="nil"/>
                    <w:tr2bl w:val="nil"/>
                  </w:tcBorders>
                  <w:vAlign w:val="center"/>
                </w:tcPr>
                <w:p w14:paraId="428D0803">
                  <w:pPr>
                    <w:widowControl/>
                    <w:adjustRightInd w:val="0"/>
                    <w:snapToGrid w:val="0"/>
                    <w:jc w:val="center"/>
                    <w:textAlignment w:val="center"/>
                    <w:rPr>
                      <w:rFonts w:hint="eastAsia" w:eastAsia="宋体"/>
                      <w:color w:val="auto"/>
                      <w:position w:val="-10"/>
                      <w:szCs w:val="21"/>
                      <w:highlight w:val="none"/>
                      <w:lang w:eastAsia="zh-CN"/>
                    </w:rPr>
                  </w:pPr>
                  <w:r>
                    <w:rPr>
                      <w:rFonts w:hint="eastAsia"/>
                      <w:snapToGrid w:val="0"/>
                      <w:color w:val="auto"/>
                      <w:kern w:val="0"/>
                      <w:szCs w:val="21"/>
                      <w:highlight w:val="none"/>
                      <w:lang w:eastAsia="zh-CN"/>
                    </w:rPr>
                    <w:t>m</w:t>
                  </w:r>
                  <w:r>
                    <w:rPr>
                      <w:snapToGrid w:val="0"/>
                      <w:color w:val="auto"/>
                      <w:kern w:val="0"/>
                      <w:szCs w:val="21"/>
                      <w:highlight w:val="none"/>
                    </w:rPr>
                    <w:t>g/</w:t>
                  </w:r>
                  <w:r>
                    <w:rPr>
                      <w:rFonts w:hint="eastAsia"/>
                      <w:snapToGrid w:val="0"/>
                      <w:color w:val="auto"/>
                      <w:kern w:val="0"/>
                      <w:szCs w:val="21"/>
                      <w:highlight w:val="none"/>
                      <w:vertAlign w:val="baseline"/>
                      <w:lang w:eastAsia="zh-CN"/>
                    </w:rPr>
                    <w:t>m</w:t>
                  </w:r>
                  <w:r>
                    <w:rPr>
                      <w:rFonts w:hint="eastAsia"/>
                      <w:snapToGrid w:val="0"/>
                      <w:color w:val="auto"/>
                      <w:kern w:val="0"/>
                      <w:szCs w:val="21"/>
                      <w:highlight w:val="none"/>
                      <w:vertAlign w:val="superscript"/>
                      <w:lang w:eastAsia="zh-CN"/>
                    </w:rPr>
                    <w:t>3</w:t>
                  </w:r>
                </w:p>
              </w:tc>
            </w:tr>
            <w:tr w14:paraId="4126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6" w:type="dxa"/>
                  <w:vMerge w:val="continue"/>
                  <w:tcBorders>
                    <w:tl2br w:val="nil"/>
                    <w:tr2bl w:val="nil"/>
                  </w:tcBorders>
                  <w:vAlign w:val="center"/>
                </w:tcPr>
                <w:p w14:paraId="67D4A619">
                  <w:pPr>
                    <w:pStyle w:val="27"/>
                    <w:tabs>
                      <w:tab w:val="left" w:pos="0"/>
                    </w:tabs>
                    <w:rPr>
                      <w:bCs/>
                      <w:color w:val="auto"/>
                      <w:szCs w:val="21"/>
                      <w:highlight w:val="none"/>
                    </w:rPr>
                  </w:pPr>
                </w:p>
              </w:tc>
              <w:tc>
                <w:tcPr>
                  <w:tcW w:w="1656" w:type="dxa"/>
                  <w:tcBorders>
                    <w:tl2br w:val="nil"/>
                    <w:tr2bl w:val="nil"/>
                  </w:tcBorders>
                  <w:vAlign w:val="center"/>
                </w:tcPr>
                <w:p w14:paraId="33C8C19D">
                  <w:pPr>
                    <w:adjustRightInd w:val="0"/>
                    <w:snapToGrid w:val="0"/>
                    <w:jc w:val="center"/>
                    <w:rPr>
                      <w:snapToGrid w:val="0"/>
                      <w:color w:val="auto"/>
                      <w:kern w:val="0"/>
                      <w:highlight w:val="none"/>
                    </w:rPr>
                  </w:pPr>
                  <w:r>
                    <w:rPr>
                      <w:color w:val="auto"/>
                      <w:szCs w:val="21"/>
                      <w:highlight w:val="none"/>
                    </w:rPr>
                    <w:t>硫化氢</w:t>
                  </w:r>
                </w:p>
              </w:tc>
              <w:tc>
                <w:tcPr>
                  <w:tcW w:w="2129" w:type="dxa"/>
                  <w:tcBorders>
                    <w:tl2br w:val="nil"/>
                    <w:tr2bl w:val="nil"/>
                  </w:tcBorders>
                  <w:vAlign w:val="center"/>
                </w:tcPr>
                <w:p w14:paraId="0E1F50BB">
                  <w:pPr>
                    <w:widowControl/>
                    <w:adjustRightInd w:val="0"/>
                    <w:snapToGrid w:val="0"/>
                    <w:jc w:val="center"/>
                    <w:textAlignment w:val="center"/>
                    <w:rPr>
                      <w:color w:val="auto"/>
                      <w:position w:val="-10"/>
                      <w:szCs w:val="21"/>
                      <w:highlight w:val="none"/>
                    </w:rPr>
                  </w:pPr>
                  <w:r>
                    <w:rPr>
                      <w:color w:val="auto"/>
                      <w:position w:val="-10"/>
                      <w:szCs w:val="21"/>
                      <w:highlight w:val="none"/>
                    </w:rPr>
                    <w:t>0.001L</w:t>
                  </w:r>
                </w:p>
              </w:tc>
              <w:tc>
                <w:tcPr>
                  <w:tcW w:w="1220" w:type="dxa"/>
                  <w:tcBorders>
                    <w:tl2br w:val="nil"/>
                    <w:tr2bl w:val="nil"/>
                  </w:tcBorders>
                  <w:vAlign w:val="center"/>
                </w:tcPr>
                <w:p w14:paraId="3FA29F1D">
                  <w:pPr>
                    <w:widowControl/>
                    <w:adjustRightInd w:val="0"/>
                    <w:snapToGrid w:val="0"/>
                    <w:jc w:val="center"/>
                    <w:textAlignment w:val="center"/>
                    <w:rPr>
                      <w:snapToGrid w:val="0"/>
                      <w:color w:val="auto"/>
                      <w:kern w:val="0"/>
                      <w:szCs w:val="21"/>
                      <w:highlight w:val="none"/>
                    </w:rPr>
                  </w:pPr>
                  <w:r>
                    <w:rPr>
                      <w:snapToGrid w:val="0"/>
                      <w:color w:val="auto"/>
                      <w:kern w:val="0"/>
                      <w:szCs w:val="21"/>
                      <w:highlight w:val="none"/>
                    </w:rPr>
                    <w:t>—</w:t>
                  </w:r>
                </w:p>
              </w:tc>
              <w:tc>
                <w:tcPr>
                  <w:tcW w:w="1319" w:type="dxa"/>
                  <w:tcBorders>
                    <w:tl2br w:val="nil"/>
                    <w:tr2bl w:val="nil"/>
                  </w:tcBorders>
                  <w:vAlign w:val="center"/>
                </w:tcPr>
                <w:p w14:paraId="71F379F7">
                  <w:pPr>
                    <w:widowControl/>
                    <w:adjustRightInd w:val="0"/>
                    <w:snapToGrid w:val="0"/>
                    <w:jc w:val="center"/>
                    <w:textAlignment w:val="center"/>
                    <w:rPr>
                      <w:rFonts w:hint="eastAsia" w:eastAsia="宋体"/>
                      <w:color w:val="auto"/>
                      <w:position w:val="-10"/>
                      <w:szCs w:val="21"/>
                      <w:highlight w:val="none"/>
                      <w:lang w:eastAsia="zh-CN"/>
                    </w:rPr>
                  </w:pPr>
                  <w:r>
                    <w:rPr>
                      <w:rFonts w:hint="eastAsia"/>
                      <w:color w:val="auto"/>
                      <w:position w:val="-10"/>
                      <w:szCs w:val="21"/>
                      <w:highlight w:val="none"/>
                      <w:lang w:eastAsia="zh-CN"/>
                    </w:rPr>
                    <w:t>m</w:t>
                  </w:r>
                  <w:r>
                    <w:rPr>
                      <w:color w:val="auto"/>
                      <w:position w:val="-10"/>
                      <w:szCs w:val="21"/>
                      <w:highlight w:val="none"/>
                    </w:rPr>
                    <w:t>g/</w:t>
                  </w:r>
                  <w:r>
                    <w:rPr>
                      <w:rFonts w:hint="eastAsia"/>
                      <w:color w:val="auto"/>
                      <w:position w:val="-10"/>
                      <w:szCs w:val="21"/>
                      <w:highlight w:val="none"/>
                      <w:vertAlign w:val="baseline"/>
                      <w:lang w:eastAsia="zh-CN"/>
                    </w:rPr>
                    <w:t>m</w:t>
                  </w:r>
                  <w:r>
                    <w:rPr>
                      <w:rFonts w:hint="eastAsia"/>
                      <w:color w:val="auto"/>
                      <w:position w:val="-10"/>
                      <w:szCs w:val="21"/>
                      <w:highlight w:val="none"/>
                      <w:vertAlign w:val="superscript"/>
                      <w:lang w:eastAsia="zh-CN"/>
                    </w:rPr>
                    <w:t>3</w:t>
                  </w:r>
                </w:p>
              </w:tc>
            </w:tr>
            <w:tr w14:paraId="05F7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6" w:type="dxa"/>
                  <w:vMerge w:val="continue"/>
                  <w:tcBorders>
                    <w:tl2br w:val="nil"/>
                    <w:tr2bl w:val="nil"/>
                  </w:tcBorders>
                  <w:vAlign w:val="center"/>
                </w:tcPr>
                <w:p w14:paraId="60581303">
                  <w:pPr>
                    <w:pStyle w:val="27"/>
                    <w:tabs>
                      <w:tab w:val="left" w:pos="0"/>
                    </w:tabs>
                    <w:rPr>
                      <w:bCs/>
                      <w:color w:val="auto"/>
                      <w:szCs w:val="21"/>
                      <w:highlight w:val="none"/>
                    </w:rPr>
                  </w:pPr>
                </w:p>
              </w:tc>
              <w:tc>
                <w:tcPr>
                  <w:tcW w:w="1656" w:type="dxa"/>
                  <w:tcBorders>
                    <w:tl2br w:val="nil"/>
                    <w:tr2bl w:val="nil"/>
                  </w:tcBorders>
                  <w:vAlign w:val="center"/>
                </w:tcPr>
                <w:p w14:paraId="08BD1AB7">
                  <w:pPr>
                    <w:adjustRightInd w:val="0"/>
                    <w:snapToGrid w:val="0"/>
                    <w:jc w:val="center"/>
                    <w:rPr>
                      <w:color w:val="auto"/>
                      <w:szCs w:val="21"/>
                      <w:highlight w:val="none"/>
                    </w:rPr>
                  </w:pPr>
                  <w:r>
                    <w:rPr>
                      <w:snapToGrid w:val="0"/>
                      <w:color w:val="auto"/>
                      <w:highlight w:val="none"/>
                    </w:rPr>
                    <w:t>总悬浮颗粒物</w:t>
                  </w:r>
                </w:p>
              </w:tc>
              <w:tc>
                <w:tcPr>
                  <w:tcW w:w="2129" w:type="dxa"/>
                  <w:tcBorders>
                    <w:tl2br w:val="nil"/>
                    <w:tr2bl w:val="nil"/>
                  </w:tcBorders>
                  <w:vAlign w:val="center"/>
                </w:tcPr>
                <w:p w14:paraId="47994C2B">
                  <w:pPr>
                    <w:widowControl/>
                    <w:adjustRightInd w:val="0"/>
                    <w:snapToGrid w:val="0"/>
                    <w:jc w:val="center"/>
                    <w:textAlignment w:val="center"/>
                    <w:rPr>
                      <w:color w:val="auto"/>
                      <w:position w:val="-10"/>
                      <w:szCs w:val="21"/>
                      <w:highlight w:val="none"/>
                    </w:rPr>
                  </w:pPr>
                  <w:r>
                    <w:rPr>
                      <w:color w:val="auto"/>
                      <w:position w:val="-10"/>
                      <w:szCs w:val="21"/>
                      <w:highlight w:val="none"/>
                    </w:rPr>
                    <w:t>0.104</w:t>
                  </w:r>
                </w:p>
              </w:tc>
              <w:tc>
                <w:tcPr>
                  <w:tcW w:w="1220" w:type="dxa"/>
                  <w:tcBorders>
                    <w:tl2br w:val="nil"/>
                    <w:tr2bl w:val="nil"/>
                  </w:tcBorders>
                  <w:shd w:val="clear" w:color="auto" w:fill="auto"/>
                  <w:vAlign w:val="center"/>
                </w:tcPr>
                <w:p w14:paraId="6D781486">
                  <w:pPr>
                    <w:widowControl/>
                    <w:adjustRightInd w:val="0"/>
                    <w:snapToGrid w:val="0"/>
                    <w:jc w:val="center"/>
                    <w:textAlignment w:val="center"/>
                    <w:rPr>
                      <w:color w:val="auto"/>
                      <w:position w:val="-10"/>
                      <w:szCs w:val="21"/>
                      <w:highlight w:val="none"/>
                    </w:rPr>
                  </w:pPr>
                  <w:r>
                    <w:rPr>
                      <w:color w:val="auto"/>
                      <w:position w:val="-10"/>
                      <w:szCs w:val="21"/>
                      <w:highlight w:val="none"/>
                    </w:rPr>
                    <w:t>0.3</w:t>
                  </w:r>
                </w:p>
              </w:tc>
              <w:tc>
                <w:tcPr>
                  <w:tcW w:w="1319" w:type="dxa"/>
                  <w:tcBorders>
                    <w:tl2br w:val="nil"/>
                    <w:tr2bl w:val="nil"/>
                  </w:tcBorders>
                  <w:shd w:val="clear" w:color="auto" w:fill="auto"/>
                  <w:vAlign w:val="center"/>
                </w:tcPr>
                <w:p w14:paraId="0FE83E31">
                  <w:pPr>
                    <w:widowControl/>
                    <w:adjustRightInd w:val="0"/>
                    <w:snapToGrid w:val="0"/>
                    <w:jc w:val="center"/>
                    <w:textAlignment w:val="center"/>
                    <w:rPr>
                      <w:rFonts w:hint="eastAsia" w:eastAsia="宋体"/>
                      <w:color w:val="auto"/>
                      <w:position w:val="-10"/>
                      <w:szCs w:val="21"/>
                      <w:highlight w:val="none"/>
                      <w:lang w:eastAsia="zh-CN"/>
                    </w:rPr>
                  </w:pPr>
                  <w:r>
                    <w:rPr>
                      <w:rFonts w:hint="eastAsia"/>
                      <w:color w:val="auto"/>
                      <w:position w:val="-10"/>
                      <w:szCs w:val="21"/>
                      <w:highlight w:val="none"/>
                      <w:lang w:eastAsia="zh-CN"/>
                    </w:rPr>
                    <w:t>m</w:t>
                  </w:r>
                  <w:r>
                    <w:rPr>
                      <w:color w:val="auto"/>
                      <w:position w:val="-10"/>
                      <w:szCs w:val="21"/>
                      <w:highlight w:val="none"/>
                    </w:rPr>
                    <w:t>g/</w:t>
                  </w:r>
                  <w:r>
                    <w:rPr>
                      <w:rFonts w:hint="eastAsia"/>
                      <w:color w:val="auto"/>
                      <w:position w:val="-10"/>
                      <w:szCs w:val="21"/>
                      <w:highlight w:val="none"/>
                      <w:vertAlign w:val="baseline"/>
                      <w:lang w:eastAsia="zh-CN"/>
                    </w:rPr>
                    <w:t>m</w:t>
                  </w:r>
                  <w:r>
                    <w:rPr>
                      <w:rFonts w:hint="eastAsia"/>
                      <w:color w:val="auto"/>
                      <w:position w:val="-10"/>
                      <w:szCs w:val="21"/>
                      <w:highlight w:val="none"/>
                      <w:vertAlign w:val="superscript"/>
                      <w:lang w:eastAsia="zh-CN"/>
                    </w:rPr>
                    <w:t>3</w:t>
                  </w:r>
                </w:p>
              </w:tc>
            </w:tr>
            <w:tr w14:paraId="6C23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6" w:type="dxa"/>
                  <w:vMerge w:val="continue"/>
                  <w:tcBorders>
                    <w:tl2br w:val="nil"/>
                    <w:tr2bl w:val="nil"/>
                  </w:tcBorders>
                  <w:vAlign w:val="center"/>
                </w:tcPr>
                <w:p w14:paraId="759C8522">
                  <w:pPr>
                    <w:pStyle w:val="27"/>
                    <w:tabs>
                      <w:tab w:val="left" w:pos="0"/>
                    </w:tabs>
                    <w:rPr>
                      <w:bCs/>
                      <w:color w:val="auto"/>
                      <w:szCs w:val="21"/>
                      <w:highlight w:val="none"/>
                    </w:rPr>
                  </w:pPr>
                </w:p>
              </w:tc>
              <w:tc>
                <w:tcPr>
                  <w:tcW w:w="1656" w:type="dxa"/>
                  <w:tcBorders>
                    <w:tl2br w:val="nil"/>
                    <w:tr2bl w:val="nil"/>
                  </w:tcBorders>
                  <w:shd w:val="clear" w:color="auto" w:fill="auto"/>
                  <w:vAlign w:val="center"/>
                </w:tcPr>
                <w:p w14:paraId="4A5879DD">
                  <w:pPr>
                    <w:adjustRightInd w:val="0"/>
                    <w:snapToGrid w:val="0"/>
                    <w:jc w:val="center"/>
                    <w:rPr>
                      <w:color w:val="auto"/>
                      <w:position w:val="-10"/>
                      <w:szCs w:val="21"/>
                      <w:highlight w:val="none"/>
                    </w:rPr>
                  </w:pPr>
                  <w:r>
                    <w:rPr>
                      <w:color w:val="auto"/>
                      <w:highlight w:val="none"/>
                    </w:rPr>
                    <w:t>氯化氢</w:t>
                  </w:r>
                </w:p>
              </w:tc>
              <w:tc>
                <w:tcPr>
                  <w:tcW w:w="2129" w:type="dxa"/>
                  <w:tcBorders>
                    <w:tl2br w:val="nil"/>
                    <w:tr2bl w:val="nil"/>
                  </w:tcBorders>
                  <w:vAlign w:val="center"/>
                </w:tcPr>
                <w:p w14:paraId="6439A9C1">
                  <w:pPr>
                    <w:widowControl/>
                    <w:adjustRightInd w:val="0"/>
                    <w:snapToGrid w:val="0"/>
                    <w:jc w:val="center"/>
                    <w:textAlignment w:val="center"/>
                    <w:rPr>
                      <w:color w:val="auto"/>
                      <w:position w:val="-10"/>
                      <w:szCs w:val="21"/>
                      <w:highlight w:val="none"/>
                    </w:rPr>
                  </w:pPr>
                  <w:r>
                    <w:rPr>
                      <w:color w:val="auto"/>
                      <w:position w:val="-10"/>
                      <w:szCs w:val="21"/>
                      <w:highlight w:val="none"/>
                    </w:rPr>
                    <w:t>0.02L</w:t>
                  </w:r>
                </w:p>
              </w:tc>
              <w:tc>
                <w:tcPr>
                  <w:tcW w:w="1220" w:type="dxa"/>
                  <w:tcBorders>
                    <w:tl2br w:val="nil"/>
                    <w:tr2bl w:val="nil"/>
                  </w:tcBorders>
                  <w:shd w:val="clear" w:color="auto" w:fill="auto"/>
                  <w:vAlign w:val="center"/>
                </w:tcPr>
                <w:p w14:paraId="47FB13BA">
                  <w:pPr>
                    <w:widowControl/>
                    <w:adjustRightInd w:val="0"/>
                    <w:snapToGrid w:val="0"/>
                    <w:jc w:val="center"/>
                    <w:textAlignment w:val="center"/>
                    <w:rPr>
                      <w:color w:val="auto"/>
                      <w:position w:val="-10"/>
                      <w:szCs w:val="21"/>
                      <w:highlight w:val="none"/>
                    </w:rPr>
                  </w:pPr>
                  <w:r>
                    <w:rPr>
                      <w:snapToGrid w:val="0"/>
                      <w:color w:val="auto"/>
                      <w:kern w:val="0"/>
                      <w:szCs w:val="21"/>
                      <w:highlight w:val="none"/>
                    </w:rPr>
                    <w:t>—</w:t>
                  </w:r>
                </w:p>
              </w:tc>
              <w:tc>
                <w:tcPr>
                  <w:tcW w:w="1319" w:type="dxa"/>
                  <w:tcBorders>
                    <w:tl2br w:val="nil"/>
                    <w:tr2bl w:val="nil"/>
                  </w:tcBorders>
                  <w:shd w:val="clear" w:color="auto" w:fill="auto"/>
                  <w:vAlign w:val="center"/>
                </w:tcPr>
                <w:p w14:paraId="3304B84E">
                  <w:pPr>
                    <w:widowControl/>
                    <w:adjustRightInd w:val="0"/>
                    <w:snapToGrid w:val="0"/>
                    <w:jc w:val="center"/>
                    <w:textAlignment w:val="center"/>
                    <w:rPr>
                      <w:rFonts w:hint="eastAsia" w:eastAsia="宋体"/>
                      <w:color w:val="auto"/>
                      <w:position w:val="-10"/>
                      <w:szCs w:val="21"/>
                      <w:highlight w:val="none"/>
                      <w:lang w:eastAsia="zh-CN"/>
                    </w:rPr>
                  </w:pPr>
                  <w:r>
                    <w:rPr>
                      <w:rFonts w:hint="eastAsia"/>
                      <w:snapToGrid w:val="0"/>
                      <w:color w:val="auto"/>
                      <w:kern w:val="0"/>
                      <w:szCs w:val="21"/>
                      <w:highlight w:val="none"/>
                      <w:lang w:eastAsia="zh-CN"/>
                    </w:rPr>
                    <w:t>m</w:t>
                  </w:r>
                  <w:r>
                    <w:rPr>
                      <w:snapToGrid w:val="0"/>
                      <w:color w:val="auto"/>
                      <w:kern w:val="0"/>
                      <w:szCs w:val="21"/>
                      <w:highlight w:val="none"/>
                    </w:rPr>
                    <w:t>g/</w:t>
                  </w:r>
                  <w:r>
                    <w:rPr>
                      <w:rFonts w:hint="eastAsia"/>
                      <w:snapToGrid w:val="0"/>
                      <w:color w:val="auto"/>
                      <w:kern w:val="0"/>
                      <w:szCs w:val="21"/>
                      <w:highlight w:val="none"/>
                      <w:vertAlign w:val="baseline"/>
                      <w:lang w:eastAsia="zh-CN"/>
                    </w:rPr>
                    <w:t>m</w:t>
                  </w:r>
                  <w:r>
                    <w:rPr>
                      <w:rFonts w:hint="eastAsia"/>
                      <w:snapToGrid w:val="0"/>
                      <w:color w:val="auto"/>
                      <w:kern w:val="0"/>
                      <w:szCs w:val="21"/>
                      <w:highlight w:val="none"/>
                      <w:vertAlign w:val="superscript"/>
                      <w:lang w:eastAsia="zh-CN"/>
                    </w:rPr>
                    <w:t>3</w:t>
                  </w:r>
                </w:p>
              </w:tc>
            </w:tr>
            <w:tr w14:paraId="3B3B3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6" w:type="dxa"/>
                  <w:vMerge w:val="continue"/>
                  <w:tcBorders>
                    <w:tl2br w:val="nil"/>
                    <w:tr2bl w:val="nil"/>
                  </w:tcBorders>
                  <w:vAlign w:val="center"/>
                </w:tcPr>
                <w:p w14:paraId="5189CD58">
                  <w:pPr>
                    <w:pStyle w:val="27"/>
                    <w:tabs>
                      <w:tab w:val="left" w:pos="0"/>
                    </w:tabs>
                    <w:rPr>
                      <w:bCs/>
                      <w:color w:val="auto"/>
                      <w:szCs w:val="21"/>
                      <w:highlight w:val="none"/>
                    </w:rPr>
                  </w:pPr>
                </w:p>
              </w:tc>
              <w:tc>
                <w:tcPr>
                  <w:tcW w:w="1656" w:type="dxa"/>
                  <w:tcBorders>
                    <w:tl2br w:val="nil"/>
                    <w:tr2bl w:val="nil"/>
                  </w:tcBorders>
                  <w:shd w:val="clear" w:color="auto" w:fill="auto"/>
                  <w:vAlign w:val="center"/>
                </w:tcPr>
                <w:p w14:paraId="40621670">
                  <w:pPr>
                    <w:pStyle w:val="19"/>
                    <w:adjustRightInd w:val="0"/>
                    <w:snapToGrid w:val="0"/>
                    <w:ind w:left="0" w:leftChars="0" w:firstLine="0" w:firstLineChars="0"/>
                    <w:jc w:val="center"/>
                    <w:rPr>
                      <w:color w:val="auto"/>
                      <w:position w:val="-10"/>
                      <w:szCs w:val="21"/>
                      <w:highlight w:val="none"/>
                    </w:rPr>
                  </w:pPr>
                  <w:r>
                    <w:rPr>
                      <w:bCs/>
                      <w:color w:val="auto"/>
                      <w:szCs w:val="21"/>
                      <w:highlight w:val="none"/>
                    </w:rPr>
                    <w:t>汞</w:t>
                  </w:r>
                </w:p>
              </w:tc>
              <w:tc>
                <w:tcPr>
                  <w:tcW w:w="2129" w:type="dxa"/>
                  <w:tcBorders>
                    <w:tl2br w:val="nil"/>
                    <w:tr2bl w:val="nil"/>
                  </w:tcBorders>
                  <w:vAlign w:val="center"/>
                </w:tcPr>
                <w:p w14:paraId="0A1F783E">
                  <w:pPr>
                    <w:widowControl/>
                    <w:adjustRightInd w:val="0"/>
                    <w:snapToGrid w:val="0"/>
                    <w:jc w:val="center"/>
                    <w:textAlignment w:val="center"/>
                    <w:rPr>
                      <w:color w:val="auto"/>
                      <w:position w:val="-10"/>
                      <w:szCs w:val="21"/>
                      <w:highlight w:val="none"/>
                    </w:rPr>
                  </w:pPr>
                  <w:r>
                    <w:rPr>
                      <w:snapToGrid w:val="0"/>
                      <w:color w:val="auto"/>
                      <w:kern w:val="0"/>
                      <w:szCs w:val="21"/>
                      <w:highlight w:val="none"/>
                    </w:rPr>
                    <w:t>3×10</w:t>
                  </w:r>
                  <w:r>
                    <w:rPr>
                      <w:snapToGrid w:val="0"/>
                      <w:color w:val="auto"/>
                      <w:kern w:val="0"/>
                      <w:szCs w:val="21"/>
                      <w:highlight w:val="none"/>
                      <w:vertAlign w:val="superscript"/>
                    </w:rPr>
                    <w:t>-6</w:t>
                  </w:r>
                  <w:r>
                    <w:rPr>
                      <w:snapToGrid w:val="0"/>
                      <w:color w:val="auto"/>
                      <w:kern w:val="0"/>
                      <w:szCs w:val="21"/>
                      <w:highlight w:val="none"/>
                    </w:rPr>
                    <w:t>L</w:t>
                  </w:r>
                </w:p>
              </w:tc>
              <w:tc>
                <w:tcPr>
                  <w:tcW w:w="1220" w:type="dxa"/>
                  <w:tcBorders>
                    <w:tl2br w:val="nil"/>
                    <w:tr2bl w:val="nil"/>
                  </w:tcBorders>
                  <w:shd w:val="clear" w:color="auto" w:fill="auto"/>
                  <w:vAlign w:val="center"/>
                </w:tcPr>
                <w:p w14:paraId="2ECA009E">
                  <w:pPr>
                    <w:widowControl/>
                    <w:adjustRightInd w:val="0"/>
                    <w:snapToGrid w:val="0"/>
                    <w:jc w:val="center"/>
                    <w:textAlignment w:val="center"/>
                    <w:rPr>
                      <w:color w:val="auto"/>
                      <w:position w:val="-10"/>
                      <w:szCs w:val="21"/>
                      <w:highlight w:val="none"/>
                    </w:rPr>
                  </w:pPr>
                  <w:r>
                    <w:rPr>
                      <w:color w:val="auto"/>
                      <w:position w:val="-10"/>
                      <w:szCs w:val="21"/>
                      <w:highlight w:val="none"/>
                    </w:rPr>
                    <w:t>0.05</w:t>
                  </w:r>
                </w:p>
              </w:tc>
              <w:tc>
                <w:tcPr>
                  <w:tcW w:w="1319" w:type="dxa"/>
                  <w:tcBorders>
                    <w:tl2br w:val="nil"/>
                    <w:tr2bl w:val="nil"/>
                  </w:tcBorders>
                  <w:shd w:val="clear" w:color="auto" w:fill="auto"/>
                  <w:vAlign w:val="center"/>
                </w:tcPr>
                <w:p w14:paraId="56F6A561">
                  <w:pPr>
                    <w:widowControl/>
                    <w:adjustRightInd w:val="0"/>
                    <w:snapToGrid w:val="0"/>
                    <w:jc w:val="center"/>
                    <w:textAlignment w:val="center"/>
                    <w:rPr>
                      <w:rFonts w:hint="eastAsia" w:eastAsia="宋体"/>
                      <w:color w:val="auto"/>
                      <w:position w:val="-10"/>
                      <w:szCs w:val="21"/>
                      <w:highlight w:val="none"/>
                      <w:lang w:eastAsia="zh-CN"/>
                    </w:rPr>
                  </w:pPr>
                  <w:r>
                    <w:rPr>
                      <w:rFonts w:hint="eastAsia"/>
                      <w:snapToGrid w:val="0"/>
                      <w:color w:val="auto"/>
                      <w:kern w:val="0"/>
                      <w:szCs w:val="21"/>
                      <w:highlight w:val="none"/>
                      <w:lang w:eastAsia="zh-CN"/>
                    </w:rPr>
                    <w:t>m</w:t>
                  </w:r>
                  <w:r>
                    <w:rPr>
                      <w:snapToGrid w:val="0"/>
                      <w:color w:val="auto"/>
                      <w:kern w:val="0"/>
                      <w:szCs w:val="21"/>
                      <w:highlight w:val="none"/>
                    </w:rPr>
                    <w:t>g/</w:t>
                  </w:r>
                  <w:r>
                    <w:rPr>
                      <w:rFonts w:hint="eastAsia"/>
                      <w:snapToGrid w:val="0"/>
                      <w:color w:val="auto"/>
                      <w:kern w:val="0"/>
                      <w:szCs w:val="21"/>
                      <w:highlight w:val="none"/>
                      <w:vertAlign w:val="baseline"/>
                      <w:lang w:eastAsia="zh-CN"/>
                    </w:rPr>
                    <w:t>m</w:t>
                  </w:r>
                  <w:r>
                    <w:rPr>
                      <w:rFonts w:hint="eastAsia"/>
                      <w:snapToGrid w:val="0"/>
                      <w:color w:val="auto"/>
                      <w:kern w:val="0"/>
                      <w:szCs w:val="21"/>
                      <w:highlight w:val="none"/>
                      <w:vertAlign w:val="superscript"/>
                      <w:lang w:eastAsia="zh-CN"/>
                    </w:rPr>
                    <w:t>3</w:t>
                  </w:r>
                </w:p>
              </w:tc>
            </w:tr>
            <w:tr w14:paraId="35FCA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6" w:type="dxa"/>
                  <w:vMerge w:val="continue"/>
                  <w:tcBorders>
                    <w:tl2br w:val="nil"/>
                    <w:tr2bl w:val="nil"/>
                  </w:tcBorders>
                  <w:vAlign w:val="center"/>
                </w:tcPr>
                <w:p w14:paraId="79643AE6">
                  <w:pPr>
                    <w:pStyle w:val="27"/>
                    <w:tabs>
                      <w:tab w:val="left" w:pos="0"/>
                    </w:tabs>
                    <w:rPr>
                      <w:bCs/>
                      <w:color w:val="auto"/>
                      <w:szCs w:val="21"/>
                      <w:highlight w:val="none"/>
                    </w:rPr>
                  </w:pPr>
                </w:p>
              </w:tc>
              <w:tc>
                <w:tcPr>
                  <w:tcW w:w="1656" w:type="dxa"/>
                  <w:tcBorders>
                    <w:tl2br w:val="nil"/>
                    <w:tr2bl w:val="nil"/>
                  </w:tcBorders>
                  <w:shd w:val="clear" w:color="auto" w:fill="auto"/>
                  <w:vAlign w:val="center"/>
                </w:tcPr>
                <w:p w14:paraId="4DCFB71D">
                  <w:pPr>
                    <w:pStyle w:val="19"/>
                    <w:adjustRightInd w:val="0"/>
                    <w:snapToGrid w:val="0"/>
                    <w:ind w:left="0" w:leftChars="0" w:firstLine="0" w:firstLineChars="0"/>
                    <w:jc w:val="center"/>
                    <w:rPr>
                      <w:color w:val="auto"/>
                      <w:position w:val="-10"/>
                      <w:szCs w:val="21"/>
                      <w:highlight w:val="none"/>
                    </w:rPr>
                  </w:pPr>
                  <w:r>
                    <w:rPr>
                      <w:snapToGrid w:val="0"/>
                      <w:color w:val="auto"/>
                      <w:highlight w:val="none"/>
                    </w:rPr>
                    <w:t>*二噁英类</w:t>
                  </w:r>
                </w:p>
              </w:tc>
              <w:tc>
                <w:tcPr>
                  <w:tcW w:w="2129" w:type="dxa"/>
                  <w:tcBorders>
                    <w:tl2br w:val="nil"/>
                    <w:tr2bl w:val="nil"/>
                  </w:tcBorders>
                  <w:vAlign w:val="center"/>
                </w:tcPr>
                <w:p w14:paraId="001C965B">
                  <w:pPr>
                    <w:widowControl/>
                    <w:adjustRightInd w:val="0"/>
                    <w:snapToGrid w:val="0"/>
                    <w:jc w:val="center"/>
                    <w:textAlignment w:val="center"/>
                    <w:rPr>
                      <w:color w:val="auto"/>
                      <w:position w:val="-10"/>
                      <w:szCs w:val="21"/>
                      <w:highlight w:val="none"/>
                    </w:rPr>
                  </w:pPr>
                  <w:r>
                    <w:rPr>
                      <w:color w:val="auto"/>
                      <w:position w:val="-10"/>
                      <w:szCs w:val="21"/>
                      <w:highlight w:val="none"/>
                    </w:rPr>
                    <w:t>0.040</w:t>
                  </w:r>
                </w:p>
              </w:tc>
              <w:tc>
                <w:tcPr>
                  <w:tcW w:w="1220" w:type="dxa"/>
                  <w:tcBorders>
                    <w:tl2br w:val="nil"/>
                    <w:tr2bl w:val="nil"/>
                  </w:tcBorders>
                  <w:shd w:val="clear" w:color="auto" w:fill="auto"/>
                  <w:vAlign w:val="center"/>
                </w:tcPr>
                <w:p w14:paraId="289BF668">
                  <w:pPr>
                    <w:widowControl/>
                    <w:adjustRightInd w:val="0"/>
                    <w:snapToGrid w:val="0"/>
                    <w:jc w:val="center"/>
                    <w:textAlignment w:val="center"/>
                    <w:rPr>
                      <w:color w:val="auto"/>
                      <w:position w:val="-10"/>
                      <w:szCs w:val="21"/>
                      <w:highlight w:val="none"/>
                    </w:rPr>
                  </w:pPr>
                  <w:r>
                    <w:rPr>
                      <w:color w:val="auto"/>
                      <w:szCs w:val="21"/>
                      <w:highlight w:val="none"/>
                    </w:rPr>
                    <w:t>0.6</w:t>
                  </w:r>
                </w:p>
              </w:tc>
              <w:tc>
                <w:tcPr>
                  <w:tcW w:w="1319" w:type="dxa"/>
                  <w:tcBorders>
                    <w:tl2br w:val="nil"/>
                    <w:tr2bl w:val="nil"/>
                  </w:tcBorders>
                  <w:shd w:val="clear" w:color="auto" w:fill="auto"/>
                  <w:vAlign w:val="center"/>
                </w:tcPr>
                <w:p w14:paraId="7601BE96">
                  <w:pPr>
                    <w:widowControl/>
                    <w:adjustRightInd w:val="0"/>
                    <w:snapToGrid w:val="0"/>
                    <w:jc w:val="center"/>
                    <w:textAlignment w:val="center"/>
                    <w:rPr>
                      <w:rFonts w:hint="eastAsia" w:eastAsia="宋体"/>
                      <w:color w:val="auto"/>
                      <w:position w:val="-10"/>
                      <w:szCs w:val="21"/>
                      <w:highlight w:val="none"/>
                      <w:lang w:eastAsia="zh-CN"/>
                    </w:rPr>
                  </w:pPr>
                  <w:r>
                    <w:rPr>
                      <w:rFonts w:eastAsia="Times New Roman"/>
                      <w:bCs/>
                      <w:color w:val="auto"/>
                      <w:sz w:val="20"/>
                      <w:highlight w:val="none"/>
                    </w:rPr>
                    <w:t>pgTEQ/N</w:t>
                  </w:r>
                  <w:r>
                    <w:rPr>
                      <w:rFonts w:hint="eastAsia" w:eastAsia="宋体"/>
                      <w:bCs/>
                      <w:color w:val="auto"/>
                      <w:sz w:val="20"/>
                      <w:highlight w:val="none"/>
                      <w:vertAlign w:val="baseline"/>
                      <w:lang w:eastAsia="zh-CN"/>
                    </w:rPr>
                    <w:t>m</w:t>
                  </w:r>
                  <w:r>
                    <w:rPr>
                      <w:rFonts w:hint="eastAsia" w:eastAsia="宋体"/>
                      <w:bCs/>
                      <w:color w:val="auto"/>
                      <w:sz w:val="20"/>
                      <w:highlight w:val="none"/>
                      <w:vertAlign w:val="superscript"/>
                      <w:lang w:eastAsia="zh-CN"/>
                    </w:rPr>
                    <w:t>3</w:t>
                  </w:r>
                </w:p>
              </w:tc>
            </w:tr>
            <w:tr w14:paraId="3BE43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6" w:type="dxa"/>
                  <w:vMerge w:val="restart"/>
                  <w:tcBorders>
                    <w:tl2br w:val="nil"/>
                    <w:tr2bl w:val="nil"/>
                  </w:tcBorders>
                  <w:vAlign w:val="center"/>
                </w:tcPr>
                <w:p w14:paraId="706B107F">
                  <w:pPr>
                    <w:widowControl/>
                    <w:adjustRightInd w:val="0"/>
                    <w:snapToGrid w:val="0"/>
                    <w:jc w:val="center"/>
                    <w:textAlignment w:val="center"/>
                    <w:rPr>
                      <w:color w:val="auto"/>
                      <w:kern w:val="0"/>
                      <w:szCs w:val="21"/>
                      <w:highlight w:val="none"/>
                    </w:rPr>
                  </w:pPr>
                  <w:r>
                    <w:rPr>
                      <w:color w:val="auto"/>
                      <w:kern w:val="0"/>
                      <w:szCs w:val="21"/>
                      <w:highlight w:val="none"/>
                    </w:rPr>
                    <w:t>2025.05.27</w:t>
                  </w:r>
                </w:p>
              </w:tc>
              <w:tc>
                <w:tcPr>
                  <w:tcW w:w="1656" w:type="dxa"/>
                  <w:tcBorders>
                    <w:tl2br w:val="nil"/>
                    <w:tr2bl w:val="nil"/>
                  </w:tcBorders>
                  <w:vAlign w:val="center"/>
                </w:tcPr>
                <w:p w14:paraId="5E36025E">
                  <w:pPr>
                    <w:adjustRightInd w:val="0"/>
                    <w:snapToGrid w:val="0"/>
                    <w:jc w:val="center"/>
                    <w:rPr>
                      <w:color w:val="auto"/>
                      <w:szCs w:val="21"/>
                      <w:highlight w:val="none"/>
                    </w:rPr>
                  </w:pPr>
                  <w:r>
                    <w:rPr>
                      <w:color w:val="auto"/>
                      <w:szCs w:val="22"/>
                      <w:highlight w:val="none"/>
                    </w:rPr>
                    <w:t>臭气浓度</w:t>
                  </w:r>
                </w:p>
              </w:tc>
              <w:tc>
                <w:tcPr>
                  <w:tcW w:w="2129" w:type="dxa"/>
                  <w:tcBorders>
                    <w:tl2br w:val="nil"/>
                    <w:tr2bl w:val="nil"/>
                  </w:tcBorders>
                  <w:vAlign w:val="center"/>
                </w:tcPr>
                <w:p w14:paraId="7EB07FB4">
                  <w:pPr>
                    <w:widowControl/>
                    <w:adjustRightInd w:val="0"/>
                    <w:snapToGrid w:val="0"/>
                    <w:jc w:val="center"/>
                    <w:textAlignment w:val="center"/>
                    <w:rPr>
                      <w:color w:val="auto"/>
                      <w:position w:val="-10"/>
                      <w:szCs w:val="21"/>
                      <w:highlight w:val="none"/>
                    </w:rPr>
                  </w:pPr>
                  <w:r>
                    <w:rPr>
                      <w:rFonts w:hint="eastAsia"/>
                      <w:color w:val="auto"/>
                      <w:szCs w:val="21"/>
                      <w:highlight w:val="none"/>
                      <w:lang w:eastAsia="zh-CN"/>
                    </w:rPr>
                    <w:t>&lt;</w:t>
                  </w:r>
                  <w:r>
                    <w:rPr>
                      <w:color w:val="auto"/>
                      <w:szCs w:val="21"/>
                      <w:highlight w:val="none"/>
                    </w:rPr>
                    <w:t>10</w:t>
                  </w:r>
                </w:p>
              </w:tc>
              <w:tc>
                <w:tcPr>
                  <w:tcW w:w="1220" w:type="dxa"/>
                  <w:tcBorders>
                    <w:tl2br w:val="nil"/>
                    <w:tr2bl w:val="nil"/>
                  </w:tcBorders>
                  <w:shd w:val="clear" w:color="auto" w:fill="auto"/>
                  <w:vAlign w:val="center"/>
                </w:tcPr>
                <w:p w14:paraId="498AA524">
                  <w:pPr>
                    <w:widowControl/>
                    <w:adjustRightInd w:val="0"/>
                    <w:snapToGrid w:val="0"/>
                    <w:jc w:val="center"/>
                    <w:textAlignment w:val="center"/>
                    <w:rPr>
                      <w:snapToGrid w:val="0"/>
                      <w:color w:val="auto"/>
                      <w:kern w:val="0"/>
                      <w:szCs w:val="21"/>
                      <w:highlight w:val="none"/>
                    </w:rPr>
                  </w:pPr>
                  <w:r>
                    <w:rPr>
                      <w:snapToGrid w:val="0"/>
                      <w:color w:val="auto"/>
                      <w:kern w:val="0"/>
                      <w:szCs w:val="21"/>
                      <w:highlight w:val="none"/>
                    </w:rPr>
                    <w:t>—</w:t>
                  </w:r>
                </w:p>
              </w:tc>
              <w:tc>
                <w:tcPr>
                  <w:tcW w:w="1319" w:type="dxa"/>
                  <w:tcBorders>
                    <w:tl2br w:val="nil"/>
                    <w:tr2bl w:val="nil"/>
                  </w:tcBorders>
                  <w:shd w:val="clear" w:color="auto" w:fill="auto"/>
                  <w:vAlign w:val="center"/>
                </w:tcPr>
                <w:p w14:paraId="3BF4EA65">
                  <w:pPr>
                    <w:widowControl/>
                    <w:adjustRightInd w:val="0"/>
                    <w:snapToGrid w:val="0"/>
                    <w:jc w:val="center"/>
                    <w:textAlignment w:val="center"/>
                    <w:rPr>
                      <w:color w:val="auto"/>
                      <w:position w:val="-10"/>
                      <w:szCs w:val="21"/>
                      <w:highlight w:val="none"/>
                    </w:rPr>
                  </w:pPr>
                  <w:r>
                    <w:rPr>
                      <w:color w:val="auto"/>
                      <w:szCs w:val="21"/>
                      <w:highlight w:val="none"/>
                    </w:rPr>
                    <w:t>无量纲</w:t>
                  </w:r>
                </w:p>
              </w:tc>
            </w:tr>
            <w:tr w14:paraId="5CC8A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6" w:type="dxa"/>
                  <w:vMerge w:val="continue"/>
                  <w:tcBorders>
                    <w:tl2br w:val="nil"/>
                    <w:tr2bl w:val="nil"/>
                  </w:tcBorders>
                  <w:vAlign w:val="center"/>
                </w:tcPr>
                <w:p w14:paraId="3D0B28F8">
                  <w:pPr>
                    <w:pStyle w:val="27"/>
                    <w:tabs>
                      <w:tab w:val="left" w:pos="0"/>
                    </w:tabs>
                    <w:rPr>
                      <w:color w:val="auto"/>
                      <w:szCs w:val="21"/>
                      <w:highlight w:val="none"/>
                    </w:rPr>
                  </w:pPr>
                </w:p>
              </w:tc>
              <w:tc>
                <w:tcPr>
                  <w:tcW w:w="1656" w:type="dxa"/>
                  <w:tcBorders>
                    <w:tl2br w:val="nil"/>
                    <w:tr2bl w:val="nil"/>
                  </w:tcBorders>
                  <w:vAlign w:val="center"/>
                </w:tcPr>
                <w:p w14:paraId="757D6EF3">
                  <w:pPr>
                    <w:adjustRightInd w:val="0"/>
                    <w:snapToGrid w:val="0"/>
                    <w:jc w:val="center"/>
                    <w:rPr>
                      <w:snapToGrid w:val="0"/>
                      <w:color w:val="auto"/>
                      <w:kern w:val="0"/>
                      <w:szCs w:val="21"/>
                      <w:highlight w:val="none"/>
                    </w:rPr>
                  </w:pPr>
                  <w:r>
                    <w:rPr>
                      <w:snapToGrid w:val="0"/>
                      <w:color w:val="auto"/>
                      <w:kern w:val="0"/>
                      <w:highlight w:val="none"/>
                    </w:rPr>
                    <w:t>氨</w:t>
                  </w:r>
                </w:p>
              </w:tc>
              <w:tc>
                <w:tcPr>
                  <w:tcW w:w="2129" w:type="dxa"/>
                  <w:tcBorders>
                    <w:tl2br w:val="nil"/>
                    <w:tr2bl w:val="nil"/>
                  </w:tcBorders>
                  <w:vAlign w:val="center"/>
                </w:tcPr>
                <w:p w14:paraId="060BB815">
                  <w:pPr>
                    <w:widowControl/>
                    <w:adjustRightInd w:val="0"/>
                    <w:snapToGrid w:val="0"/>
                    <w:jc w:val="center"/>
                    <w:textAlignment w:val="center"/>
                    <w:rPr>
                      <w:color w:val="auto"/>
                      <w:position w:val="-10"/>
                      <w:szCs w:val="21"/>
                      <w:highlight w:val="none"/>
                    </w:rPr>
                  </w:pPr>
                  <w:r>
                    <w:rPr>
                      <w:color w:val="auto"/>
                      <w:position w:val="-10"/>
                      <w:szCs w:val="21"/>
                      <w:highlight w:val="none"/>
                    </w:rPr>
                    <w:t>0.01L</w:t>
                  </w:r>
                </w:p>
              </w:tc>
              <w:tc>
                <w:tcPr>
                  <w:tcW w:w="1220" w:type="dxa"/>
                  <w:tcBorders>
                    <w:tl2br w:val="nil"/>
                    <w:tr2bl w:val="nil"/>
                  </w:tcBorders>
                  <w:vAlign w:val="center"/>
                </w:tcPr>
                <w:p w14:paraId="1812D4DF">
                  <w:pPr>
                    <w:widowControl/>
                    <w:adjustRightInd w:val="0"/>
                    <w:snapToGrid w:val="0"/>
                    <w:jc w:val="center"/>
                    <w:textAlignment w:val="center"/>
                    <w:rPr>
                      <w:color w:val="auto"/>
                      <w:position w:val="-10"/>
                      <w:szCs w:val="21"/>
                      <w:highlight w:val="none"/>
                    </w:rPr>
                  </w:pPr>
                  <w:r>
                    <w:rPr>
                      <w:snapToGrid w:val="0"/>
                      <w:color w:val="auto"/>
                      <w:kern w:val="0"/>
                      <w:szCs w:val="21"/>
                      <w:highlight w:val="none"/>
                    </w:rPr>
                    <w:t>—</w:t>
                  </w:r>
                </w:p>
              </w:tc>
              <w:tc>
                <w:tcPr>
                  <w:tcW w:w="1319" w:type="dxa"/>
                  <w:tcBorders>
                    <w:tl2br w:val="nil"/>
                    <w:tr2bl w:val="nil"/>
                  </w:tcBorders>
                  <w:vAlign w:val="center"/>
                </w:tcPr>
                <w:p w14:paraId="4BDB1621">
                  <w:pPr>
                    <w:widowControl/>
                    <w:adjustRightInd w:val="0"/>
                    <w:snapToGrid w:val="0"/>
                    <w:jc w:val="center"/>
                    <w:textAlignment w:val="center"/>
                    <w:rPr>
                      <w:rFonts w:hint="eastAsia" w:eastAsia="宋体"/>
                      <w:color w:val="auto"/>
                      <w:position w:val="-10"/>
                      <w:szCs w:val="21"/>
                      <w:highlight w:val="none"/>
                      <w:lang w:eastAsia="zh-CN"/>
                    </w:rPr>
                  </w:pPr>
                  <w:r>
                    <w:rPr>
                      <w:rFonts w:hint="eastAsia"/>
                      <w:snapToGrid w:val="0"/>
                      <w:color w:val="auto"/>
                      <w:kern w:val="0"/>
                      <w:szCs w:val="21"/>
                      <w:highlight w:val="none"/>
                      <w:lang w:eastAsia="zh-CN"/>
                    </w:rPr>
                    <w:t>m</w:t>
                  </w:r>
                  <w:r>
                    <w:rPr>
                      <w:snapToGrid w:val="0"/>
                      <w:color w:val="auto"/>
                      <w:kern w:val="0"/>
                      <w:szCs w:val="21"/>
                      <w:highlight w:val="none"/>
                    </w:rPr>
                    <w:t>g/</w:t>
                  </w:r>
                  <w:r>
                    <w:rPr>
                      <w:rFonts w:hint="eastAsia"/>
                      <w:snapToGrid w:val="0"/>
                      <w:color w:val="auto"/>
                      <w:kern w:val="0"/>
                      <w:szCs w:val="21"/>
                      <w:highlight w:val="none"/>
                      <w:vertAlign w:val="baseline"/>
                      <w:lang w:eastAsia="zh-CN"/>
                    </w:rPr>
                    <w:t>m</w:t>
                  </w:r>
                  <w:r>
                    <w:rPr>
                      <w:rFonts w:hint="eastAsia"/>
                      <w:snapToGrid w:val="0"/>
                      <w:color w:val="auto"/>
                      <w:kern w:val="0"/>
                      <w:szCs w:val="21"/>
                      <w:highlight w:val="none"/>
                      <w:vertAlign w:val="superscript"/>
                      <w:lang w:eastAsia="zh-CN"/>
                    </w:rPr>
                    <w:t>3</w:t>
                  </w:r>
                </w:p>
              </w:tc>
            </w:tr>
            <w:tr w14:paraId="4740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6" w:type="dxa"/>
                  <w:vMerge w:val="continue"/>
                  <w:tcBorders>
                    <w:tl2br w:val="nil"/>
                    <w:tr2bl w:val="nil"/>
                  </w:tcBorders>
                  <w:vAlign w:val="center"/>
                </w:tcPr>
                <w:p w14:paraId="586B6F64">
                  <w:pPr>
                    <w:pStyle w:val="27"/>
                    <w:tabs>
                      <w:tab w:val="left" w:pos="0"/>
                    </w:tabs>
                    <w:rPr>
                      <w:bCs/>
                      <w:color w:val="auto"/>
                      <w:szCs w:val="21"/>
                      <w:highlight w:val="none"/>
                    </w:rPr>
                  </w:pPr>
                </w:p>
              </w:tc>
              <w:tc>
                <w:tcPr>
                  <w:tcW w:w="1656" w:type="dxa"/>
                  <w:tcBorders>
                    <w:tl2br w:val="nil"/>
                    <w:tr2bl w:val="nil"/>
                  </w:tcBorders>
                  <w:vAlign w:val="center"/>
                </w:tcPr>
                <w:p w14:paraId="64A3996A">
                  <w:pPr>
                    <w:adjustRightInd w:val="0"/>
                    <w:snapToGrid w:val="0"/>
                    <w:jc w:val="center"/>
                    <w:rPr>
                      <w:snapToGrid w:val="0"/>
                      <w:color w:val="auto"/>
                      <w:kern w:val="0"/>
                      <w:highlight w:val="none"/>
                    </w:rPr>
                  </w:pPr>
                  <w:r>
                    <w:rPr>
                      <w:color w:val="auto"/>
                      <w:szCs w:val="21"/>
                      <w:highlight w:val="none"/>
                    </w:rPr>
                    <w:t>硫化氢</w:t>
                  </w:r>
                </w:p>
              </w:tc>
              <w:tc>
                <w:tcPr>
                  <w:tcW w:w="2129" w:type="dxa"/>
                  <w:tcBorders>
                    <w:tl2br w:val="nil"/>
                    <w:tr2bl w:val="nil"/>
                  </w:tcBorders>
                  <w:vAlign w:val="center"/>
                </w:tcPr>
                <w:p w14:paraId="385CF753">
                  <w:pPr>
                    <w:widowControl/>
                    <w:adjustRightInd w:val="0"/>
                    <w:snapToGrid w:val="0"/>
                    <w:jc w:val="center"/>
                    <w:textAlignment w:val="center"/>
                    <w:rPr>
                      <w:color w:val="auto"/>
                      <w:position w:val="-10"/>
                      <w:szCs w:val="21"/>
                      <w:highlight w:val="none"/>
                    </w:rPr>
                  </w:pPr>
                  <w:r>
                    <w:rPr>
                      <w:color w:val="auto"/>
                      <w:position w:val="-10"/>
                      <w:szCs w:val="21"/>
                      <w:highlight w:val="none"/>
                    </w:rPr>
                    <w:t>0.001L</w:t>
                  </w:r>
                </w:p>
              </w:tc>
              <w:tc>
                <w:tcPr>
                  <w:tcW w:w="1220" w:type="dxa"/>
                  <w:tcBorders>
                    <w:tl2br w:val="nil"/>
                    <w:tr2bl w:val="nil"/>
                  </w:tcBorders>
                  <w:vAlign w:val="center"/>
                </w:tcPr>
                <w:p w14:paraId="230120DA">
                  <w:pPr>
                    <w:widowControl/>
                    <w:adjustRightInd w:val="0"/>
                    <w:snapToGrid w:val="0"/>
                    <w:jc w:val="center"/>
                    <w:textAlignment w:val="center"/>
                    <w:rPr>
                      <w:snapToGrid w:val="0"/>
                      <w:color w:val="auto"/>
                      <w:kern w:val="0"/>
                      <w:szCs w:val="21"/>
                      <w:highlight w:val="none"/>
                    </w:rPr>
                  </w:pPr>
                  <w:r>
                    <w:rPr>
                      <w:snapToGrid w:val="0"/>
                      <w:color w:val="auto"/>
                      <w:kern w:val="0"/>
                      <w:szCs w:val="21"/>
                      <w:highlight w:val="none"/>
                    </w:rPr>
                    <w:t>—</w:t>
                  </w:r>
                </w:p>
              </w:tc>
              <w:tc>
                <w:tcPr>
                  <w:tcW w:w="1319" w:type="dxa"/>
                  <w:tcBorders>
                    <w:tl2br w:val="nil"/>
                    <w:tr2bl w:val="nil"/>
                  </w:tcBorders>
                  <w:vAlign w:val="center"/>
                </w:tcPr>
                <w:p w14:paraId="0C997666">
                  <w:pPr>
                    <w:widowControl/>
                    <w:adjustRightInd w:val="0"/>
                    <w:snapToGrid w:val="0"/>
                    <w:jc w:val="center"/>
                    <w:textAlignment w:val="center"/>
                    <w:rPr>
                      <w:rFonts w:hint="eastAsia" w:eastAsia="宋体"/>
                      <w:color w:val="auto"/>
                      <w:position w:val="-10"/>
                      <w:szCs w:val="21"/>
                      <w:highlight w:val="none"/>
                      <w:lang w:eastAsia="zh-CN"/>
                    </w:rPr>
                  </w:pPr>
                  <w:r>
                    <w:rPr>
                      <w:rFonts w:hint="eastAsia"/>
                      <w:color w:val="auto"/>
                      <w:position w:val="-10"/>
                      <w:szCs w:val="21"/>
                      <w:highlight w:val="none"/>
                      <w:lang w:eastAsia="zh-CN"/>
                    </w:rPr>
                    <w:t>m</w:t>
                  </w:r>
                  <w:r>
                    <w:rPr>
                      <w:color w:val="auto"/>
                      <w:position w:val="-10"/>
                      <w:szCs w:val="21"/>
                      <w:highlight w:val="none"/>
                    </w:rPr>
                    <w:t>g/</w:t>
                  </w:r>
                  <w:r>
                    <w:rPr>
                      <w:rFonts w:hint="eastAsia"/>
                      <w:color w:val="auto"/>
                      <w:position w:val="-10"/>
                      <w:szCs w:val="21"/>
                      <w:highlight w:val="none"/>
                      <w:vertAlign w:val="baseline"/>
                      <w:lang w:eastAsia="zh-CN"/>
                    </w:rPr>
                    <w:t>m</w:t>
                  </w:r>
                  <w:r>
                    <w:rPr>
                      <w:rFonts w:hint="eastAsia"/>
                      <w:color w:val="auto"/>
                      <w:position w:val="-10"/>
                      <w:szCs w:val="21"/>
                      <w:highlight w:val="none"/>
                      <w:vertAlign w:val="superscript"/>
                      <w:lang w:eastAsia="zh-CN"/>
                    </w:rPr>
                    <w:t>3</w:t>
                  </w:r>
                </w:p>
              </w:tc>
            </w:tr>
            <w:tr w14:paraId="489CB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6" w:type="dxa"/>
                  <w:vMerge w:val="continue"/>
                  <w:tcBorders>
                    <w:tl2br w:val="nil"/>
                    <w:tr2bl w:val="nil"/>
                  </w:tcBorders>
                  <w:vAlign w:val="center"/>
                </w:tcPr>
                <w:p w14:paraId="0BCC65CF">
                  <w:pPr>
                    <w:pStyle w:val="27"/>
                    <w:tabs>
                      <w:tab w:val="left" w:pos="0"/>
                    </w:tabs>
                    <w:rPr>
                      <w:bCs/>
                      <w:color w:val="auto"/>
                      <w:szCs w:val="21"/>
                      <w:highlight w:val="none"/>
                    </w:rPr>
                  </w:pPr>
                </w:p>
              </w:tc>
              <w:tc>
                <w:tcPr>
                  <w:tcW w:w="1656" w:type="dxa"/>
                  <w:tcBorders>
                    <w:tl2br w:val="nil"/>
                    <w:tr2bl w:val="nil"/>
                  </w:tcBorders>
                  <w:vAlign w:val="center"/>
                </w:tcPr>
                <w:p w14:paraId="600350B7">
                  <w:pPr>
                    <w:adjustRightInd w:val="0"/>
                    <w:snapToGrid w:val="0"/>
                    <w:jc w:val="center"/>
                    <w:rPr>
                      <w:color w:val="auto"/>
                      <w:szCs w:val="21"/>
                      <w:highlight w:val="none"/>
                    </w:rPr>
                  </w:pPr>
                  <w:r>
                    <w:rPr>
                      <w:snapToGrid w:val="0"/>
                      <w:color w:val="auto"/>
                      <w:highlight w:val="none"/>
                    </w:rPr>
                    <w:t>总悬浮颗粒物</w:t>
                  </w:r>
                </w:p>
              </w:tc>
              <w:tc>
                <w:tcPr>
                  <w:tcW w:w="2129" w:type="dxa"/>
                  <w:tcBorders>
                    <w:tl2br w:val="nil"/>
                    <w:tr2bl w:val="nil"/>
                  </w:tcBorders>
                  <w:vAlign w:val="center"/>
                </w:tcPr>
                <w:p w14:paraId="2F631ED1">
                  <w:pPr>
                    <w:widowControl/>
                    <w:adjustRightInd w:val="0"/>
                    <w:snapToGrid w:val="0"/>
                    <w:jc w:val="center"/>
                    <w:textAlignment w:val="center"/>
                    <w:rPr>
                      <w:color w:val="auto"/>
                      <w:position w:val="-10"/>
                      <w:szCs w:val="21"/>
                      <w:highlight w:val="none"/>
                    </w:rPr>
                  </w:pPr>
                  <w:r>
                    <w:rPr>
                      <w:color w:val="auto"/>
                      <w:position w:val="-10"/>
                      <w:szCs w:val="21"/>
                      <w:highlight w:val="none"/>
                    </w:rPr>
                    <w:t>0.111</w:t>
                  </w:r>
                </w:p>
              </w:tc>
              <w:tc>
                <w:tcPr>
                  <w:tcW w:w="1220" w:type="dxa"/>
                  <w:tcBorders>
                    <w:tl2br w:val="nil"/>
                    <w:tr2bl w:val="nil"/>
                  </w:tcBorders>
                  <w:shd w:val="clear" w:color="auto" w:fill="auto"/>
                  <w:vAlign w:val="center"/>
                </w:tcPr>
                <w:p w14:paraId="16E7D05F">
                  <w:pPr>
                    <w:widowControl/>
                    <w:adjustRightInd w:val="0"/>
                    <w:snapToGrid w:val="0"/>
                    <w:jc w:val="center"/>
                    <w:textAlignment w:val="center"/>
                    <w:rPr>
                      <w:color w:val="auto"/>
                      <w:position w:val="-10"/>
                      <w:szCs w:val="21"/>
                      <w:highlight w:val="none"/>
                    </w:rPr>
                  </w:pPr>
                  <w:r>
                    <w:rPr>
                      <w:color w:val="auto"/>
                      <w:position w:val="-10"/>
                      <w:szCs w:val="21"/>
                      <w:highlight w:val="none"/>
                    </w:rPr>
                    <w:t>0.3</w:t>
                  </w:r>
                </w:p>
              </w:tc>
              <w:tc>
                <w:tcPr>
                  <w:tcW w:w="1319" w:type="dxa"/>
                  <w:tcBorders>
                    <w:tl2br w:val="nil"/>
                    <w:tr2bl w:val="nil"/>
                  </w:tcBorders>
                  <w:shd w:val="clear" w:color="auto" w:fill="auto"/>
                  <w:vAlign w:val="center"/>
                </w:tcPr>
                <w:p w14:paraId="4A7D59E6">
                  <w:pPr>
                    <w:widowControl/>
                    <w:adjustRightInd w:val="0"/>
                    <w:snapToGrid w:val="0"/>
                    <w:jc w:val="center"/>
                    <w:textAlignment w:val="center"/>
                    <w:rPr>
                      <w:rFonts w:hint="eastAsia" w:eastAsia="宋体"/>
                      <w:color w:val="auto"/>
                      <w:position w:val="-10"/>
                      <w:szCs w:val="21"/>
                      <w:highlight w:val="none"/>
                      <w:lang w:eastAsia="zh-CN"/>
                    </w:rPr>
                  </w:pPr>
                  <w:r>
                    <w:rPr>
                      <w:rFonts w:hint="eastAsia"/>
                      <w:color w:val="auto"/>
                      <w:position w:val="-10"/>
                      <w:szCs w:val="21"/>
                      <w:highlight w:val="none"/>
                      <w:lang w:eastAsia="zh-CN"/>
                    </w:rPr>
                    <w:t>m</w:t>
                  </w:r>
                  <w:r>
                    <w:rPr>
                      <w:color w:val="auto"/>
                      <w:position w:val="-10"/>
                      <w:szCs w:val="21"/>
                      <w:highlight w:val="none"/>
                    </w:rPr>
                    <w:t>g/</w:t>
                  </w:r>
                  <w:r>
                    <w:rPr>
                      <w:rFonts w:hint="eastAsia"/>
                      <w:color w:val="auto"/>
                      <w:position w:val="-10"/>
                      <w:szCs w:val="21"/>
                      <w:highlight w:val="none"/>
                      <w:vertAlign w:val="baseline"/>
                      <w:lang w:eastAsia="zh-CN"/>
                    </w:rPr>
                    <w:t>m</w:t>
                  </w:r>
                  <w:r>
                    <w:rPr>
                      <w:rFonts w:hint="eastAsia"/>
                      <w:color w:val="auto"/>
                      <w:position w:val="-10"/>
                      <w:szCs w:val="21"/>
                      <w:highlight w:val="none"/>
                      <w:vertAlign w:val="superscript"/>
                      <w:lang w:eastAsia="zh-CN"/>
                    </w:rPr>
                    <w:t>3</w:t>
                  </w:r>
                </w:p>
              </w:tc>
            </w:tr>
            <w:tr w14:paraId="5CCD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6" w:type="dxa"/>
                  <w:vMerge w:val="continue"/>
                  <w:tcBorders>
                    <w:tl2br w:val="nil"/>
                    <w:tr2bl w:val="nil"/>
                  </w:tcBorders>
                  <w:vAlign w:val="center"/>
                </w:tcPr>
                <w:p w14:paraId="3D949B7F">
                  <w:pPr>
                    <w:pStyle w:val="27"/>
                    <w:tabs>
                      <w:tab w:val="left" w:pos="0"/>
                    </w:tabs>
                    <w:rPr>
                      <w:bCs/>
                      <w:color w:val="auto"/>
                      <w:szCs w:val="21"/>
                      <w:highlight w:val="none"/>
                    </w:rPr>
                  </w:pPr>
                </w:p>
              </w:tc>
              <w:tc>
                <w:tcPr>
                  <w:tcW w:w="1656" w:type="dxa"/>
                  <w:tcBorders>
                    <w:tl2br w:val="nil"/>
                    <w:tr2bl w:val="nil"/>
                  </w:tcBorders>
                  <w:shd w:val="clear" w:color="auto" w:fill="auto"/>
                  <w:vAlign w:val="center"/>
                </w:tcPr>
                <w:p w14:paraId="33E12323">
                  <w:pPr>
                    <w:adjustRightInd w:val="0"/>
                    <w:snapToGrid w:val="0"/>
                    <w:jc w:val="center"/>
                    <w:rPr>
                      <w:color w:val="auto"/>
                      <w:position w:val="-10"/>
                      <w:szCs w:val="21"/>
                      <w:highlight w:val="none"/>
                    </w:rPr>
                  </w:pPr>
                  <w:r>
                    <w:rPr>
                      <w:color w:val="auto"/>
                      <w:highlight w:val="none"/>
                    </w:rPr>
                    <w:t>氯化氢</w:t>
                  </w:r>
                </w:p>
              </w:tc>
              <w:tc>
                <w:tcPr>
                  <w:tcW w:w="2129" w:type="dxa"/>
                  <w:tcBorders>
                    <w:tl2br w:val="nil"/>
                    <w:tr2bl w:val="nil"/>
                  </w:tcBorders>
                  <w:vAlign w:val="center"/>
                </w:tcPr>
                <w:p w14:paraId="59790303">
                  <w:pPr>
                    <w:widowControl/>
                    <w:adjustRightInd w:val="0"/>
                    <w:snapToGrid w:val="0"/>
                    <w:jc w:val="center"/>
                    <w:textAlignment w:val="center"/>
                    <w:rPr>
                      <w:color w:val="auto"/>
                      <w:position w:val="-10"/>
                      <w:szCs w:val="21"/>
                      <w:highlight w:val="none"/>
                    </w:rPr>
                  </w:pPr>
                  <w:r>
                    <w:rPr>
                      <w:color w:val="auto"/>
                      <w:position w:val="-10"/>
                      <w:szCs w:val="21"/>
                      <w:highlight w:val="none"/>
                    </w:rPr>
                    <w:t>0.02L</w:t>
                  </w:r>
                </w:p>
              </w:tc>
              <w:tc>
                <w:tcPr>
                  <w:tcW w:w="1220" w:type="dxa"/>
                  <w:tcBorders>
                    <w:tl2br w:val="nil"/>
                    <w:tr2bl w:val="nil"/>
                  </w:tcBorders>
                  <w:shd w:val="clear" w:color="auto" w:fill="auto"/>
                  <w:vAlign w:val="center"/>
                </w:tcPr>
                <w:p w14:paraId="64802E7D">
                  <w:pPr>
                    <w:widowControl/>
                    <w:adjustRightInd w:val="0"/>
                    <w:snapToGrid w:val="0"/>
                    <w:jc w:val="center"/>
                    <w:textAlignment w:val="center"/>
                    <w:rPr>
                      <w:color w:val="auto"/>
                      <w:position w:val="-10"/>
                      <w:szCs w:val="21"/>
                      <w:highlight w:val="none"/>
                    </w:rPr>
                  </w:pPr>
                  <w:r>
                    <w:rPr>
                      <w:snapToGrid w:val="0"/>
                      <w:color w:val="auto"/>
                      <w:kern w:val="0"/>
                      <w:szCs w:val="21"/>
                      <w:highlight w:val="none"/>
                    </w:rPr>
                    <w:t>—</w:t>
                  </w:r>
                </w:p>
              </w:tc>
              <w:tc>
                <w:tcPr>
                  <w:tcW w:w="1319" w:type="dxa"/>
                  <w:tcBorders>
                    <w:tl2br w:val="nil"/>
                    <w:tr2bl w:val="nil"/>
                  </w:tcBorders>
                  <w:shd w:val="clear" w:color="auto" w:fill="auto"/>
                  <w:vAlign w:val="center"/>
                </w:tcPr>
                <w:p w14:paraId="09574F3C">
                  <w:pPr>
                    <w:widowControl/>
                    <w:adjustRightInd w:val="0"/>
                    <w:snapToGrid w:val="0"/>
                    <w:jc w:val="center"/>
                    <w:textAlignment w:val="center"/>
                    <w:rPr>
                      <w:rFonts w:hint="eastAsia" w:eastAsia="宋体"/>
                      <w:color w:val="auto"/>
                      <w:position w:val="-10"/>
                      <w:szCs w:val="21"/>
                      <w:highlight w:val="none"/>
                      <w:lang w:eastAsia="zh-CN"/>
                    </w:rPr>
                  </w:pPr>
                  <w:r>
                    <w:rPr>
                      <w:rFonts w:hint="eastAsia"/>
                      <w:snapToGrid w:val="0"/>
                      <w:color w:val="auto"/>
                      <w:kern w:val="0"/>
                      <w:szCs w:val="21"/>
                      <w:highlight w:val="none"/>
                      <w:lang w:eastAsia="zh-CN"/>
                    </w:rPr>
                    <w:t>m</w:t>
                  </w:r>
                  <w:r>
                    <w:rPr>
                      <w:snapToGrid w:val="0"/>
                      <w:color w:val="auto"/>
                      <w:kern w:val="0"/>
                      <w:szCs w:val="21"/>
                      <w:highlight w:val="none"/>
                    </w:rPr>
                    <w:t>g/</w:t>
                  </w:r>
                  <w:r>
                    <w:rPr>
                      <w:rFonts w:hint="eastAsia"/>
                      <w:snapToGrid w:val="0"/>
                      <w:color w:val="auto"/>
                      <w:kern w:val="0"/>
                      <w:szCs w:val="21"/>
                      <w:highlight w:val="none"/>
                      <w:vertAlign w:val="baseline"/>
                      <w:lang w:eastAsia="zh-CN"/>
                    </w:rPr>
                    <w:t>m</w:t>
                  </w:r>
                  <w:r>
                    <w:rPr>
                      <w:rFonts w:hint="eastAsia"/>
                      <w:snapToGrid w:val="0"/>
                      <w:color w:val="auto"/>
                      <w:kern w:val="0"/>
                      <w:szCs w:val="21"/>
                      <w:highlight w:val="none"/>
                      <w:vertAlign w:val="superscript"/>
                      <w:lang w:eastAsia="zh-CN"/>
                    </w:rPr>
                    <w:t>3</w:t>
                  </w:r>
                </w:p>
              </w:tc>
            </w:tr>
            <w:tr w14:paraId="12837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6" w:type="dxa"/>
                  <w:vMerge w:val="continue"/>
                  <w:tcBorders>
                    <w:tl2br w:val="nil"/>
                    <w:tr2bl w:val="nil"/>
                  </w:tcBorders>
                  <w:vAlign w:val="center"/>
                </w:tcPr>
                <w:p w14:paraId="18CCB6FE">
                  <w:pPr>
                    <w:pStyle w:val="27"/>
                    <w:tabs>
                      <w:tab w:val="left" w:pos="0"/>
                    </w:tabs>
                    <w:rPr>
                      <w:bCs/>
                      <w:color w:val="auto"/>
                      <w:szCs w:val="21"/>
                      <w:highlight w:val="none"/>
                    </w:rPr>
                  </w:pPr>
                </w:p>
              </w:tc>
              <w:tc>
                <w:tcPr>
                  <w:tcW w:w="1656" w:type="dxa"/>
                  <w:tcBorders>
                    <w:tl2br w:val="nil"/>
                    <w:tr2bl w:val="nil"/>
                  </w:tcBorders>
                  <w:shd w:val="clear" w:color="auto" w:fill="auto"/>
                  <w:vAlign w:val="center"/>
                </w:tcPr>
                <w:p w14:paraId="7C53EE1E">
                  <w:pPr>
                    <w:pStyle w:val="19"/>
                    <w:adjustRightInd w:val="0"/>
                    <w:snapToGrid w:val="0"/>
                    <w:ind w:left="0" w:leftChars="0" w:firstLine="0" w:firstLineChars="0"/>
                    <w:jc w:val="center"/>
                    <w:rPr>
                      <w:color w:val="auto"/>
                      <w:position w:val="-10"/>
                      <w:szCs w:val="21"/>
                      <w:highlight w:val="none"/>
                    </w:rPr>
                  </w:pPr>
                  <w:r>
                    <w:rPr>
                      <w:bCs/>
                      <w:color w:val="auto"/>
                      <w:szCs w:val="21"/>
                      <w:highlight w:val="none"/>
                    </w:rPr>
                    <w:t>汞</w:t>
                  </w:r>
                </w:p>
              </w:tc>
              <w:tc>
                <w:tcPr>
                  <w:tcW w:w="2129" w:type="dxa"/>
                  <w:tcBorders>
                    <w:tl2br w:val="nil"/>
                    <w:tr2bl w:val="nil"/>
                  </w:tcBorders>
                  <w:vAlign w:val="center"/>
                </w:tcPr>
                <w:p w14:paraId="35F2F836">
                  <w:pPr>
                    <w:widowControl/>
                    <w:adjustRightInd w:val="0"/>
                    <w:snapToGrid w:val="0"/>
                    <w:jc w:val="center"/>
                    <w:textAlignment w:val="center"/>
                    <w:rPr>
                      <w:color w:val="auto"/>
                      <w:position w:val="-10"/>
                      <w:szCs w:val="21"/>
                      <w:highlight w:val="none"/>
                    </w:rPr>
                  </w:pPr>
                  <w:r>
                    <w:rPr>
                      <w:snapToGrid w:val="0"/>
                      <w:color w:val="auto"/>
                      <w:kern w:val="0"/>
                      <w:szCs w:val="21"/>
                      <w:highlight w:val="none"/>
                    </w:rPr>
                    <w:t>3×10</w:t>
                  </w:r>
                  <w:r>
                    <w:rPr>
                      <w:snapToGrid w:val="0"/>
                      <w:color w:val="auto"/>
                      <w:kern w:val="0"/>
                      <w:szCs w:val="21"/>
                      <w:highlight w:val="none"/>
                      <w:vertAlign w:val="superscript"/>
                    </w:rPr>
                    <w:t>-6</w:t>
                  </w:r>
                  <w:r>
                    <w:rPr>
                      <w:snapToGrid w:val="0"/>
                      <w:color w:val="auto"/>
                      <w:kern w:val="0"/>
                      <w:szCs w:val="21"/>
                      <w:highlight w:val="none"/>
                    </w:rPr>
                    <w:t>L</w:t>
                  </w:r>
                </w:p>
              </w:tc>
              <w:tc>
                <w:tcPr>
                  <w:tcW w:w="1220" w:type="dxa"/>
                  <w:tcBorders>
                    <w:tl2br w:val="nil"/>
                    <w:tr2bl w:val="nil"/>
                  </w:tcBorders>
                  <w:shd w:val="clear" w:color="auto" w:fill="auto"/>
                  <w:vAlign w:val="center"/>
                </w:tcPr>
                <w:p w14:paraId="2387DC26">
                  <w:pPr>
                    <w:widowControl/>
                    <w:adjustRightInd w:val="0"/>
                    <w:snapToGrid w:val="0"/>
                    <w:jc w:val="center"/>
                    <w:textAlignment w:val="center"/>
                    <w:rPr>
                      <w:color w:val="auto"/>
                      <w:position w:val="-10"/>
                      <w:szCs w:val="21"/>
                      <w:highlight w:val="none"/>
                    </w:rPr>
                  </w:pPr>
                  <w:r>
                    <w:rPr>
                      <w:color w:val="auto"/>
                      <w:position w:val="-10"/>
                      <w:szCs w:val="21"/>
                      <w:highlight w:val="none"/>
                    </w:rPr>
                    <w:t>0.05</w:t>
                  </w:r>
                </w:p>
              </w:tc>
              <w:tc>
                <w:tcPr>
                  <w:tcW w:w="1319" w:type="dxa"/>
                  <w:tcBorders>
                    <w:tl2br w:val="nil"/>
                    <w:tr2bl w:val="nil"/>
                  </w:tcBorders>
                  <w:shd w:val="clear" w:color="auto" w:fill="auto"/>
                  <w:vAlign w:val="center"/>
                </w:tcPr>
                <w:p w14:paraId="72C230EC">
                  <w:pPr>
                    <w:widowControl/>
                    <w:adjustRightInd w:val="0"/>
                    <w:snapToGrid w:val="0"/>
                    <w:jc w:val="center"/>
                    <w:textAlignment w:val="center"/>
                    <w:rPr>
                      <w:rFonts w:hint="eastAsia" w:eastAsia="宋体"/>
                      <w:color w:val="auto"/>
                      <w:position w:val="-10"/>
                      <w:szCs w:val="21"/>
                      <w:highlight w:val="none"/>
                      <w:lang w:eastAsia="zh-CN"/>
                    </w:rPr>
                  </w:pPr>
                  <w:r>
                    <w:rPr>
                      <w:rFonts w:hint="eastAsia"/>
                      <w:snapToGrid w:val="0"/>
                      <w:color w:val="auto"/>
                      <w:kern w:val="0"/>
                      <w:szCs w:val="21"/>
                      <w:highlight w:val="none"/>
                      <w:lang w:eastAsia="zh-CN"/>
                    </w:rPr>
                    <w:t>m</w:t>
                  </w:r>
                  <w:r>
                    <w:rPr>
                      <w:snapToGrid w:val="0"/>
                      <w:color w:val="auto"/>
                      <w:kern w:val="0"/>
                      <w:szCs w:val="21"/>
                      <w:highlight w:val="none"/>
                    </w:rPr>
                    <w:t>g/</w:t>
                  </w:r>
                  <w:r>
                    <w:rPr>
                      <w:rFonts w:hint="eastAsia"/>
                      <w:snapToGrid w:val="0"/>
                      <w:color w:val="auto"/>
                      <w:kern w:val="0"/>
                      <w:szCs w:val="21"/>
                      <w:highlight w:val="none"/>
                      <w:vertAlign w:val="baseline"/>
                      <w:lang w:eastAsia="zh-CN"/>
                    </w:rPr>
                    <w:t>m</w:t>
                  </w:r>
                  <w:r>
                    <w:rPr>
                      <w:rFonts w:hint="eastAsia"/>
                      <w:snapToGrid w:val="0"/>
                      <w:color w:val="auto"/>
                      <w:kern w:val="0"/>
                      <w:szCs w:val="21"/>
                      <w:highlight w:val="none"/>
                      <w:vertAlign w:val="superscript"/>
                      <w:lang w:eastAsia="zh-CN"/>
                    </w:rPr>
                    <w:t>3</w:t>
                  </w:r>
                </w:p>
              </w:tc>
            </w:tr>
            <w:tr w14:paraId="55918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6" w:type="dxa"/>
                  <w:vMerge w:val="continue"/>
                  <w:tcBorders>
                    <w:tl2br w:val="nil"/>
                    <w:tr2bl w:val="nil"/>
                  </w:tcBorders>
                  <w:vAlign w:val="center"/>
                </w:tcPr>
                <w:p w14:paraId="748BF549">
                  <w:pPr>
                    <w:pStyle w:val="27"/>
                    <w:tabs>
                      <w:tab w:val="left" w:pos="0"/>
                    </w:tabs>
                    <w:rPr>
                      <w:bCs/>
                      <w:color w:val="auto"/>
                      <w:szCs w:val="21"/>
                      <w:highlight w:val="none"/>
                    </w:rPr>
                  </w:pPr>
                </w:p>
              </w:tc>
              <w:tc>
                <w:tcPr>
                  <w:tcW w:w="1656" w:type="dxa"/>
                  <w:tcBorders>
                    <w:tl2br w:val="nil"/>
                    <w:tr2bl w:val="nil"/>
                  </w:tcBorders>
                  <w:shd w:val="clear" w:color="auto" w:fill="auto"/>
                  <w:vAlign w:val="center"/>
                </w:tcPr>
                <w:p w14:paraId="5C4544E5">
                  <w:pPr>
                    <w:pStyle w:val="19"/>
                    <w:adjustRightInd w:val="0"/>
                    <w:snapToGrid w:val="0"/>
                    <w:ind w:left="0" w:leftChars="0" w:firstLine="0" w:firstLineChars="0"/>
                    <w:jc w:val="center"/>
                    <w:rPr>
                      <w:color w:val="auto"/>
                      <w:position w:val="-10"/>
                      <w:szCs w:val="21"/>
                      <w:highlight w:val="none"/>
                    </w:rPr>
                  </w:pPr>
                  <w:r>
                    <w:rPr>
                      <w:snapToGrid w:val="0"/>
                      <w:color w:val="auto"/>
                      <w:highlight w:val="none"/>
                    </w:rPr>
                    <w:t>*二噁英类</w:t>
                  </w:r>
                </w:p>
              </w:tc>
              <w:tc>
                <w:tcPr>
                  <w:tcW w:w="2129" w:type="dxa"/>
                  <w:tcBorders>
                    <w:tl2br w:val="nil"/>
                    <w:tr2bl w:val="nil"/>
                  </w:tcBorders>
                  <w:vAlign w:val="center"/>
                </w:tcPr>
                <w:p w14:paraId="30EF78E9">
                  <w:pPr>
                    <w:widowControl/>
                    <w:adjustRightInd w:val="0"/>
                    <w:snapToGrid w:val="0"/>
                    <w:jc w:val="center"/>
                    <w:textAlignment w:val="center"/>
                    <w:rPr>
                      <w:color w:val="auto"/>
                      <w:position w:val="-10"/>
                      <w:szCs w:val="21"/>
                      <w:highlight w:val="none"/>
                    </w:rPr>
                  </w:pPr>
                  <w:r>
                    <w:rPr>
                      <w:color w:val="auto"/>
                      <w:position w:val="-10"/>
                      <w:szCs w:val="21"/>
                      <w:highlight w:val="none"/>
                    </w:rPr>
                    <w:t>0.028</w:t>
                  </w:r>
                </w:p>
              </w:tc>
              <w:tc>
                <w:tcPr>
                  <w:tcW w:w="1220" w:type="dxa"/>
                  <w:tcBorders>
                    <w:tl2br w:val="nil"/>
                    <w:tr2bl w:val="nil"/>
                  </w:tcBorders>
                  <w:shd w:val="clear" w:color="auto" w:fill="auto"/>
                  <w:vAlign w:val="center"/>
                </w:tcPr>
                <w:p w14:paraId="2748E572">
                  <w:pPr>
                    <w:widowControl/>
                    <w:adjustRightInd w:val="0"/>
                    <w:snapToGrid w:val="0"/>
                    <w:jc w:val="center"/>
                    <w:textAlignment w:val="center"/>
                    <w:rPr>
                      <w:color w:val="auto"/>
                      <w:position w:val="-10"/>
                      <w:szCs w:val="21"/>
                      <w:highlight w:val="none"/>
                    </w:rPr>
                  </w:pPr>
                  <w:r>
                    <w:rPr>
                      <w:color w:val="auto"/>
                      <w:szCs w:val="21"/>
                      <w:highlight w:val="none"/>
                    </w:rPr>
                    <w:t>0.6</w:t>
                  </w:r>
                </w:p>
              </w:tc>
              <w:tc>
                <w:tcPr>
                  <w:tcW w:w="1319" w:type="dxa"/>
                  <w:tcBorders>
                    <w:tl2br w:val="nil"/>
                    <w:tr2bl w:val="nil"/>
                  </w:tcBorders>
                  <w:shd w:val="clear" w:color="auto" w:fill="auto"/>
                  <w:vAlign w:val="center"/>
                </w:tcPr>
                <w:p w14:paraId="4A6F2EEE">
                  <w:pPr>
                    <w:widowControl/>
                    <w:adjustRightInd w:val="0"/>
                    <w:snapToGrid w:val="0"/>
                    <w:jc w:val="center"/>
                    <w:textAlignment w:val="center"/>
                    <w:rPr>
                      <w:rFonts w:hint="eastAsia" w:eastAsia="宋体"/>
                      <w:color w:val="auto"/>
                      <w:position w:val="-10"/>
                      <w:szCs w:val="21"/>
                      <w:highlight w:val="none"/>
                      <w:lang w:eastAsia="zh-CN"/>
                    </w:rPr>
                  </w:pPr>
                  <w:r>
                    <w:rPr>
                      <w:rFonts w:eastAsia="Times New Roman"/>
                      <w:bCs/>
                      <w:color w:val="auto"/>
                      <w:sz w:val="20"/>
                      <w:highlight w:val="none"/>
                    </w:rPr>
                    <w:t>pgTEQ/N</w:t>
                  </w:r>
                  <w:r>
                    <w:rPr>
                      <w:rFonts w:hint="eastAsia" w:eastAsia="宋体"/>
                      <w:bCs/>
                      <w:color w:val="auto"/>
                      <w:sz w:val="20"/>
                      <w:highlight w:val="none"/>
                      <w:vertAlign w:val="baseline"/>
                      <w:lang w:eastAsia="zh-CN"/>
                    </w:rPr>
                    <w:t>m</w:t>
                  </w:r>
                  <w:r>
                    <w:rPr>
                      <w:rFonts w:hint="eastAsia" w:eastAsia="宋体"/>
                      <w:bCs/>
                      <w:color w:val="auto"/>
                      <w:sz w:val="20"/>
                      <w:highlight w:val="none"/>
                      <w:vertAlign w:val="superscript"/>
                      <w:lang w:eastAsia="zh-CN"/>
                    </w:rPr>
                    <w:t>3</w:t>
                  </w:r>
                </w:p>
              </w:tc>
            </w:tr>
            <w:tr w14:paraId="3B4B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6" w:type="dxa"/>
                  <w:tcBorders>
                    <w:tl2br w:val="nil"/>
                    <w:tr2bl w:val="nil"/>
                  </w:tcBorders>
                  <w:vAlign w:val="center"/>
                </w:tcPr>
                <w:p w14:paraId="3F1E7C1D">
                  <w:pPr>
                    <w:widowControl/>
                    <w:adjustRightInd w:val="0"/>
                    <w:snapToGrid w:val="0"/>
                    <w:jc w:val="center"/>
                    <w:textAlignment w:val="center"/>
                    <w:rPr>
                      <w:color w:val="auto"/>
                      <w:position w:val="-10"/>
                      <w:szCs w:val="21"/>
                      <w:highlight w:val="none"/>
                    </w:rPr>
                  </w:pPr>
                  <w:r>
                    <w:rPr>
                      <w:color w:val="auto"/>
                      <w:position w:val="-10"/>
                      <w:szCs w:val="21"/>
                      <w:highlight w:val="none"/>
                    </w:rPr>
                    <w:t>备注</w:t>
                  </w:r>
                </w:p>
              </w:tc>
              <w:tc>
                <w:tcPr>
                  <w:tcW w:w="6324" w:type="dxa"/>
                  <w:gridSpan w:val="4"/>
                  <w:tcBorders>
                    <w:tl2br w:val="nil"/>
                    <w:tr2bl w:val="nil"/>
                  </w:tcBorders>
                  <w:vAlign w:val="center"/>
                </w:tcPr>
                <w:p w14:paraId="0ED591CF">
                  <w:pPr>
                    <w:adjustRightInd w:val="0"/>
                    <w:snapToGrid w:val="0"/>
                    <w:rPr>
                      <w:color w:val="auto"/>
                      <w:szCs w:val="21"/>
                      <w:highlight w:val="none"/>
                    </w:rPr>
                  </w:pPr>
                  <w:r>
                    <w:rPr>
                      <w:color w:val="auto"/>
                      <w:szCs w:val="21"/>
                      <w:highlight w:val="none"/>
                    </w:rPr>
                    <w:t>1.总悬浮颗粒物</w:t>
                  </w:r>
                  <w:r>
                    <w:rPr>
                      <w:color w:val="auto"/>
                      <w:highlight w:val="none"/>
                    </w:rPr>
                    <w:t>检测结果参照执行《环境空气质量标准》GB3095-2012及其修改单的表2二级浓度限值要求</w:t>
                  </w:r>
                  <w:r>
                    <w:rPr>
                      <w:color w:val="auto"/>
                      <w:szCs w:val="21"/>
                      <w:highlight w:val="none"/>
                    </w:rPr>
                    <w:t>；汞检测结果参照执行</w:t>
                  </w:r>
                  <w:r>
                    <w:rPr>
                      <w:bCs/>
                      <w:color w:val="auto"/>
                      <w:highlight w:val="none"/>
                    </w:rPr>
                    <w:t>《环境空气质量标准》GB3095-2012表A.1二级标准；</w:t>
                  </w:r>
                  <w:r>
                    <w:rPr>
                      <w:rFonts w:hint="eastAsia"/>
                      <w:color w:val="auto"/>
                      <w:szCs w:val="21"/>
                      <w:highlight w:val="none"/>
                      <w:lang w:eastAsia="zh-CN"/>
                    </w:rPr>
                    <w:t>“</w:t>
                  </w:r>
                  <w:r>
                    <w:rPr>
                      <w:color w:val="auto"/>
                      <w:szCs w:val="21"/>
                      <w:highlight w:val="none"/>
                    </w:rPr>
                    <w:t>*二噁英类</w:t>
                  </w:r>
                  <w:r>
                    <w:rPr>
                      <w:rFonts w:hint="eastAsia"/>
                      <w:color w:val="auto"/>
                      <w:szCs w:val="21"/>
                      <w:highlight w:val="none"/>
                      <w:lang w:eastAsia="zh-CN"/>
                    </w:rPr>
                    <w:t>”</w:t>
                  </w:r>
                  <w:r>
                    <w:rPr>
                      <w:color w:val="auto"/>
                      <w:kern w:val="0"/>
                      <w:szCs w:val="21"/>
                      <w:highlight w:val="none"/>
                    </w:rPr>
                    <w:t>参照日本环境质量标准</w:t>
                  </w:r>
                  <w:r>
                    <w:rPr>
                      <w:rFonts w:hint="eastAsia"/>
                      <w:color w:val="auto"/>
                      <w:kern w:val="0"/>
                      <w:szCs w:val="21"/>
                      <w:highlight w:val="none"/>
                      <w:lang w:eastAsia="zh-CN"/>
                    </w:rPr>
                    <w:t>（</w:t>
                  </w:r>
                  <w:r>
                    <w:rPr>
                      <w:rFonts w:hint="default"/>
                      <w:color w:val="auto"/>
                      <w:kern w:val="0"/>
                      <w:szCs w:val="21"/>
                      <w:highlight w:val="none"/>
                    </w:rPr>
                    <w:t>2002年7月环境省告示第46号</w:t>
                  </w:r>
                  <w:r>
                    <w:rPr>
                      <w:rFonts w:hint="eastAsia"/>
                      <w:color w:val="auto"/>
                      <w:kern w:val="0"/>
                      <w:szCs w:val="21"/>
                      <w:highlight w:val="none"/>
                      <w:lang w:eastAsia="zh-CN"/>
                    </w:rPr>
                    <w:t>）</w:t>
                  </w:r>
                  <w:r>
                    <w:rPr>
                      <w:color w:val="auto"/>
                      <w:kern w:val="0"/>
                      <w:szCs w:val="21"/>
                      <w:highlight w:val="none"/>
                    </w:rPr>
                    <w:t>；</w:t>
                  </w:r>
                  <w:r>
                    <w:rPr>
                      <w:color w:val="auto"/>
                      <w:highlight w:val="none"/>
                    </w:rPr>
                    <w:t>其</w:t>
                  </w:r>
                  <w:r>
                    <w:rPr>
                      <w:rFonts w:hint="eastAsia"/>
                      <w:color w:val="auto"/>
                      <w:highlight w:val="none"/>
                      <w:lang w:eastAsia="zh-CN"/>
                    </w:rPr>
                    <w:t>他</w:t>
                  </w:r>
                  <w:r>
                    <w:rPr>
                      <w:color w:val="auto"/>
                      <w:highlight w:val="none"/>
                    </w:rPr>
                    <w:t>因子参照执行《环境影响评价技术导则 大气环境》HJ2.2-2018附录D</w:t>
                  </w:r>
                  <w:r>
                    <w:rPr>
                      <w:color w:val="auto"/>
                      <w:szCs w:val="21"/>
                      <w:highlight w:val="none"/>
                    </w:rPr>
                    <w:t>中D.1；</w:t>
                  </w:r>
                </w:p>
                <w:p w14:paraId="58B837E4">
                  <w:pPr>
                    <w:adjustRightInd w:val="0"/>
                    <w:snapToGrid w:val="0"/>
                    <w:jc w:val="left"/>
                    <w:rPr>
                      <w:color w:val="auto"/>
                      <w:szCs w:val="21"/>
                      <w:highlight w:val="none"/>
                    </w:rPr>
                  </w:pPr>
                  <w:r>
                    <w:rPr>
                      <w:color w:val="auto"/>
                      <w:szCs w:val="21"/>
                      <w:highlight w:val="none"/>
                    </w:rPr>
                    <w:t>2.</w:t>
                  </w:r>
                  <w:r>
                    <w:rPr>
                      <w:rFonts w:hint="eastAsia"/>
                      <w:color w:val="auto"/>
                      <w:szCs w:val="21"/>
                      <w:highlight w:val="none"/>
                      <w:lang w:eastAsia="zh-CN"/>
                    </w:rPr>
                    <w:t>“</w:t>
                  </w:r>
                  <w:r>
                    <w:rPr>
                      <w:color w:val="auto"/>
                      <w:szCs w:val="21"/>
                      <w:highlight w:val="none"/>
                    </w:rPr>
                    <w:t>L</w:t>
                  </w:r>
                  <w:r>
                    <w:rPr>
                      <w:rFonts w:hint="eastAsia"/>
                      <w:color w:val="auto"/>
                      <w:szCs w:val="21"/>
                      <w:highlight w:val="none"/>
                      <w:lang w:eastAsia="zh-CN"/>
                    </w:rPr>
                    <w:t>”</w:t>
                  </w:r>
                  <w:r>
                    <w:rPr>
                      <w:color w:val="auto"/>
                      <w:szCs w:val="21"/>
                      <w:highlight w:val="none"/>
                    </w:rPr>
                    <w:t>表示低于方法检出限；</w:t>
                  </w:r>
                </w:p>
                <w:p w14:paraId="4FF72D00">
                  <w:pPr>
                    <w:adjustRightInd w:val="0"/>
                    <w:snapToGrid w:val="0"/>
                    <w:jc w:val="left"/>
                    <w:rPr>
                      <w:color w:val="auto"/>
                      <w:highlight w:val="none"/>
                    </w:rPr>
                  </w:pPr>
                  <w:r>
                    <w:rPr>
                      <w:color w:val="auto"/>
                      <w:szCs w:val="21"/>
                      <w:highlight w:val="none"/>
                    </w:rPr>
                    <w:t>3.</w:t>
                  </w:r>
                  <w:r>
                    <w:rPr>
                      <w:rFonts w:hint="eastAsia"/>
                      <w:color w:val="auto"/>
                      <w:szCs w:val="21"/>
                      <w:highlight w:val="none"/>
                      <w:lang w:eastAsia="zh-CN"/>
                    </w:rPr>
                    <w:t>“</w:t>
                  </w:r>
                  <w:r>
                    <w:rPr>
                      <w:color w:val="auto"/>
                      <w:szCs w:val="21"/>
                      <w:highlight w:val="none"/>
                    </w:rPr>
                    <w:t>*二噁英类</w:t>
                  </w:r>
                  <w:r>
                    <w:rPr>
                      <w:rFonts w:hint="eastAsia"/>
                      <w:color w:val="auto"/>
                      <w:szCs w:val="21"/>
                      <w:highlight w:val="none"/>
                      <w:lang w:eastAsia="zh-CN"/>
                    </w:rPr>
                    <w:t>”</w:t>
                  </w:r>
                  <w:r>
                    <w:rPr>
                      <w:color w:val="auto"/>
                      <w:szCs w:val="21"/>
                      <w:highlight w:val="none"/>
                    </w:rPr>
                    <w:t>项目由江苏格林勒斯检测科技有限公司分包检测，证书编号为：231012341317。</w:t>
                  </w:r>
                </w:p>
              </w:tc>
            </w:tr>
          </w:tbl>
          <w:p w14:paraId="40A0F1AE">
            <w:pPr>
              <w:adjustRightInd w:val="0"/>
              <w:snapToGrid w:val="0"/>
              <w:spacing w:before="240" w:line="360" w:lineRule="auto"/>
              <w:ind w:firstLine="480" w:firstLineChars="200"/>
              <w:rPr>
                <w:color w:val="auto"/>
                <w:sz w:val="24"/>
                <w:highlight w:val="none"/>
              </w:rPr>
            </w:pPr>
            <w:r>
              <w:rPr>
                <w:color w:val="auto"/>
                <w:sz w:val="24"/>
                <w:highlight w:val="none"/>
              </w:rPr>
              <w:t>根据现状监测数据可知，总悬浮颗粒物、汞满足《环境空气质量标准》（GB3095－2012）二级标准限值要求；氯化氢、氨、硫化氢满足《环境影响评价技术导则 大气环境》（HJ2.2-2018）附录D中浓度限值要求；二噁英满足</w:t>
            </w:r>
            <w:r>
              <w:rPr>
                <w:bCs/>
                <w:color w:val="auto"/>
                <w:sz w:val="24"/>
                <w:highlight w:val="none"/>
              </w:rPr>
              <w:t>日本环境质量标准</w:t>
            </w:r>
            <w:r>
              <w:rPr>
                <w:rFonts w:hint="eastAsia"/>
                <w:bCs/>
                <w:color w:val="auto"/>
                <w:sz w:val="24"/>
                <w:highlight w:val="none"/>
                <w:lang w:eastAsia="zh-CN"/>
              </w:rPr>
              <w:t>（</w:t>
            </w:r>
            <w:r>
              <w:rPr>
                <w:rFonts w:hint="default"/>
                <w:bCs/>
                <w:color w:val="auto"/>
                <w:sz w:val="24"/>
                <w:highlight w:val="none"/>
              </w:rPr>
              <w:t>2002年7月环境省告示第46号</w:t>
            </w:r>
            <w:r>
              <w:rPr>
                <w:rFonts w:hint="eastAsia"/>
                <w:bCs/>
                <w:color w:val="auto"/>
                <w:sz w:val="24"/>
                <w:highlight w:val="none"/>
                <w:lang w:eastAsia="zh-CN"/>
              </w:rPr>
              <w:t>）</w:t>
            </w:r>
            <w:r>
              <w:rPr>
                <w:rFonts w:hint="eastAsia"/>
                <w:bCs/>
                <w:color w:val="auto"/>
                <w:sz w:val="24"/>
                <w:highlight w:val="none"/>
                <w:lang w:val="en-US" w:eastAsia="zh-CN"/>
              </w:rPr>
              <w:t>要求</w:t>
            </w:r>
            <w:r>
              <w:rPr>
                <w:color w:val="auto"/>
                <w:sz w:val="24"/>
                <w:highlight w:val="none"/>
              </w:rPr>
              <w:t>。综上，项目区域环境空气质量较好。</w:t>
            </w:r>
          </w:p>
          <w:p w14:paraId="1E9B9B49">
            <w:pPr>
              <w:spacing w:beforeLines="50" w:line="360" w:lineRule="auto"/>
              <w:ind w:firstLine="482" w:firstLineChars="200"/>
              <w:rPr>
                <w:b/>
                <w:color w:val="auto"/>
                <w:sz w:val="24"/>
                <w:highlight w:val="none"/>
              </w:rPr>
            </w:pPr>
            <w:r>
              <w:rPr>
                <w:b/>
                <w:color w:val="auto"/>
                <w:sz w:val="24"/>
                <w:highlight w:val="none"/>
              </w:rPr>
              <w:t>2.声环境质量现状</w:t>
            </w:r>
          </w:p>
          <w:p w14:paraId="4157B7B6">
            <w:pPr>
              <w:spacing w:line="360" w:lineRule="auto"/>
              <w:ind w:firstLine="480" w:firstLineChars="200"/>
              <w:rPr>
                <w:color w:val="auto"/>
                <w:sz w:val="24"/>
                <w:highlight w:val="none"/>
              </w:rPr>
            </w:pPr>
            <w:r>
              <w:rPr>
                <w:rFonts w:hint="eastAsia"/>
                <w:bCs/>
                <w:color w:val="auto"/>
                <w:sz w:val="24"/>
                <w:highlight w:val="none"/>
                <w:lang w:eastAsia="zh-CN"/>
              </w:rPr>
              <w:t>根据</w:t>
            </w:r>
            <w:r>
              <w:rPr>
                <w:bCs/>
                <w:color w:val="auto"/>
                <w:sz w:val="24"/>
                <w:highlight w:val="none"/>
              </w:rPr>
              <w:t>《建设项目环境影响报告表编制技术指南（污染影响类）》（试行），项目厂界外50</w:t>
            </w:r>
            <w:r>
              <w:rPr>
                <w:rFonts w:hint="eastAsia"/>
                <w:bCs/>
                <w:color w:val="auto"/>
                <w:sz w:val="24"/>
                <w:highlight w:val="none"/>
                <w:lang w:eastAsia="zh-CN"/>
              </w:rPr>
              <w:t>m</w:t>
            </w:r>
            <w:r>
              <w:rPr>
                <w:bCs/>
                <w:color w:val="auto"/>
                <w:sz w:val="24"/>
                <w:highlight w:val="none"/>
              </w:rPr>
              <w:t>范围内无声环境敏感目标。因此，本次未开展声环境质量现状调查</w:t>
            </w:r>
            <w:r>
              <w:rPr>
                <w:color w:val="auto"/>
                <w:sz w:val="24"/>
                <w:highlight w:val="none"/>
              </w:rPr>
              <w:t>。</w:t>
            </w:r>
          </w:p>
          <w:p w14:paraId="7BF1C5E0">
            <w:pPr>
              <w:spacing w:line="360" w:lineRule="auto"/>
              <w:ind w:firstLine="482" w:firstLineChars="200"/>
              <w:rPr>
                <w:b/>
                <w:color w:val="auto"/>
                <w:sz w:val="24"/>
                <w:highlight w:val="none"/>
              </w:rPr>
            </w:pPr>
            <w:r>
              <w:rPr>
                <w:b/>
                <w:color w:val="auto"/>
                <w:sz w:val="24"/>
                <w:highlight w:val="none"/>
              </w:rPr>
              <w:t>3.地下水环境、土壤环境</w:t>
            </w:r>
          </w:p>
          <w:p w14:paraId="3CF85549">
            <w:pPr>
              <w:spacing w:line="360" w:lineRule="auto"/>
              <w:ind w:firstLine="480" w:firstLineChars="200"/>
              <w:rPr>
                <w:color w:val="auto"/>
                <w:szCs w:val="21"/>
                <w:highlight w:val="none"/>
              </w:rPr>
            </w:pPr>
            <w:r>
              <w:rPr>
                <w:rFonts w:hint="eastAsia"/>
                <w:bCs/>
                <w:color w:val="auto"/>
                <w:sz w:val="24"/>
                <w:highlight w:val="none"/>
                <w:lang w:eastAsia="zh-CN"/>
              </w:rPr>
              <w:t>根据</w:t>
            </w:r>
            <w:r>
              <w:rPr>
                <w:bCs/>
                <w:color w:val="auto"/>
                <w:sz w:val="24"/>
                <w:highlight w:val="none"/>
              </w:rPr>
              <w:t>《建设项目环境影响报告表编制技术指南（污染影响类）》（试行），地下水</w:t>
            </w:r>
            <w:r>
              <w:rPr>
                <w:rFonts w:hint="eastAsia"/>
                <w:bCs/>
                <w:color w:val="auto"/>
                <w:sz w:val="24"/>
                <w:highlight w:val="none"/>
                <w:lang w:eastAsia="zh-CN"/>
              </w:rPr>
              <w:t>及</w:t>
            </w:r>
            <w:r>
              <w:rPr>
                <w:bCs/>
                <w:color w:val="auto"/>
                <w:sz w:val="24"/>
                <w:highlight w:val="none"/>
              </w:rPr>
              <w:t>土壤环境原则上不开展环境质量现状调查。建设项目存在土壤</w:t>
            </w:r>
            <w:r>
              <w:rPr>
                <w:rFonts w:hint="eastAsia"/>
                <w:bCs/>
                <w:color w:val="auto"/>
                <w:sz w:val="24"/>
                <w:highlight w:val="none"/>
                <w:lang w:eastAsia="zh-CN"/>
              </w:rPr>
              <w:t>及</w:t>
            </w:r>
            <w:r>
              <w:rPr>
                <w:bCs/>
                <w:color w:val="auto"/>
                <w:sz w:val="24"/>
                <w:highlight w:val="none"/>
              </w:rPr>
              <w:t>地下水污染途径的，应结合污染源、保护目标分布情况开展现状调查以留作背景值。同时对照《建设项目环境影响评价技术导则 地下水》（HJ610-2016）附录A及《建设项目环境影响评价技术导则 土壤环境》（HJ964-2018）附录A，项目为Ⅳ类项目，可不开展土壤和地下水现状调查与评价，所以本次评价不进行土壤及地下水的现状监测与评价。</w:t>
            </w:r>
          </w:p>
        </w:tc>
      </w:tr>
      <w:tr w14:paraId="03494A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52" w:hRule="atLeast"/>
          <w:jc w:val="center"/>
        </w:trPr>
        <w:tc>
          <w:tcPr>
            <w:tcW w:w="534" w:type="dxa"/>
            <w:vAlign w:val="center"/>
          </w:tcPr>
          <w:p w14:paraId="2259CC62">
            <w:pPr>
              <w:adjustRightInd w:val="0"/>
              <w:snapToGrid w:val="0"/>
              <w:jc w:val="center"/>
              <w:rPr>
                <w:b/>
                <w:bCs/>
                <w:color w:val="auto"/>
                <w:kern w:val="0"/>
                <w:sz w:val="24"/>
                <w:highlight w:val="none"/>
              </w:rPr>
            </w:pPr>
            <w:r>
              <w:rPr>
                <w:b/>
                <w:bCs/>
                <w:color w:val="auto"/>
                <w:kern w:val="0"/>
                <w:sz w:val="24"/>
                <w:highlight w:val="none"/>
              </w:rPr>
              <w:t>环境</w:t>
            </w:r>
          </w:p>
          <w:p w14:paraId="32C72A39">
            <w:pPr>
              <w:adjustRightInd w:val="0"/>
              <w:snapToGrid w:val="0"/>
              <w:jc w:val="center"/>
              <w:rPr>
                <w:b/>
                <w:bCs/>
                <w:color w:val="auto"/>
                <w:kern w:val="0"/>
                <w:sz w:val="24"/>
                <w:highlight w:val="none"/>
              </w:rPr>
            </w:pPr>
            <w:r>
              <w:rPr>
                <w:b/>
                <w:bCs/>
                <w:color w:val="auto"/>
                <w:kern w:val="0"/>
                <w:sz w:val="24"/>
                <w:highlight w:val="none"/>
              </w:rPr>
              <w:t>保护</w:t>
            </w:r>
          </w:p>
          <w:p w14:paraId="6601DA8F">
            <w:pPr>
              <w:adjustRightInd w:val="0"/>
              <w:snapToGrid w:val="0"/>
              <w:jc w:val="center"/>
              <w:rPr>
                <w:b/>
                <w:bCs/>
                <w:color w:val="auto"/>
                <w:kern w:val="0"/>
                <w:sz w:val="24"/>
                <w:highlight w:val="none"/>
              </w:rPr>
            </w:pPr>
            <w:r>
              <w:rPr>
                <w:b/>
                <w:bCs/>
                <w:color w:val="auto"/>
                <w:kern w:val="0"/>
                <w:sz w:val="24"/>
                <w:highlight w:val="none"/>
              </w:rPr>
              <w:t>目标</w:t>
            </w:r>
          </w:p>
        </w:tc>
        <w:tc>
          <w:tcPr>
            <w:tcW w:w="8527" w:type="dxa"/>
            <w:vAlign w:val="center"/>
          </w:tcPr>
          <w:p w14:paraId="318C3407">
            <w:pPr>
              <w:spacing w:line="360" w:lineRule="auto"/>
              <w:ind w:firstLine="480" w:firstLineChars="200"/>
              <w:rPr>
                <w:color w:val="auto"/>
                <w:sz w:val="24"/>
                <w:highlight w:val="none"/>
              </w:rPr>
            </w:pPr>
            <w:r>
              <w:rPr>
                <w:color w:val="auto"/>
                <w:sz w:val="24"/>
                <w:highlight w:val="none"/>
              </w:rPr>
              <w:t>项目拟选址在</w:t>
            </w:r>
            <w:r>
              <w:rPr>
                <w:bCs/>
                <w:color w:val="auto"/>
                <w:sz w:val="24"/>
                <w:highlight w:val="none"/>
              </w:rPr>
              <w:t>杭锦旗锡尼镇巴音布拉格嘎查</w:t>
            </w:r>
            <w:r>
              <w:rPr>
                <w:color w:val="auto"/>
                <w:sz w:val="24"/>
                <w:highlight w:val="none"/>
              </w:rPr>
              <w:t>，由现场调查可知，该区域内没有珍稀动植物资源、饮用水源保护区、自然保护区、重点文物等重点保护目标。</w:t>
            </w:r>
            <w:r>
              <w:rPr>
                <w:bCs/>
                <w:color w:val="auto"/>
                <w:sz w:val="24"/>
                <w:highlight w:val="none"/>
              </w:rPr>
              <w:t>本项目环境保护目标见表3-2。</w:t>
            </w:r>
          </w:p>
          <w:p w14:paraId="58BB743F">
            <w:pPr>
              <w:pStyle w:val="29"/>
              <w:rPr>
                <w:color w:val="auto"/>
                <w:highlight w:val="none"/>
              </w:rPr>
            </w:pPr>
            <w:r>
              <w:rPr>
                <w:color w:val="auto"/>
                <w:highlight w:val="none"/>
              </w:rPr>
              <w:t>表3-2 环境保护目标一览表</w:t>
            </w:r>
          </w:p>
          <w:tbl>
            <w:tblPr>
              <w:tblStyle w:val="20"/>
              <w:tblW w:w="8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1"/>
              <w:gridCol w:w="1348"/>
              <w:gridCol w:w="768"/>
              <w:gridCol w:w="932"/>
              <w:gridCol w:w="870"/>
              <w:gridCol w:w="3463"/>
            </w:tblGrid>
            <w:tr w14:paraId="7012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Merge w:val="restart"/>
                  <w:vAlign w:val="center"/>
                </w:tcPr>
                <w:p w14:paraId="112D5F56">
                  <w:pPr>
                    <w:jc w:val="center"/>
                    <w:rPr>
                      <w:b/>
                      <w:color w:val="auto"/>
                      <w:szCs w:val="20"/>
                      <w:highlight w:val="none"/>
                    </w:rPr>
                  </w:pPr>
                  <w:r>
                    <w:rPr>
                      <w:b/>
                      <w:color w:val="auto"/>
                      <w:szCs w:val="20"/>
                      <w:highlight w:val="none"/>
                    </w:rPr>
                    <w:t>环境要素</w:t>
                  </w:r>
                </w:p>
              </w:tc>
              <w:tc>
                <w:tcPr>
                  <w:tcW w:w="1348" w:type="dxa"/>
                  <w:vMerge w:val="restart"/>
                  <w:vAlign w:val="center"/>
                </w:tcPr>
                <w:p w14:paraId="54F2F5D3">
                  <w:pPr>
                    <w:jc w:val="center"/>
                    <w:rPr>
                      <w:b/>
                      <w:color w:val="auto"/>
                      <w:szCs w:val="20"/>
                      <w:highlight w:val="none"/>
                    </w:rPr>
                  </w:pPr>
                  <w:r>
                    <w:rPr>
                      <w:b/>
                      <w:color w:val="auto"/>
                      <w:szCs w:val="20"/>
                      <w:highlight w:val="none"/>
                    </w:rPr>
                    <w:t>保护目标</w:t>
                  </w:r>
                </w:p>
              </w:tc>
              <w:tc>
                <w:tcPr>
                  <w:tcW w:w="1700" w:type="dxa"/>
                  <w:gridSpan w:val="2"/>
                  <w:vAlign w:val="center"/>
                </w:tcPr>
                <w:p w14:paraId="45F4D6D1">
                  <w:pPr>
                    <w:jc w:val="center"/>
                    <w:rPr>
                      <w:b/>
                      <w:color w:val="auto"/>
                      <w:szCs w:val="20"/>
                      <w:highlight w:val="none"/>
                    </w:rPr>
                  </w:pPr>
                  <w:r>
                    <w:rPr>
                      <w:b/>
                      <w:color w:val="auto"/>
                      <w:szCs w:val="20"/>
                      <w:highlight w:val="none"/>
                    </w:rPr>
                    <w:t>相对厂址</w:t>
                  </w:r>
                </w:p>
              </w:tc>
              <w:tc>
                <w:tcPr>
                  <w:tcW w:w="870" w:type="dxa"/>
                  <w:vMerge w:val="restart"/>
                  <w:vAlign w:val="center"/>
                </w:tcPr>
                <w:p w14:paraId="2AA284BF">
                  <w:pPr>
                    <w:jc w:val="center"/>
                    <w:rPr>
                      <w:b/>
                      <w:color w:val="auto"/>
                      <w:szCs w:val="20"/>
                      <w:highlight w:val="none"/>
                    </w:rPr>
                  </w:pPr>
                  <w:r>
                    <w:rPr>
                      <w:b/>
                      <w:color w:val="auto"/>
                      <w:szCs w:val="20"/>
                      <w:highlight w:val="none"/>
                    </w:rPr>
                    <w:t>人数</w:t>
                  </w:r>
                </w:p>
              </w:tc>
              <w:tc>
                <w:tcPr>
                  <w:tcW w:w="3463" w:type="dxa"/>
                  <w:vMerge w:val="restart"/>
                  <w:vAlign w:val="center"/>
                </w:tcPr>
                <w:p w14:paraId="7B7EC2B1">
                  <w:pPr>
                    <w:jc w:val="center"/>
                    <w:rPr>
                      <w:b/>
                      <w:color w:val="auto"/>
                      <w:szCs w:val="20"/>
                      <w:highlight w:val="none"/>
                    </w:rPr>
                  </w:pPr>
                  <w:r>
                    <w:rPr>
                      <w:b/>
                      <w:color w:val="auto"/>
                      <w:szCs w:val="20"/>
                      <w:highlight w:val="none"/>
                    </w:rPr>
                    <w:t>保护级别</w:t>
                  </w:r>
                </w:p>
              </w:tc>
            </w:tr>
            <w:tr w14:paraId="369B4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Merge w:val="continue"/>
                  <w:vAlign w:val="center"/>
                </w:tcPr>
                <w:p w14:paraId="21BA247F">
                  <w:pPr>
                    <w:jc w:val="center"/>
                    <w:rPr>
                      <w:color w:val="auto"/>
                      <w:szCs w:val="20"/>
                      <w:highlight w:val="none"/>
                    </w:rPr>
                  </w:pPr>
                </w:p>
              </w:tc>
              <w:tc>
                <w:tcPr>
                  <w:tcW w:w="1348" w:type="dxa"/>
                  <w:vMerge w:val="continue"/>
                  <w:vAlign w:val="center"/>
                </w:tcPr>
                <w:p w14:paraId="59624D86">
                  <w:pPr>
                    <w:jc w:val="center"/>
                    <w:rPr>
                      <w:color w:val="auto"/>
                      <w:szCs w:val="20"/>
                      <w:highlight w:val="none"/>
                    </w:rPr>
                  </w:pPr>
                </w:p>
              </w:tc>
              <w:tc>
                <w:tcPr>
                  <w:tcW w:w="768" w:type="dxa"/>
                  <w:vAlign w:val="center"/>
                </w:tcPr>
                <w:p w14:paraId="5E3F8328">
                  <w:pPr>
                    <w:jc w:val="center"/>
                    <w:rPr>
                      <w:b/>
                      <w:color w:val="auto"/>
                      <w:szCs w:val="20"/>
                      <w:highlight w:val="none"/>
                    </w:rPr>
                  </w:pPr>
                  <w:r>
                    <w:rPr>
                      <w:b/>
                      <w:color w:val="auto"/>
                      <w:szCs w:val="20"/>
                      <w:highlight w:val="none"/>
                    </w:rPr>
                    <w:t>方位</w:t>
                  </w:r>
                </w:p>
              </w:tc>
              <w:tc>
                <w:tcPr>
                  <w:tcW w:w="932" w:type="dxa"/>
                  <w:vAlign w:val="center"/>
                </w:tcPr>
                <w:p w14:paraId="68E89925">
                  <w:pPr>
                    <w:jc w:val="center"/>
                    <w:rPr>
                      <w:b/>
                      <w:color w:val="auto"/>
                      <w:szCs w:val="20"/>
                      <w:highlight w:val="none"/>
                    </w:rPr>
                  </w:pPr>
                  <w:r>
                    <w:rPr>
                      <w:b/>
                      <w:color w:val="auto"/>
                      <w:szCs w:val="20"/>
                      <w:highlight w:val="none"/>
                    </w:rPr>
                    <w:t>距离（</w:t>
                  </w:r>
                  <w:r>
                    <w:rPr>
                      <w:rFonts w:hint="eastAsia"/>
                      <w:b/>
                      <w:color w:val="auto"/>
                      <w:szCs w:val="20"/>
                      <w:highlight w:val="none"/>
                      <w:lang w:eastAsia="zh-CN"/>
                    </w:rPr>
                    <w:t>m</w:t>
                  </w:r>
                  <w:r>
                    <w:rPr>
                      <w:b/>
                      <w:color w:val="auto"/>
                      <w:szCs w:val="20"/>
                      <w:highlight w:val="none"/>
                    </w:rPr>
                    <w:t>）</w:t>
                  </w:r>
                </w:p>
              </w:tc>
              <w:tc>
                <w:tcPr>
                  <w:tcW w:w="870" w:type="dxa"/>
                  <w:vMerge w:val="continue"/>
                  <w:vAlign w:val="center"/>
                </w:tcPr>
                <w:p w14:paraId="2D6ECD31">
                  <w:pPr>
                    <w:jc w:val="center"/>
                    <w:rPr>
                      <w:color w:val="auto"/>
                      <w:szCs w:val="20"/>
                      <w:highlight w:val="none"/>
                    </w:rPr>
                  </w:pPr>
                </w:p>
              </w:tc>
              <w:tc>
                <w:tcPr>
                  <w:tcW w:w="3463" w:type="dxa"/>
                  <w:vMerge w:val="continue"/>
                  <w:vAlign w:val="center"/>
                </w:tcPr>
                <w:p w14:paraId="3D854DDC">
                  <w:pPr>
                    <w:jc w:val="center"/>
                    <w:rPr>
                      <w:color w:val="auto"/>
                      <w:szCs w:val="20"/>
                      <w:highlight w:val="none"/>
                    </w:rPr>
                  </w:pPr>
                </w:p>
              </w:tc>
            </w:tr>
            <w:tr w14:paraId="2D9E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Align w:val="center"/>
                </w:tcPr>
                <w:p w14:paraId="1F1B2CAC">
                  <w:pPr>
                    <w:jc w:val="center"/>
                    <w:rPr>
                      <w:color w:val="auto"/>
                      <w:szCs w:val="20"/>
                      <w:highlight w:val="none"/>
                    </w:rPr>
                  </w:pPr>
                  <w:r>
                    <w:rPr>
                      <w:color w:val="auto"/>
                      <w:szCs w:val="20"/>
                      <w:highlight w:val="none"/>
                    </w:rPr>
                    <w:t>环境空气</w:t>
                  </w:r>
                </w:p>
              </w:tc>
              <w:tc>
                <w:tcPr>
                  <w:tcW w:w="3918" w:type="dxa"/>
                  <w:gridSpan w:val="4"/>
                  <w:vAlign w:val="center"/>
                </w:tcPr>
                <w:p w14:paraId="49A13C6F">
                  <w:pPr>
                    <w:jc w:val="center"/>
                    <w:rPr>
                      <w:color w:val="auto"/>
                      <w:szCs w:val="20"/>
                      <w:highlight w:val="none"/>
                    </w:rPr>
                  </w:pPr>
                  <w:r>
                    <w:rPr>
                      <w:color w:val="auto"/>
                      <w:szCs w:val="20"/>
                      <w:highlight w:val="none"/>
                    </w:rPr>
                    <w:t>厂界外500</w:t>
                  </w:r>
                  <w:r>
                    <w:rPr>
                      <w:rFonts w:hint="eastAsia"/>
                      <w:color w:val="auto"/>
                      <w:szCs w:val="20"/>
                      <w:highlight w:val="none"/>
                      <w:lang w:eastAsia="zh-CN"/>
                    </w:rPr>
                    <w:t>m</w:t>
                  </w:r>
                  <w:r>
                    <w:rPr>
                      <w:color w:val="auto"/>
                      <w:szCs w:val="20"/>
                      <w:highlight w:val="none"/>
                    </w:rPr>
                    <w:t>范围内无大气环境敏感目标</w:t>
                  </w:r>
                </w:p>
              </w:tc>
              <w:tc>
                <w:tcPr>
                  <w:tcW w:w="3463" w:type="dxa"/>
                  <w:vAlign w:val="center"/>
                </w:tcPr>
                <w:p w14:paraId="23584E96">
                  <w:pPr>
                    <w:jc w:val="center"/>
                    <w:rPr>
                      <w:color w:val="auto"/>
                      <w:szCs w:val="20"/>
                      <w:highlight w:val="none"/>
                    </w:rPr>
                  </w:pPr>
                  <w:r>
                    <w:rPr>
                      <w:color w:val="auto"/>
                      <w:szCs w:val="20"/>
                      <w:highlight w:val="none"/>
                    </w:rPr>
                    <w:t>《环境空气质量标准》（GB3095-2012）</w:t>
                  </w:r>
                </w:p>
                <w:p w14:paraId="654EF98C">
                  <w:pPr>
                    <w:jc w:val="center"/>
                    <w:rPr>
                      <w:color w:val="auto"/>
                      <w:szCs w:val="20"/>
                      <w:highlight w:val="none"/>
                    </w:rPr>
                  </w:pPr>
                  <w:r>
                    <w:rPr>
                      <w:color w:val="auto"/>
                      <w:szCs w:val="20"/>
                      <w:highlight w:val="none"/>
                    </w:rPr>
                    <w:t>二级标准</w:t>
                  </w:r>
                </w:p>
              </w:tc>
            </w:tr>
            <w:tr w14:paraId="3F661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Align w:val="center"/>
                </w:tcPr>
                <w:p w14:paraId="0A707750">
                  <w:pPr>
                    <w:jc w:val="center"/>
                    <w:rPr>
                      <w:color w:val="auto"/>
                      <w:szCs w:val="20"/>
                      <w:highlight w:val="none"/>
                    </w:rPr>
                  </w:pPr>
                  <w:r>
                    <w:rPr>
                      <w:color w:val="auto"/>
                      <w:szCs w:val="20"/>
                      <w:highlight w:val="none"/>
                    </w:rPr>
                    <w:t>声环境</w:t>
                  </w:r>
                </w:p>
              </w:tc>
              <w:tc>
                <w:tcPr>
                  <w:tcW w:w="3918" w:type="dxa"/>
                  <w:gridSpan w:val="4"/>
                  <w:vAlign w:val="center"/>
                </w:tcPr>
                <w:p w14:paraId="3112B029">
                  <w:pPr>
                    <w:jc w:val="center"/>
                    <w:rPr>
                      <w:color w:val="auto"/>
                      <w:szCs w:val="20"/>
                      <w:highlight w:val="none"/>
                    </w:rPr>
                  </w:pPr>
                  <w:r>
                    <w:rPr>
                      <w:color w:val="auto"/>
                      <w:szCs w:val="20"/>
                      <w:highlight w:val="none"/>
                    </w:rPr>
                    <w:t>厂界外50</w:t>
                  </w:r>
                  <w:r>
                    <w:rPr>
                      <w:rFonts w:hint="eastAsia"/>
                      <w:color w:val="auto"/>
                      <w:szCs w:val="20"/>
                      <w:highlight w:val="none"/>
                      <w:lang w:eastAsia="zh-CN"/>
                    </w:rPr>
                    <w:t>m</w:t>
                  </w:r>
                  <w:r>
                    <w:rPr>
                      <w:color w:val="auto"/>
                      <w:szCs w:val="20"/>
                      <w:highlight w:val="none"/>
                    </w:rPr>
                    <w:t>范围内无声环境敏感目标</w:t>
                  </w:r>
                </w:p>
              </w:tc>
              <w:tc>
                <w:tcPr>
                  <w:tcW w:w="3463" w:type="dxa"/>
                  <w:vAlign w:val="center"/>
                </w:tcPr>
                <w:p w14:paraId="40C6BC66">
                  <w:pPr>
                    <w:jc w:val="center"/>
                    <w:rPr>
                      <w:color w:val="auto"/>
                      <w:szCs w:val="20"/>
                      <w:highlight w:val="none"/>
                    </w:rPr>
                  </w:pPr>
                  <w:r>
                    <w:rPr>
                      <w:color w:val="auto"/>
                      <w:szCs w:val="20"/>
                      <w:highlight w:val="none"/>
                    </w:rPr>
                    <w:t>《声环境质量标准》（GB3096-2008）1类标准</w:t>
                  </w:r>
                </w:p>
              </w:tc>
            </w:tr>
            <w:tr w14:paraId="1A654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Align w:val="center"/>
                </w:tcPr>
                <w:p w14:paraId="45E250DA">
                  <w:pPr>
                    <w:jc w:val="center"/>
                    <w:rPr>
                      <w:color w:val="auto"/>
                      <w:szCs w:val="20"/>
                      <w:highlight w:val="none"/>
                    </w:rPr>
                  </w:pPr>
                  <w:r>
                    <w:rPr>
                      <w:color w:val="auto"/>
                      <w:szCs w:val="21"/>
                      <w:highlight w:val="none"/>
                    </w:rPr>
                    <w:t>地下水</w:t>
                  </w:r>
                </w:p>
              </w:tc>
              <w:tc>
                <w:tcPr>
                  <w:tcW w:w="7381" w:type="dxa"/>
                  <w:gridSpan w:val="5"/>
                  <w:vAlign w:val="center"/>
                </w:tcPr>
                <w:p w14:paraId="381A122E">
                  <w:pPr>
                    <w:jc w:val="center"/>
                    <w:rPr>
                      <w:color w:val="auto"/>
                      <w:szCs w:val="20"/>
                      <w:highlight w:val="none"/>
                    </w:rPr>
                  </w:pPr>
                  <w:r>
                    <w:rPr>
                      <w:color w:val="auto"/>
                      <w:szCs w:val="21"/>
                      <w:highlight w:val="none"/>
                    </w:rPr>
                    <w:t>厂界外500米范围内不涉及地下水、集中式饮用水水源和热水、矿泉水、温泉等特殊地下水资源。</w:t>
                  </w:r>
                </w:p>
              </w:tc>
            </w:tr>
          </w:tbl>
          <w:p w14:paraId="3E521F0F">
            <w:pPr>
              <w:spacing w:line="360" w:lineRule="auto"/>
              <w:rPr>
                <w:color w:val="auto"/>
                <w:kern w:val="0"/>
                <w:szCs w:val="21"/>
                <w:highlight w:val="none"/>
              </w:rPr>
            </w:pPr>
          </w:p>
        </w:tc>
      </w:tr>
      <w:tr w14:paraId="3C7469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89" w:hRule="atLeast"/>
          <w:jc w:val="center"/>
        </w:trPr>
        <w:tc>
          <w:tcPr>
            <w:tcW w:w="534" w:type="dxa"/>
            <w:tcMar>
              <w:left w:w="28" w:type="dxa"/>
              <w:right w:w="28" w:type="dxa"/>
            </w:tcMar>
            <w:vAlign w:val="center"/>
          </w:tcPr>
          <w:p w14:paraId="4593EF8A">
            <w:pPr>
              <w:adjustRightInd w:val="0"/>
              <w:snapToGrid w:val="0"/>
              <w:jc w:val="center"/>
              <w:rPr>
                <w:b/>
                <w:bCs/>
                <w:color w:val="auto"/>
                <w:kern w:val="0"/>
                <w:sz w:val="24"/>
                <w:highlight w:val="none"/>
              </w:rPr>
            </w:pPr>
            <w:r>
              <w:rPr>
                <w:b/>
                <w:bCs/>
                <w:color w:val="auto"/>
                <w:kern w:val="0"/>
                <w:sz w:val="24"/>
                <w:highlight w:val="none"/>
              </w:rPr>
              <w:t>污染</w:t>
            </w:r>
          </w:p>
          <w:p w14:paraId="6E4465AB">
            <w:pPr>
              <w:adjustRightInd w:val="0"/>
              <w:snapToGrid w:val="0"/>
              <w:jc w:val="center"/>
              <w:rPr>
                <w:b/>
                <w:bCs/>
                <w:color w:val="auto"/>
                <w:kern w:val="0"/>
                <w:sz w:val="24"/>
                <w:highlight w:val="none"/>
              </w:rPr>
            </w:pPr>
            <w:r>
              <w:rPr>
                <w:b/>
                <w:bCs/>
                <w:color w:val="auto"/>
                <w:kern w:val="0"/>
                <w:sz w:val="24"/>
                <w:highlight w:val="none"/>
              </w:rPr>
              <w:t>物排</w:t>
            </w:r>
          </w:p>
          <w:p w14:paraId="44B942CD">
            <w:pPr>
              <w:adjustRightInd w:val="0"/>
              <w:snapToGrid w:val="0"/>
              <w:jc w:val="center"/>
              <w:rPr>
                <w:b/>
                <w:bCs/>
                <w:color w:val="auto"/>
                <w:kern w:val="0"/>
                <w:sz w:val="24"/>
                <w:highlight w:val="none"/>
              </w:rPr>
            </w:pPr>
            <w:r>
              <w:rPr>
                <w:b/>
                <w:bCs/>
                <w:color w:val="auto"/>
                <w:kern w:val="0"/>
                <w:sz w:val="24"/>
                <w:highlight w:val="none"/>
              </w:rPr>
              <w:t>放控</w:t>
            </w:r>
          </w:p>
          <w:p w14:paraId="146EABEB">
            <w:pPr>
              <w:adjustRightInd w:val="0"/>
              <w:snapToGrid w:val="0"/>
              <w:jc w:val="center"/>
              <w:rPr>
                <w:b/>
                <w:bCs/>
                <w:color w:val="auto"/>
                <w:kern w:val="0"/>
                <w:sz w:val="24"/>
                <w:highlight w:val="none"/>
              </w:rPr>
            </w:pPr>
            <w:r>
              <w:rPr>
                <w:b/>
                <w:bCs/>
                <w:color w:val="auto"/>
                <w:kern w:val="0"/>
                <w:sz w:val="24"/>
                <w:highlight w:val="none"/>
              </w:rPr>
              <w:t>制标</w:t>
            </w:r>
          </w:p>
          <w:p w14:paraId="3CD3963A">
            <w:pPr>
              <w:adjustRightInd w:val="0"/>
              <w:snapToGrid w:val="0"/>
              <w:jc w:val="center"/>
              <w:rPr>
                <w:b/>
                <w:bCs/>
                <w:color w:val="auto"/>
                <w:kern w:val="0"/>
                <w:sz w:val="24"/>
                <w:highlight w:val="none"/>
              </w:rPr>
            </w:pPr>
            <w:r>
              <w:rPr>
                <w:b/>
                <w:bCs/>
                <w:color w:val="auto"/>
                <w:kern w:val="0"/>
                <w:sz w:val="24"/>
                <w:highlight w:val="none"/>
              </w:rPr>
              <w:t>准</w:t>
            </w:r>
          </w:p>
        </w:tc>
        <w:tc>
          <w:tcPr>
            <w:tcW w:w="8527" w:type="dxa"/>
            <w:vAlign w:val="center"/>
          </w:tcPr>
          <w:p w14:paraId="2BD5156B">
            <w:pPr>
              <w:spacing w:line="360" w:lineRule="auto"/>
              <w:rPr>
                <w:b/>
                <w:color w:val="auto"/>
                <w:kern w:val="0"/>
                <w:sz w:val="24"/>
                <w:highlight w:val="none"/>
              </w:rPr>
            </w:pPr>
            <w:r>
              <w:rPr>
                <w:b/>
                <w:color w:val="auto"/>
                <w:kern w:val="0"/>
                <w:sz w:val="24"/>
                <w:highlight w:val="none"/>
              </w:rPr>
              <w:t>1.大气污染物排放标准</w:t>
            </w:r>
          </w:p>
          <w:p w14:paraId="16F97751">
            <w:pPr>
              <w:spacing w:line="360" w:lineRule="auto"/>
              <w:ind w:firstLine="480" w:firstLineChars="200"/>
              <w:rPr>
                <w:color w:val="auto"/>
                <w:sz w:val="24"/>
                <w:szCs w:val="22"/>
                <w:highlight w:val="none"/>
              </w:rPr>
            </w:pPr>
            <w:r>
              <w:rPr>
                <w:color w:val="auto"/>
                <w:sz w:val="24"/>
                <w:szCs w:val="22"/>
                <w:highlight w:val="none"/>
              </w:rPr>
              <w:t>本项目施工期产生</w:t>
            </w:r>
            <w:r>
              <w:rPr>
                <w:rFonts w:hint="eastAsia"/>
                <w:color w:val="auto"/>
                <w:sz w:val="24"/>
                <w:szCs w:val="22"/>
                <w:highlight w:val="none"/>
                <w:lang w:eastAsia="zh-CN"/>
              </w:rPr>
              <w:t>的</w:t>
            </w:r>
            <w:r>
              <w:rPr>
                <w:color w:val="auto"/>
                <w:sz w:val="24"/>
                <w:szCs w:val="22"/>
                <w:highlight w:val="none"/>
              </w:rPr>
              <w:t>粉尘执行《大气污染物综合排放标准》（GB16297-1996）中的表2新污染源大气排放限值中无组织排放监控浓度限值。</w:t>
            </w:r>
          </w:p>
          <w:p w14:paraId="1DED0C03">
            <w:pPr>
              <w:spacing w:line="312" w:lineRule="auto"/>
              <w:ind w:firstLine="422"/>
              <w:jc w:val="center"/>
              <w:rPr>
                <w:b/>
                <w:bCs/>
                <w:color w:val="auto"/>
                <w:sz w:val="24"/>
                <w:highlight w:val="none"/>
              </w:rPr>
            </w:pPr>
            <w:r>
              <w:rPr>
                <w:b/>
                <w:bCs/>
                <w:color w:val="auto"/>
                <w:sz w:val="24"/>
                <w:highlight w:val="none"/>
              </w:rPr>
              <w:t>表3-3 施工期大气污染物排放标准一览表</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72"/>
              <w:gridCol w:w="826"/>
              <w:gridCol w:w="2003"/>
              <w:gridCol w:w="4200"/>
            </w:tblGrid>
            <w:tr w14:paraId="2F61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66" w:type="pct"/>
                  <w:vMerge w:val="restart"/>
                  <w:tcMar>
                    <w:left w:w="0" w:type="dxa"/>
                    <w:right w:w="0" w:type="dxa"/>
                  </w:tcMar>
                  <w:vAlign w:val="center"/>
                </w:tcPr>
                <w:p w14:paraId="5C71C4A9">
                  <w:pPr>
                    <w:adjustRightInd w:val="0"/>
                    <w:snapToGrid w:val="0"/>
                    <w:jc w:val="center"/>
                    <w:rPr>
                      <w:b/>
                      <w:color w:val="auto"/>
                      <w:szCs w:val="21"/>
                      <w:highlight w:val="none"/>
                    </w:rPr>
                  </w:pPr>
                  <w:r>
                    <w:rPr>
                      <w:b/>
                      <w:color w:val="auto"/>
                      <w:szCs w:val="21"/>
                      <w:highlight w:val="none"/>
                    </w:rPr>
                    <w:t>时期</w:t>
                  </w:r>
                </w:p>
              </w:tc>
              <w:tc>
                <w:tcPr>
                  <w:tcW w:w="497" w:type="pct"/>
                  <w:vMerge w:val="restart"/>
                  <w:vAlign w:val="center"/>
                </w:tcPr>
                <w:p w14:paraId="3C570330">
                  <w:pPr>
                    <w:adjustRightInd w:val="0"/>
                    <w:snapToGrid w:val="0"/>
                    <w:jc w:val="center"/>
                    <w:rPr>
                      <w:b/>
                      <w:color w:val="auto"/>
                      <w:szCs w:val="21"/>
                      <w:highlight w:val="none"/>
                    </w:rPr>
                  </w:pPr>
                  <w:r>
                    <w:rPr>
                      <w:b/>
                      <w:color w:val="auto"/>
                      <w:szCs w:val="21"/>
                      <w:highlight w:val="none"/>
                    </w:rPr>
                    <w:t>污染物</w:t>
                  </w:r>
                </w:p>
              </w:tc>
              <w:tc>
                <w:tcPr>
                  <w:tcW w:w="1206" w:type="pct"/>
                  <w:vMerge w:val="restart"/>
                  <w:tcMar>
                    <w:left w:w="0" w:type="dxa"/>
                    <w:right w:w="0" w:type="dxa"/>
                  </w:tcMar>
                  <w:vAlign w:val="center"/>
                </w:tcPr>
                <w:p w14:paraId="3D588647">
                  <w:pPr>
                    <w:adjustRightInd w:val="0"/>
                    <w:snapToGrid w:val="0"/>
                    <w:jc w:val="center"/>
                    <w:rPr>
                      <w:b/>
                      <w:color w:val="auto"/>
                      <w:szCs w:val="21"/>
                      <w:highlight w:val="none"/>
                    </w:rPr>
                  </w:pPr>
                  <w:r>
                    <w:rPr>
                      <w:b/>
                      <w:bCs/>
                      <w:color w:val="auto"/>
                      <w:kern w:val="0"/>
                      <w:szCs w:val="21"/>
                      <w:highlight w:val="none"/>
                    </w:rPr>
                    <w:t>无组织排放监控浓度限值</w:t>
                  </w:r>
                </w:p>
              </w:tc>
              <w:tc>
                <w:tcPr>
                  <w:tcW w:w="2529" w:type="pct"/>
                  <w:vMerge w:val="restart"/>
                  <w:tcMar>
                    <w:left w:w="0" w:type="dxa"/>
                    <w:right w:w="0" w:type="dxa"/>
                  </w:tcMar>
                  <w:vAlign w:val="center"/>
                </w:tcPr>
                <w:p w14:paraId="5BA2884D">
                  <w:pPr>
                    <w:adjustRightInd w:val="0"/>
                    <w:snapToGrid w:val="0"/>
                    <w:jc w:val="center"/>
                    <w:rPr>
                      <w:b/>
                      <w:color w:val="auto"/>
                      <w:szCs w:val="21"/>
                      <w:highlight w:val="none"/>
                    </w:rPr>
                  </w:pPr>
                  <w:r>
                    <w:rPr>
                      <w:b/>
                      <w:color w:val="auto"/>
                      <w:szCs w:val="21"/>
                      <w:highlight w:val="none"/>
                    </w:rPr>
                    <w:t>标准来源</w:t>
                  </w:r>
                </w:p>
              </w:tc>
            </w:tr>
            <w:tr w14:paraId="0649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66" w:type="pct"/>
                  <w:vMerge w:val="continue"/>
                  <w:tcMar>
                    <w:left w:w="0" w:type="dxa"/>
                    <w:right w:w="0" w:type="dxa"/>
                  </w:tcMar>
                  <w:vAlign w:val="center"/>
                </w:tcPr>
                <w:p w14:paraId="1A769290">
                  <w:pPr>
                    <w:adjustRightInd w:val="0"/>
                    <w:snapToGrid w:val="0"/>
                    <w:jc w:val="center"/>
                    <w:rPr>
                      <w:b/>
                      <w:color w:val="auto"/>
                      <w:szCs w:val="21"/>
                      <w:highlight w:val="none"/>
                    </w:rPr>
                  </w:pPr>
                </w:p>
              </w:tc>
              <w:tc>
                <w:tcPr>
                  <w:tcW w:w="497" w:type="pct"/>
                  <w:vMerge w:val="continue"/>
                  <w:vAlign w:val="center"/>
                </w:tcPr>
                <w:p w14:paraId="7022FD0F">
                  <w:pPr>
                    <w:adjustRightInd w:val="0"/>
                    <w:snapToGrid w:val="0"/>
                    <w:jc w:val="center"/>
                    <w:rPr>
                      <w:b/>
                      <w:color w:val="auto"/>
                      <w:szCs w:val="21"/>
                      <w:highlight w:val="none"/>
                    </w:rPr>
                  </w:pPr>
                </w:p>
              </w:tc>
              <w:tc>
                <w:tcPr>
                  <w:tcW w:w="1206" w:type="pct"/>
                  <w:vMerge w:val="continue"/>
                  <w:tcMar>
                    <w:left w:w="0" w:type="dxa"/>
                    <w:right w:w="0" w:type="dxa"/>
                  </w:tcMar>
                  <w:vAlign w:val="center"/>
                </w:tcPr>
                <w:p w14:paraId="12BDC0FC">
                  <w:pPr>
                    <w:adjustRightInd w:val="0"/>
                    <w:snapToGrid w:val="0"/>
                    <w:jc w:val="center"/>
                    <w:rPr>
                      <w:b/>
                      <w:bCs/>
                      <w:color w:val="auto"/>
                      <w:kern w:val="0"/>
                      <w:szCs w:val="21"/>
                      <w:highlight w:val="none"/>
                    </w:rPr>
                  </w:pPr>
                </w:p>
              </w:tc>
              <w:tc>
                <w:tcPr>
                  <w:tcW w:w="2529" w:type="pct"/>
                  <w:vMerge w:val="continue"/>
                  <w:tcMar>
                    <w:left w:w="0" w:type="dxa"/>
                    <w:right w:w="0" w:type="dxa"/>
                  </w:tcMar>
                  <w:vAlign w:val="center"/>
                </w:tcPr>
                <w:p w14:paraId="62A3F31C">
                  <w:pPr>
                    <w:adjustRightInd w:val="0"/>
                    <w:snapToGrid w:val="0"/>
                    <w:jc w:val="center"/>
                    <w:rPr>
                      <w:b/>
                      <w:color w:val="auto"/>
                      <w:szCs w:val="21"/>
                      <w:highlight w:val="none"/>
                    </w:rPr>
                  </w:pPr>
                </w:p>
              </w:tc>
            </w:tr>
            <w:tr w14:paraId="3FFC4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66" w:type="pct"/>
                  <w:tcMar>
                    <w:left w:w="0" w:type="dxa"/>
                    <w:right w:w="0" w:type="dxa"/>
                  </w:tcMar>
                  <w:vAlign w:val="center"/>
                </w:tcPr>
                <w:p w14:paraId="70436F51">
                  <w:pPr>
                    <w:adjustRightInd w:val="0"/>
                    <w:snapToGrid w:val="0"/>
                    <w:jc w:val="center"/>
                    <w:rPr>
                      <w:b/>
                      <w:color w:val="auto"/>
                      <w:szCs w:val="21"/>
                      <w:highlight w:val="none"/>
                    </w:rPr>
                  </w:pPr>
                  <w:r>
                    <w:rPr>
                      <w:bCs/>
                      <w:color w:val="auto"/>
                      <w:szCs w:val="21"/>
                      <w:highlight w:val="none"/>
                    </w:rPr>
                    <w:t>施工期</w:t>
                  </w:r>
                </w:p>
              </w:tc>
              <w:tc>
                <w:tcPr>
                  <w:tcW w:w="497" w:type="pct"/>
                  <w:vAlign w:val="center"/>
                </w:tcPr>
                <w:p w14:paraId="4C75849F">
                  <w:pPr>
                    <w:adjustRightInd w:val="0"/>
                    <w:snapToGrid w:val="0"/>
                    <w:jc w:val="center"/>
                    <w:rPr>
                      <w:b/>
                      <w:color w:val="auto"/>
                      <w:szCs w:val="21"/>
                      <w:highlight w:val="none"/>
                    </w:rPr>
                  </w:pPr>
                  <w:r>
                    <w:rPr>
                      <w:bCs/>
                      <w:color w:val="auto"/>
                      <w:szCs w:val="21"/>
                      <w:highlight w:val="none"/>
                    </w:rPr>
                    <w:t>颗粒物</w:t>
                  </w:r>
                </w:p>
              </w:tc>
              <w:tc>
                <w:tcPr>
                  <w:tcW w:w="1206" w:type="pct"/>
                  <w:tcMar>
                    <w:left w:w="0" w:type="dxa"/>
                    <w:right w:w="0" w:type="dxa"/>
                  </w:tcMar>
                  <w:vAlign w:val="center"/>
                </w:tcPr>
                <w:p w14:paraId="6A8038A8">
                  <w:pPr>
                    <w:adjustRightInd w:val="0"/>
                    <w:snapToGrid w:val="0"/>
                    <w:jc w:val="center"/>
                    <w:rPr>
                      <w:rFonts w:hint="eastAsia" w:eastAsia="宋体"/>
                      <w:b/>
                      <w:color w:val="auto"/>
                      <w:kern w:val="0"/>
                      <w:szCs w:val="21"/>
                      <w:highlight w:val="none"/>
                      <w:lang w:eastAsia="zh-CN"/>
                    </w:rPr>
                  </w:pPr>
                  <w:r>
                    <w:rPr>
                      <w:color w:val="auto"/>
                      <w:szCs w:val="21"/>
                      <w:highlight w:val="none"/>
                    </w:rPr>
                    <w:t>1.0</w:t>
                  </w:r>
                  <w:r>
                    <w:rPr>
                      <w:rFonts w:hint="eastAsia"/>
                      <w:bCs/>
                      <w:color w:val="auto"/>
                      <w:szCs w:val="21"/>
                      <w:highlight w:val="none"/>
                      <w:lang w:eastAsia="zh-CN"/>
                    </w:rPr>
                    <w:t>m</w:t>
                  </w:r>
                  <w:r>
                    <w:rPr>
                      <w:bCs/>
                      <w:color w:val="auto"/>
                      <w:szCs w:val="21"/>
                      <w:highlight w:val="none"/>
                    </w:rPr>
                    <w:t>g/</w:t>
                  </w:r>
                  <w:r>
                    <w:rPr>
                      <w:rFonts w:hint="eastAsia"/>
                      <w:bCs/>
                      <w:color w:val="auto"/>
                      <w:szCs w:val="21"/>
                      <w:highlight w:val="none"/>
                      <w:vertAlign w:val="baseline"/>
                      <w:lang w:eastAsia="zh-CN"/>
                    </w:rPr>
                    <w:t>m</w:t>
                  </w:r>
                  <w:r>
                    <w:rPr>
                      <w:rFonts w:hint="eastAsia"/>
                      <w:bCs/>
                      <w:color w:val="auto"/>
                      <w:szCs w:val="21"/>
                      <w:highlight w:val="none"/>
                      <w:vertAlign w:val="superscript"/>
                      <w:lang w:eastAsia="zh-CN"/>
                    </w:rPr>
                    <w:t>3</w:t>
                  </w:r>
                </w:p>
              </w:tc>
              <w:tc>
                <w:tcPr>
                  <w:tcW w:w="2529" w:type="pct"/>
                  <w:tcMar>
                    <w:left w:w="0" w:type="dxa"/>
                    <w:right w:w="0" w:type="dxa"/>
                  </w:tcMar>
                  <w:vAlign w:val="center"/>
                </w:tcPr>
                <w:p w14:paraId="72C39DC2">
                  <w:pPr>
                    <w:adjustRightInd w:val="0"/>
                    <w:snapToGrid w:val="0"/>
                    <w:jc w:val="center"/>
                    <w:rPr>
                      <w:rFonts w:hint="eastAsia" w:eastAsia="宋体"/>
                      <w:b/>
                      <w:color w:val="auto"/>
                      <w:szCs w:val="21"/>
                      <w:highlight w:val="none"/>
                      <w:lang w:eastAsia="zh-CN"/>
                    </w:rPr>
                  </w:pPr>
                  <w:r>
                    <w:rPr>
                      <w:bCs/>
                      <w:color w:val="auto"/>
                      <w:szCs w:val="21"/>
                      <w:highlight w:val="none"/>
                    </w:rPr>
                    <w:t>《大气污染物综合排放标准》（GB 16297-1996）中无组织排放标准限值</w:t>
                  </w:r>
                  <w:r>
                    <w:rPr>
                      <w:rFonts w:hint="eastAsia"/>
                      <w:bCs/>
                      <w:color w:val="auto"/>
                      <w:szCs w:val="21"/>
                      <w:highlight w:val="none"/>
                      <w:lang w:eastAsia="zh-CN"/>
                    </w:rPr>
                    <w:t>。</w:t>
                  </w:r>
                </w:p>
              </w:tc>
            </w:tr>
          </w:tbl>
          <w:p w14:paraId="649EE88A">
            <w:pPr>
              <w:adjustRightInd w:val="0"/>
              <w:snapToGrid w:val="0"/>
              <w:spacing w:beforeLines="50" w:line="360" w:lineRule="auto"/>
              <w:ind w:firstLine="480" w:firstLineChars="200"/>
              <w:textAlignment w:val="baseline"/>
              <w:rPr>
                <w:color w:val="auto"/>
                <w:kern w:val="0"/>
                <w:sz w:val="24"/>
                <w:highlight w:val="none"/>
              </w:rPr>
            </w:pPr>
            <w:r>
              <w:rPr>
                <w:color w:val="auto"/>
                <w:kern w:val="0"/>
                <w:sz w:val="24"/>
                <w:highlight w:val="none"/>
              </w:rPr>
              <w:t>运营期遗体火化的尾气排放执行《火葬场大气污染排放标准》（GB13801-2015）表2中排放限值及《恶臭污染物排放标准》（GB14554-93）表2中15</w:t>
            </w:r>
            <w:r>
              <w:rPr>
                <w:rFonts w:hint="eastAsia"/>
                <w:color w:val="auto"/>
                <w:kern w:val="0"/>
                <w:sz w:val="24"/>
                <w:highlight w:val="none"/>
                <w:lang w:eastAsia="zh-CN"/>
              </w:rPr>
              <w:t>m</w:t>
            </w:r>
            <w:r>
              <w:rPr>
                <w:color w:val="auto"/>
                <w:kern w:val="0"/>
                <w:sz w:val="24"/>
                <w:highlight w:val="none"/>
              </w:rPr>
              <w:t>高排气筒排放限值，且火化机运行工况应满足遗体入炉前炉膛温度（含在燃室）在850℃以上</w:t>
            </w:r>
            <w:r>
              <w:rPr>
                <w:rFonts w:hint="eastAsia"/>
                <w:color w:val="auto"/>
                <w:kern w:val="0"/>
                <w:sz w:val="24"/>
                <w:highlight w:val="none"/>
                <w:lang w:eastAsia="zh-CN"/>
              </w:rPr>
              <w:t>；</w:t>
            </w:r>
            <w:r>
              <w:rPr>
                <w:color w:val="auto"/>
                <w:kern w:val="0"/>
                <w:sz w:val="24"/>
                <w:highlight w:val="none"/>
              </w:rPr>
              <w:t>遗物祭品焚烧的尾气排放执行《火葬场大气污染排放标准》（GB13801-2015）表3中排放限值。</w:t>
            </w:r>
          </w:p>
          <w:p w14:paraId="21BD82C6">
            <w:pPr>
              <w:adjustRightInd w:val="0"/>
              <w:snapToGrid w:val="0"/>
              <w:spacing w:line="360" w:lineRule="auto"/>
              <w:ind w:firstLine="474" w:firstLineChars="200"/>
              <w:jc w:val="center"/>
              <w:rPr>
                <w:b/>
                <w:bCs/>
                <w:color w:val="auto"/>
                <w:kern w:val="0"/>
                <w:sz w:val="24"/>
                <w:highlight w:val="none"/>
              </w:rPr>
            </w:pPr>
            <w:r>
              <w:rPr>
                <w:b/>
                <w:bCs/>
                <w:color w:val="auto"/>
                <w:spacing w:val="-2"/>
                <w:sz w:val="24"/>
                <w:highlight w:val="none"/>
              </w:rPr>
              <w:t>表</w:t>
            </w:r>
            <w:r>
              <w:rPr>
                <w:b/>
                <w:bCs/>
                <w:color w:val="auto"/>
                <w:spacing w:val="-19"/>
                <w:sz w:val="24"/>
                <w:highlight w:val="none"/>
              </w:rPr>
              <w:t>3-4</w:t>
            </w:r>
            <w:r>
              <w:rPr>
                <w:rFonts w:eastAsia="Times New Roman"/>
                <w:b/>
                <w:bCs/>
                <w:color w:val="auto"/>
                <w:spacing w:val="-2"/>
                <w:sz w:val="24"/>
                <w:highlight w:val="none"/>
              </w:rPr>
              <w:t xml:space="preserve"> </w:t>
            </w:r>
            <w:r>
              <w:rPr>
                <w:b/>
                <w:bCs/>
                <w:color w:val="auto"/>
                <w:kern w:val="0"/>
                <w:sz w:val="24"/>
                <w:highlight w:val="none"/>
              </w:rPr>
              <w:t>遗体火化大气污染物排放限制</w:t>
            </w:r>
          </w:p>
          <w:p w14:paraId="3F88D87B">
            <w:pPr>
              <w:adjustRightInd w:val="0"/>
              <w:snapToGrid w:val="0"/>
              <w:spacing w:line="360" w:lineRule="auto"/>
              <w:ind w:firstLine="480" w:firstLineChars="200"/>
              <w:jc w:val="right"/>
              <w:rPr>
                <w:b/>
                <w:bCs/>
                <w:color w:val="auto"/>
                <w:kern w:val="0"/>
                <w:sz w:val="24"/>
                <w:highlight w:val="none"/>
              </w:rPr>
            </w:pPr>
            <w:r>
              <w:rPr>
                <w:color w:val="auto"/>
                <w:kern w:val="0"/>
                <w:sz w:val="24"/>
                <w:highlight w:val="none"/>
              </w:rPr>
              <w:t>单位：</w:t>
            </w:r>
            <w:r>
              <w:rPr>
                <w:rFonts w:hint="eastAsia"/>
                <w:color w:val="auto"/>
                <w:kern w:val="0"/>
                <w:sz w:val="24"/>
                <w:highlight w:val="none"/>
                <w:lang w:eastAsia="zh-CN"/>
              </w:rPr>
              <w:t>m</w:t>
            </w:r>
            <w:r>
              <w:rPr>
                <w:color w:val="auto"/>
                <w:kern w:val="0"/>
                <w:sz w:val="24"/>
                <w:highlight w:val="none"/>
              </w:rPr>
              <w:t>g/</w:t>
            </w:r>
            <w:r>
              <w:rPr>
                <w:rFonts w:hint="eastAsia"/>
                <w:color w:val="auto"/>
                <w:kern w:val="0"/>
                <w:sz w:val="24"/>
                <w:highlight w:val="none"/>
                <w:vertAlign w:val="baseline"/>
                <w:lang w:eastAsia="zh-CN"/>
              </w:rPr>
              <w:t>m</w:t>
            </w:r>
            <w:r>
              <w:rPr>
                <w:rFonts w:hint="eastAsia"/>
                <w:color w:val="auto"/>
                <w:kern w:val="0"/>
                <w:sz w:val="24"/>
                <w:highlight w:val="none"/>
                <w:vertAlign w:val="superscript"/>
                <w:lang w:eastAsia="zh-CN"/>
              </w:rPr>
              <w:t>3</w:t>
            </w:r>
            <w:r>
              <w:rPr>
                <w:color w:val="auto"/>
                <w:kern w:val="0"/>
                <w:sz w:val="24"/>
                <w:highlight w:val="none"/>
              </w:rPr>
              <w:t>（二噁英类、烟气黑度除外）</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3013"/>
              <w:gridCol w:w="1660"/>
              <w:gridCol w:w="2940"/>
            </w:tblGrid>
            <w:tr w14:paraId="0D454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2" w:type="pct"/>
                  <w:tcBorders>
                    <w:tl2br w:val="nil"/>
                    <w:tr2bl w:val="nil"/>
                  </w:tcBorders>
                  <w:vAlign w:val="center"/>
                </w:tcPr>
                <w:p w14:paraId="677FBE2F">
                  <w:pPr>
                    <w:adjustRightInd w:val="0"/>
                    <w:snapToGrid w:val="0"/>
                    <w:jc w:val="center"/>
                    <w:rPr>
                      <w:b/>
                      <w:bCs/>
                      <w:color w:val="auto"/>
                      <w:kern w:val="0"/>
                      <w:szCs w:val="21"/>
                      <w:highlight w:val="none"/>
                    </w:rPr>
                  </w:pPr>
                  <w:r>
                    <w:rPr>
                      <w:b/>
                      <w:bCs/>
                      <w:color w:val="auto"/>
                      <w:kern w:val="0"/>
                      <w:szCs w:val="21"/>
                      <w:highlight w:val="none"/>
                    </w:rPr>
                    <w:t>序号</w:t>
                  </w:r>
                </w:p>
              </w:tc>
              <w:tc>
                <w:tcPr>
                  <w:tcW w:w="1815" w:type="pct"/>
                  <w:tcBorders>
                    <w:tl2br w:val="nil"/>
                    <w:tr2bl w:val="nil"/>
                  </w:tcBorders>
                  <w:vAlign w:val="center"/>
                </w:tcPr>
                <w:p w14:paraId="04DE9F56">
                  <w:pPr>
                    <w:adjustRightInd w:val="0"/>
                    <w:snapToGrid w:val="0"/>
                    <w:jc w:val="center"/>
                    <w:rPr>
                      <w:b/>
                      <w:bCs/>
                      <w:color w:val="auto"/>
                      <w:kern w:val="0"/>
                      <w:szCs w:val="21"/>
                      <w:highlight w:val="none"/>
                    </w:rPr>
                  </w:pPr>
                  <w:r>
                    <w:rPr>
                      <w:b/>
                      <w:bCs/>
                      <w:color w:val="auto"/>
                      <w:kern w:val="0"/>
                      <w:szCs w:val="21"/>
                      <w:highlight w:val="none"/>
                    </w:rPr>
                    <w:t>控制项目</w:t>
                  </w:r>
                </w:p>
              </w:tc>
              <w:tc>
                <w:tcPr>
                  <w:tcW w:w="1000" w:type="pct"/>
                  <w:tcBorders>
                    <w:tl2br w:val="nil"/>
                    <w:tr2bl w:val="nil"/>
                  </w:tcBorders>
                  <w:vAlign w:val="center"/>
                </w:tcPr>
                <w:p w14:paraId="74AC2F71">
                  <w:pPr>
                    <w:adjustRightInd w:val="0"/>
                    <w:snapToGrid w:val="0"/>
                    <w:jc w:val="center"/>
                    <w:rPr>
                      <w:b/>
                      <w:bCs/>
                      <w:color w:val="auto"/>
                      <w:kern w:val="0"/>
                      <w:szCs w:val="21"/>
                      <w:highlight w:val="none"/>
                    </w:rPr>
                  </w:pPr>
                  <w:r>
                    <w:rPr>
                      <w:b/>
                      <w:bCs/>
                      <w:color w:val="auto"/>
                      <w:kern w:val="0"/>
                      <w:szCs w:val="21"/>
                      <w:highlight w:val="none"/>
                    </w:rPr>
                    <w:t>排放限值</w:t>
                  </w:r>
                </w:p>
              </w:tc>
              <w:tc>
                <w:tcPr>
                  <w:tcW w:w="1771" w:type="pct"/>
                  <w:tcBorders>
                    <w:tl2br w:val="nil"/>
                    <w:tr2bl w:val="nil"/>
                  </w:tcBorders>
                  <w:vAlign w:val="center"/>
                </w:tcPr>
                <w:p w14:paraId="1C099170">
                  <w:pPr>
                    <w:adjustRightInd w:val="0"/>
                    <w:snapToGrid w:val="0"/>
                    <w:jc w:val="center"/>
                    <w:rPr>
                      <w:b/>
                      <w:bCs/>
                      <w:color w:val="auto"/>
                      <w:kern w:val="0"/>
                      <w:szCs w:val="21"/>
                      <w:highlight w:val="none"/>
                    </w:rPr>
                  </w:pPr>
                  <w:r>
                    <w:rPr>
                      <w:b/>
                      <w:bCs/>
                      <w:color w:val="auto"/>
                      <w:kern w:val="0"/>
                      <w:szCs w:val="21"/>
                      <w:highlight w:val="none"/>
                    </w:rPr>
                    <w:t>污染物排放监控位置</w:t>
                  </w:r>
                </w:p>
              </w:tc>
            </w:tr>
            <w:tr w14:paraId="71862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2" w:type="pct"/>
                  <w:tcBorders>
                    <w:tl2br w:val="nil"/>
                    <w:tr2bl w:val="nil"/>
                  </w:tcBorders>
                  <w:vAlign w:val="center"/>
                </w:tcPr>
                <w:p w14:paraId="6986AC84">
                  <w:pPr>
                    <w:adjustRightInd w:val="0"/>
                    <w:snapToGrid w:val="0"/>
                    <w:jc w:val="center"/>
                    <w:rPr>
                      <w:color w:val="auto"/>
                      <w:kern w:val="0"/>
                      <w:szCs w:val="21"/>
                      <w:highlight w:val="none"/>
                    </w:rPr>
                  </w:pPr>
                  <w:r>
                    <w:rPr>
                      <w:color w:val="auto"/>
                      <w:kern w:val="0"/>
                      <w:szCs w:val="21"/>
                      <w:highlight w:val="none"/>
                    </w:rPr>
                    <w:t>1</w:t>
                  </w:r>
                </w:p>
              </w:tc>
              <w:tc>
                <w:tcPr>
                  <w:tcW w:w="1815" w:type="pct"/>
                  <w:tcBorders>
                    <w:tl2br w:val="nil"/>
                    <w:tr2bl w:val="nil"/>
                  </w:tcBorders>
                  <w:vAlign w:val="center"/>
                </w:tcPr>
                <w:p w14:paraId="531EDCD2">
                  <w:pPr>
                    <w:adjustRightInd w:val="0"/>
                    <w:snapToGrid w:val="0"/>
                    <w:jc w:val="center"/>
                    <w:rPr>
                      <w:color w:val="auto"/>
                      <w:kern w:val="0"/>
                      <w:szCs w:val="21"/>
                      <w:highlight w:val="none"/>
                    </w:rPr>
                  </w:pPr>
                  <w:r>
                    <w:rPr>
                      <w:color w:val="auto"/>
                      <w:kern w:val="0"/>
                      <w:szCs w:val="21"/>
                      <w:highlight w:val="none"/>
                    </w:rPr>
                    <w:t>烟尘</w:t>
                  </w:r>
                </w:p>
              </w:tc>
              <w:tc>
                <w:tcPr>
                  <w:tcW w:w="1000" w:type="pct"/>
                  <w:tcBorders>
                    <w:tl2br w:val="nil"/>
                    <w:tr2bl w:val="nil"/>
                  </w:tcBorders>
                  <w:vAlign w:val="center"/>
                </w:tcPr>
                <w:p w14:paraId="62D991BB">
                  <w:pPr>
                    <w:adjustRightInd w:val="0"/>
                    <w:snapToGrid w:val="0"/>
                    <w:jc w:val="center"/>
                    <w:rPr>
                      <w:color w:val="auto"/>
                      <w:kern w:val="0"/>
                      <w:szCs w:val="21"/>
                      <w:highlight w:val="none"/>
                    </w:rPr>
                  </w:pPr>
                  <w:r>
                    <w:rPr>
                      <w:color w:val="auto"/>
                      <w:kern w:val="0"/>
                      <w:szCs w:val="21"/>
                      <w:highlight w:val="none"/>
                    </w:rPr>
                    <w:t>30</w:t>
                  </w:r>
                </w:p>
              </w:tc>
              <w:tc>
                <w:tcPr>
                  <w:tcW w:w="1771" w:type="pct"/>
                  <w:vMerge w:val="restart"/>
                  <w:tcBorders>
                    <w:tl2br w:val="nil"/>
                    <w:tr2bl w:val="nil"/>
                  </w:tcBorders>
                  <w:vAlign w:val="center"/>
                </w:tcPr>
                <w:p w14:paraId="4E66B7D1">
                  <w:pPr>
                    <w:adjustRightInd w:val="0"/>
                    <w:snapToGrid w:val="0"/>
                    <w:jc w:val="center"/>
                    <w:rPr>
                      <w:color w:val="auto"/>
                      <w:kern w:val="0"/>
                      <w:szCs w:val="21"/>
                      <w:highlight w:val="none"/>
                    </w:rPr>
                  </w:pPr>
                  <w:r>
                    <w:rPr>
                      <w:color w:val="auto"/>
                      <w:kern w:val="0"/>
                      <w:szCs w:val="21"/>
                      <w:highlight w:val="none"/>
                    </w:rPr>
                    <w:t>烟囱</w:t>
                  </w:r>
                </w:p>
              </w:tc>
            </w:tr>
            <w:tr w14:paraId="4E65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2" w:type="pct"/>
                  <w:tcBorders>
                    <w:tl2br w:val="nil"/>
                    <w:tr2bl w:val="nil"/>
                  </w:tcBorders>
                  <w:vAlign w:val="center"/>
                </w:tcPr>
                <w:p w14:paraId="6AB57E88">
                  <w:pPr>
                    <w:adjustRightInd w:val="0"/>
                    <w:snapToGrid w:val="0"/>
                    <w:jc w:val="center"/>
                    <w:rPr>
                      <w:color w:val="auto"/>
                      <w:kern w:val="0"/>
                      <w:szCs w:val="21"/>
                      <w:highlight w:val="none"/>
                    </w:rPr>
                  </w:pPr>
                  <w:r>
                    <w:rPr>
                      <w:color w:val="auto"/>
                      <w:kern w:val="0"/>
                      <w:szCs w:val="21"/>
                      <w:highlight w:val="none"/>
                    </w:rPr>
                    <w:t>2</w:t>
                  </w:r>
                </w:p>
              </w:tc>
              <w:tc>
                <w:tcPr>
                  <w:tcW w:w="1815" w:type="pct"/>
                  <w:tcBorders>
                    <w:tl2br w:val="nil"/>
                    <w:tr2bl w:val="nil"/>
                  </w:tcBorders>
                  <w:vAlign w:val="center"/>
                </w:tcPr>
                <w:p w14:paraId="0B06CD70">
                  <w:pPr>
                    <w:adjustRightInd w:val="0"/>
                    <w:snapToGrid w:val="0"/>
                    <w:jc w:val="center"/>
                    <w:rPr>
                      <w:color w:val="auto"/>
                      <w:kern w:val="0"/>
                      <w:szCs w:val="21"/>
                      <w:highlight w:val="none"/>
                    </w:rPr>
                  </w:pPr>
                  <w:r>
                    <w:rPr>
                      <w:color w:val="auto"/>
                      <w:kern w:val="0"/>
                      <w:szCs w:val="21"/>
                      <w:highlight w:val="none"/>
                    </w:rPr>
                    <w:t>二氧化硫</w:t>
                  </w:r>
                </w:p>
              </w:tc>
              <w:tc>
                <w:tcPr>
                  <w:tcW w:w="1000" w:type="pct"/>
                  <w:tcBorders>
                    <w:tl2br w:val="nil"/>
                    <w:tr2bl w:val="nil"/>
                  </w:tcBorders>
                  <w:vAlign w:val="center"/>
                </w:tcPr>
                <w:p w14:paraId="2F0745E2">
                  <w:pPr>
                    <w:adjustRightInd w:val="0"/>
                    <w:snapToGrid w:val="0"/>
                    <w:jc w:val="center"/>
                    <w:rPr>
                      <w:color w:val="auto"/>
                      <w:kern w:val="0"/>
                      <w:szCs w:val="21"/>
                      <w:highlight w:val="none"/>
                    </w:rPr>
                  </w:pPr>
                  <w:r>
                    <w:rPr>
                      <w:color w:val="auto"/>
                      <w:kern w:val="0"/>
                      <w:szCs w:val="21"/>
                      <w:highlight w:val="none"/>
                    </w:rPr>
                    <w:t>30</w:t>
                  </w:r>
                </w:p>
              </w:tc>
              <w:tc>
                <w:tcPr>
                  <w:tcW w:w="1771" w:type="pct"/>
                  <w:vMerge w:val="continue"/>
                  <w:tcBorders>
                    <w:tl2br w:val="nil"/>
                    <w:tr2bl w:val="nil"/>
                  </w:tcBorders>
                  <w:vAlign w:val="center"/>
                </w:tcPr>
                <w:p w14:paraId="0447AA00">
                  <w:pPr>
                    <w:adjustRightInd w:val="0"/>
                    <w:snapToGrid w:val="0"/>
                    <w:jc w:val="center"/>
                    <w:rPr>
                      <w:color w:val="auto"/>
                      <w:kern w:val="0"/>
                      <w:szCs w:val="21"/>
                      <w:highlight w:val="none"/>
                    </w:rPr>
                  </w:pPr>
                </w:p>
              </w:tc>
            </w:tr>
            <w:tr w14:paraId="04097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2" w:type="pct"/>
                  <w:tcBorders>
                    <w:tl2br w:val="nil"/>
                    <w:tr2bl w:val="nil"/>
                  </w:tcBorders>
                  <w:vAlign w:val="center"/>
                </w:tcPr>
                <w:p w14:paraId="62BFC6A3">
                  <w:pPr>
                    <w:adjustRightInd w:val="0"/>
                    <w:snapToGrid w:val="0"/>
                    <w:jc w:val="center"/>
                    <w:rPr>
                      <w:color w:val="auto"/>
                      <w:kern w:val="0"/>
                      <w:szCs w:val="21"/>
                      <w:highlight w:val="none"/>
                    </w:rPr>
                  </w:pPr>
                  <w:r>
                    <w:rPr>
                      <w:color w:val="auto"/>
                      <w:kern w:val="0"/>
                      <w:szCs w:val="21"/>
                      <w:highlight w:val="none"/>
                    </w:rPr>
                    <w:t>3</w:t>
                  </w:r>
                </w:p>
              </w:tc>
              <w:tc>
                <w:tcPr>
                  <w:tcW w:w="1815" w:type="pct"/>
                  <w:tcBorders>
                    <w:tl2br w:val="nil"/>
                    <w:tr2bl w:val="nil"/>
                  </w:tcBorders>
                  <w:vAlign w:val="center"/>
                </w:tcPr>
                <w:p w14:paraId="21699F02">
                  <w:pPr>
                    <w:adjustRightInd w:val="0"/>
                    <w:snapToGrid w:val="0"/>
                    <w:jc w:val="center"/>
                    <w:rPr>
                      <w:color w:val="auto"/>
                      <w:kern w:val="0"/>
                      <w:szCs w:val="21"/>
                      <w:highlight w:val="none"/>
                    </w:rPr>
                  </w:pPr>
                  <w:r>
                    <w:rPr>
                      <w:color w:val="auto"/>
                      <w:kern w:val="0"/>
                      <w:szCs w:val="21"/>
                      <w:highlight w:val="none"/>
                    </w:rPr>
                    <w:t>氮氧化物（以NO</w:t>
                  </w:r>
                  <w:r>
                    <w:rPr>
                      <w:color w:val="auto"/>
                      <w:kern w:val="0"/>
                      <w:szCs w:val="21"/>
                      <w:highlight w:val="none"/>
                      <w:vertAlign w:val="subscript"/>
                    </w:rPr>
                    <w:t>2</w:t>
                  </w:r>
                  <w:r>
                    <w:rPr>
                      <w:color w:val="auto"/>
                      <w:kern w:val="0"/>
                      <w:szCs w:val="21"/>
                      <w:highlight w:val="none"/>
                    </w:rPr>
                    <w:t>计）</w:t>
                  </w:r>
                </w:p>
              </w:tc>
              <w:tc>
                <w:tcPr>
                  <w:tcW w:w="1000" w:type="pct"/>
                  <w:tcBorders>
                    <w:tl2br w:val="nil"/>
                    <w:tr2bl w:val="nil"/>
                  </w:tcBorders>
                  <w:vAlign w:val="center"/>
                </w:tcPr>
                <w:p w14:paraId="4235C818">
                  <w:pPr>
                    <w:adjustRightInd w:val="0"/>
                    <w:snapToGrid w:val="0"/>
                    <w:jc w:val="center"/>
                    <w:rPr>
                      <w:color w:val="auto"/>
                      <w:kern w:val="0"/>
                      <w:szCs w:val="21"/>
                      <w:highlight w:val="none"/>
                    </w:rPr>
                  </w:pPr>
                  <w:r>
                    <w:rPr>
                      <w:color w:val="auto"/>
                      <w:kern w:val="0"/>
                      <w:szCs w:val="21"/>
                      <w:highlight w:val="none"/>
                    </w:rPr>
                    <w:t>200</w:t>
                  </w:r>
                </w:p>
              </w:tc>
              <w:tc>
                <w:tcPr>
                  <w:tcW w:w="1771" w:type="pct"/>
                  <w:vMerge w:val="continue"/>
                  <w:tcBorders>
                    <w:tl2br w:val="nil"/>
                    <w:tr2bl w:val="nil"/>
                  </w:tcBorders>
                  <w:vAlign w:val="center"/>
                </w:tcPr>
                <w:p w14:paraId="000004D4">
                  <w:pPr>
                    <w:adjustRightInd w:val="0"/>
                    <w:snapToGrid w:val="0"/>
                    <w:jc w:val="center"/>
                    <w:rPr>
                      <w:color w:val="auto"/>
                      <w:kern w:val="0"/>
                      <w:szCs w:val="21"/>
                      <w:highlight w:val="none"/>
                    </w:rPr>
                  </w:pPr>
                </w:p>
              </w:tc>
            </w:tr>
            <w:tr w14:paraId="119F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2" w:type="pct"/>
                  <w:tcBorders>
                    <w:tl2br w:val="nil"/>
                    <w:tr2bl w:val="nil"/>
                  </w:tcBorders>
                  <w:vAlign w:val="center"/>
                </w:tcPr>
                <w:p w14:paraId="5BF6B640">
                  <w:pPr>
                    <w:adjustRightInd w:val="0"/>
                    <w:snapToGrid w:val="0"/>
                    <w:jc w:val="center"/>
                    <w:rPr>
                      <w:color w:val="auto"/>
                      <w:kern w:val="0"/>
                      <w:szCs w:val="21"/>
                      <w:highlight w:val="none"/>
                    </w:rPr>
                  </w:pPr>
                  <w:r>
                    <w:rPr>
                      <w:color w:val="auto"/>
                      <w:kern w:val="0"/>
                      <w:szCs w:val="21"/>
                      <w:highlight w:val="none"/>
                    </w:rPr>
                    <w:t>4</w:t>
                  </w:r>
                </w:p>
              </w:tc>
              <w:tc>
                <w:tcPr>
                  <w:tcW w:w="1815" w:type="pct"/>
                  <w:tcBorders>
                    <w:tl2br w:val="nil"/>
                    <w:tr2bl w:val="nil"/>
                  </w:tcBorders>
                  <w:vAlign w:val="center"/>
                </w:tcPr>
                <w:p w14:paraId="7C760035">
                  <w:pPr>
                    <w:adjustRightInd w:val="0"/>
                    <w:snapToGrid w:val="0"/>
                    <w:jc w:val="center"/>
                    <w:rPr>
                      <w:color w:val="auto"/>
                      <w:kern w:val="0"/>
                      <w:szCs w:val="21"/>
                      <w:highlight w:val="none"/>
                    </w:rPr>
                  </w:pPr>
                  <w:r>
                    <w:rPr>
                      <w:color w:val="auto"/>
                      <w:kern w:val="0"/>
                      <w:szCs w:val="21"/>
                      <w:highlight w:val="none"/>
                    </w:rPr>
                    <w:t>一氧化碳</w:t>
                  </w:r>
                </w:p>
              </w:tc>
              <w:tc>
                <w:tcPr>
                  <w:tcW w:w="1000" w:type="pct"/>
                  <w:tcBorders>
                    <w:tl2br w:val="nil"/>
                    <w:tr2bl w:val="nil"/>
                  </w:tcBorders>
                  <w:vAlign w:val="center"/>
                </w:tcPr>
                <w:p w14:paraId="342D3FD4">
                  <w:pPr>
                    <w:adjustRightInd w:val="0"/>
                    <w:snapToGrid w:val="0"/>
                    <w:jc w:val="center"/>
                    <w:rPr>
                      <w:color w:val="auto"/>
                      <w:kern w:val="0"/>
                      <w:szCs w:val="21"/>
                      <w:highlight w:val="none"/>
                    </w:rPr>
                  </w:pPr>
                  <w:r>
                    <w:rPr>
                      <w:color w:val="auto"/>
                      <w:kern w:val="0"/>
                      <w:szCs w:val="21"/>
                      <w:highlight w:val="none"/>
                    </w:rPr>
                    <w:t>150</w:t>
                  </w:r>
                </w:p>
              </w:tc>
              <w:tc>
                <w:tcPr>
                  <w:tcW w:w="1771" w:type="pct"/>
                  <w:vMerge w:val="continue"/>
                  <w:tcBorders>
                    <w:tl2br w:val="nil"/>
                    <w:tr2bl w:val="nil"/>
                  </w:tcBorders>
                  <w:vAlign w:val="center"/>
                </w:tcPr>
                <w:p w14:paraId="22EA3CCE">
                  <w:pPr>
                    <w:adjustRightInd w:val="0"/>
                    <w:snapToGrid w:val="0"/>
                    <w:jc w:val="center"/>
                    <w:rPr>
                      <w:color w:val="auto"/>
                      <w:kern w:val="0"/>
                      <w:szCs w:val="21"/>
                      <w:highlight w:val="none"/>
                    </w:rPr>
                  </w:pPr>
                </w:p>
              </w:tc>
            </w:tr>
            <w:tr w14:paraId="5C38A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2" w:type="pct"/>
                  <w:tcBorders>
                    <w:tl2br w:val="nil"/>
                    <w:tr2bl w:val="nil"/>
                  </w:tcBorders>
                  <w:vAlign w:val="center"/>
                </w:tcPr>
                <w:p w14:paraId="621B7150">
                  <w:pPr>
                    <w:adjustRightInd w:val="0"/>
                    <w:snapToGrid w:val="0"/>
                    <w:jc w:val="center"/>
                    <w:rPr>
                      <w:color w:val="auto"/>
                      <w:kern w:val="0"/>
                      <w:szCs w:val="21"/>
                      <w:highlight w:val="none"/>
                    </w:rPr>
                  </w:pPr>
                  <w:r>
                    <w:rPr>
                      <w:color w:val="auto"/>
                      <w:kern w:val="0"/>
                      <w:szCs w:val="21"/>
                      <w:highlight w:val="none"/>
                    </w:rPr>
                    <w:t>5</w:t>
                  </w:r>
                </w:p>
              </w:tc>
              <w:tc>
                <w:tcPr>
                  <w:tcW w:w="1815" w:type="pct"/>
                  <w:tcBorders>
                    <w:tl2br w:val="nil"/>
                    <w:tr2bl w:val="nil"/>
                  </w:tcBorders>
                  <w:vAlign w:val="center"/>
                </w:tcPr>
                <w:p w14:paraId="3EA9B18F">
                  <w:pPr>
                    <w:adjustRightInd w:val="0"/>
                    <w:snapToGrid w:val="0"/>
                    <w:jc w:val="center"/>
                    <w:rPr>
                      <w:color w:val="auto"/>
                      <w:kern w:val="0"/>
                      <w:szCs w:val="21"/>
                      <w:highlight w:val="none"/>
                    </w:rPr>
                  </w:pPr>
                  <w:r>
                    <w:rPr>
                      <w:color w:val="auto"/>
                      <w:kern w:val="0"/>
                      <w:szCs w:val="21"/>
                      <w:highlight w:val="none"/>
                    </w:rPr>
                    <w:t>氯化氢</w:t>
                  </w:r>
                </w:p>
              </w:tc>
              <w:tc>
                <w:tcPr>
                  <w:tcW w:w="1000" w:type="pct"/>
                  <w:tcBorders>
                    <w:tl2br w:val="nil"/>
                    <w:tr2bl w:val="nil"/>
                  </w:tcBorders>
                  <w:vAlign w:val="center"/>
                </w:tcPr>
                <w:p w14:paraId="1A544663">
                  <w:pPr>
                    <w:adjustRightInd w:val="0"/>
                    <w:snapToGrid w:val="0"/>
                    <w:jc w:val="center"/>
                    <w:rPr>
                      <w:color w:val="auto"/>
                      <w:kern w:val="0"/>
                      <w:szCs w:val="21"/>
                      <w:highlight w:val="none"/>
                    </w:rPr>
                  </w:pPr>
                  <w:r>
                    <w:rPr>
                      <w:color w:val="auto"/>
                      <w:kern w:val="0"/>
                      <w:szCs w:val="21"/>
                      <w:highlight w:val="none"/>
                    </w:rPr>
                    <w:t>30</w:t>
                  </w:r>
                </w:p>
              </w:tc>
              <w:tc>
                <w:tcPr>
                  <w:tcW w:w="1771" w:type="pct"/>
                  <w:vMerge w:val="continue"/>
                  <w:tcBorders>
                    <w:tl2br w:val="nil"/>
                    <w:tr2bl w:val="nil"/>
                  </w:tcBorders>
                  <w:vAlign w:val="center"/>
                </w:tcPr>
                <w:p w14:paraId="52AB7BDF">
                  <w:pPr>
                    <w:adjustRightInd w:val="0"/>
                    <w:snapToGrid w:val="0"/>
                    <w:jc w:val="center"/>
                    <w:rPr>
                      <w:color w:val="auto"/>
                      <w:kern w:val="0"/>
                      <w:szCs w:val="21"/>
                      <w:highlight w:val="none"/>
                    </w:rPr>
                  </w:pPr>
                </w:p>
              </w:tc>
            </w:tr>
            <w:tr w14:paraId="4E736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2" w:type="pct"/>
                  <w:tcBorders>
                    <w:tl2br w:val="nil"/>
                    <w:tr2bl w:val="nil"/>
                  </w:tcBorders>
                  <w:vAlign w:val="center"/>
                </w:tcPr>
                <w:p w14:paraId="4D1190A2">
                  <w:pPr>
                    <w:adjustRightInd w:val="0"/>
                    <w:snapToGrid w:val="0"/>
                    <w:jc w:val="center"/>
                    <w:rPr>
                      <w:color w:val="auto"/>
                      <w:kern w:val="0"/>
                      <w:szCs w:val="21"/>
                      <w:highlight w:val="none"/>
                    </w:rPr>
                  </w:pPr>
                  <w:r>
                    <w:rPr>
                      <w:color w:val="auto"/>
                      <w:kern w:val="0"/>
                      <w:szCs w:val="21"/>
                      <w:highlight w:val="none"/>
                    </w:rPr>
                    <w:t>6</w:t>
                  </w:r>
                </w:p>
              </w:tc>
              <w:tc>
                <w:tcPr>
                  <w:tcW w:w="1815" w:type="pct"/>
                  <w:tcBorders>
                    <w:tl2br w:val="nil"/>
                    <w:tr2bl w:val="nil"/>
                  </w:tcBorders>
                  <w:vAlign w:val="center"/>
                </w:tcPr>
                <w:p w14:paraId="3E91C598">
                  <w:pPr>
                    <w:adjustRightInd w:val="0"/>
                    <w:snapToGrid w:val="0"/>
                    <w:jc w:val="center"/>
                    <w:rPr>
                      <w:color w:val="auto"/>
                      <w:kern w:val="0"/>
                      <w:szCs w:val="21"/>
                      <w:highlight w:val="none"/>
                    </w:rPr>
                  </w:pPr>
                  <w:r>
                    <w:rPr>
                      <w:color w:val="auto"/>
                      <w:kern w:val="0"/>
                      <w:szCs w:val="21"/>
                      <w:highlight w:val="none"/>
                    </w:rPr>
                    <w:t>汞</w:t>
                  </w:r>
                </w:p>
              </w:tc>
              <w:tc>
                <w:tcPr>
                  <w:tcW w:w="1000" w:type="pct"/>
                  <w:tcBorders>
                    <w:tl2br w:val="nil"/>
                    <w:tr2bl w:val="nil"/>
                  </w:tcBorders>
                  <w:vAlign w:val="center"/>
                </w:tcPr>
                <w:p w14:paraId="43F976A1">
                  <w:pPr>
                    <w:adjustRightInd w:val="0"/>
                    <w:snapToGrid w:val="0"/>
                    <w:jc w:val="center"/>
                    <w:rPr>
                      <w:color w:val="auto"/>
                      <w:kern w:val="0"/>
                      <w:szCs w:val="21"/>
                      <w:highlight w:val="none"/>
                    </w:rPr>
                  </w:pPr>
                  <w:r>
                    <w:rPr>
                      <w:color w:val="auto"/>
                      <w:kern w:val="0"/>
                      <w:szCs w:val="21"/>
                      <w:highlight w:val="none"/>
                    </w:rPr>
                    <w:t>0.1</w:t>
                  </w:r>
                </w:p>
              </w:tc>
              <w:tc>
                <w:tcPr>
                  <w:tcW w:w="1771" w:type="pct"/>
                  <w:vMerge w:val="continue"/>
                  <w:tcBorders>
                    <w:tl2br w:val="nil"/>
                    <w:tr2bl w:val="nil"/>
                  </w:tcBorders>
                  <w:vAlign w:val="center"/>
                </w:tcPr>
                <w:p w14:paraId="2D604FBF">
                  <w:pPr>
                    <w:adjustRightInd w:val="0"/>
                    <w:snapToGrid w:val="0"/>
                    <w:jc w:val="center"/>
                    <w:rPr>
                      <w:color w:val="auto"/>
                      <w:kern w:val="0"/>
                      <w:szCs w:val="21"/>
                      <w:highlight w:val="none"/>
                    </w:rPr>
                  </w:pPr>
                </w:p>
              </w:tc>
            </w:tr>
            <w:tr w14:paraId="488BA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2" w:type="pct"/>
                  <w:tcBorders>
                    <w:tl2br w:val="nil"/>
                    <w:tr2bl w:val="nil"/>
                  </w:tcBorders>
                  <w:vAlign w:val="center"/>
                </w:tcPr>
                <w:p w14:paraId="46491229">
                  <w:pPr>
                    <w:adjustRightInd w:val="0"/>
                    <w:snapToGrid w:val="0"/>
                    <w:jc w:val="center"/>
                    <w:rPr>
                      <w:color w:val="auto"/>
                      <w:kern w:val="0"/>
                      <w:szCs w:val="21"/>
                      <w:highlight w:val="none"/>
                    </w:rPr>
                  </w:pPr>
                  <w:r>
                    <w:rPr>
                      <w:color w:val="auto"/>
                      <w:kern w:val="0"/>
                      <w:szCs w:val="21"/>
                      <w:highlight w:val="none"/>
                    </w:rPr>
                    <w:t>7</w:t>
                  </w:r>
                </w:p>
              </w:tc>
              <w:tc>
                <w:tcPr>
                  <w:tcW w:w="1815" w:type="pct"/>
                  <w:tcBorders>
                    <w:tl2br w:val="nil"/>
                    <w:tr2bl w:val="nil"/>
                  </w:tcBorders>
                  <w:vAlign w:val="center"/>
                </w:tcPr>
                <w:p w14:paraId="7CF6DCE3">
                  <w:pPr>
                    <w:adjustRightInd w:val="0"/>
                    <w:snapToGrid w:val="0"/>
                    <w:jc w:val="center"/>
                    <w:rPr>
                      <w:color w:val="auto"/>
                      <w:kern w:val="0"/>
                      <w:szCs w:val="21"/>
                      <w:highlight w:val="none"/>
                    </w:rPr>
                  </w:pPr>
                  <w:r>
                    <w:rPr>
                      <w:color w:val="auto"/>
                      <w:kern w:val="0"/>
                      <w:szCs w:val="21"/>
                      <w:highlight w:val="none"/>
                    </w:rPr>
                    <w:t>二噁英（ng-TEQ/</w:t>
                  </w:r>
                  <w:r>
                    <w:rPr>
                      <w:rFonts w:hint="eastAsia"/>
                      <w:color w:val="auto"/>
                      <w:kern w:val="0"/>
                      <w:szCs w:val="21"/>
                      <w:highlight w:val="none"/>
                      <w:vertAlign w:val="baseline"/>
                      <w:lang w:eastAsia="zh-CN"/>
                    </w:rPr>
                    <w:t>m</w:t>
                  </w:r>
                  <w:r>
                    <w:rPr>
                      <w:rFonts w:hint="eastAsia"/>
                      <w:color w:val="auto"/>
                      <w:kern w:val="0"/>
                      <w:szCs w:val="21"/>
                      <w:highlight w:val="none"/>
                      <w:vertAlign w:val="superscript"/>
                      <w:lang w:eastAsia="zh-CN"/>
                    </w:rPr>
                    <w:t>3</w:t>
                  </w:r>
                  <w:r>
                    <w:rPr>
                      <w:color w:val="auto"/>
                      <w:kern w:val="0"/>
                      <w:szCs w:val="21"/>
                      <w:highlight w:val="none"/>
                    </w:rPr>
                    <w:t>）</w:t>
                  </w:r>
                </w:p>
              </w:tc>
              <w:tc>
                <w:tcPr>
                  <w:tcW w:w="1000" w:type="pct"/>
                  <w:tcBorders>
                    <w:tl2br w:val="nil"/>
                    <w:tr2bl w:val="nil"/>
                  </w:tcBorders>
                  <w:vAlign w:val="center"/>
                </w:tcPr>
                <w:p w14:paraId="36711CDE">
                  <w:pPr>
                    <w:adjustRightInd w:val="0"/>
                    <w:snapToGrid w:val="0"/>
                    <w:jc w:val="center"/>
                    <w:rPr>
                      <w:color w:val="auto"/>
                      <w:kern w:val="0"/>
                      <w:szCs w:val="21"/>
                      <w:highlight w:val="none"/>
                    </w:rPr>
                  </w:pPr>
                  <w:r>
                    <w:rPr>
                      <w:color w:val="auto"/>
                      <w:kern w:val="0"/>
                      <w:szCs w:val="21"/>
                      <w:highlight w:val="none"/>
                    </w:rPr>
                    <w:t>0.5</w:t>
                  </w:r>
                </w:p>
              </w:tc>
              <w:tc>
                <w:tcPr>
                  <w:tcW w:w="1771" w:type="pct"/>
                  <w:vMerge w:val="continue"/>
                  <w:tcBorders>
                    <w:tl2br w:val="nil"/>
                    <w:tr2bl w:val="nil"/>
                  </w:tcBorders>
                  <w:vAlign w:val="center"/>
                </w:tcPr>
                <w:p w14:paraId="45BBBEFC">
                  <w:pPr>
                    <w:adjustRightInd w:val="0"/>
                    <w:snapToGrid w:val="0"/>
                    <w:jc w:val="center"/>
                    <w:rPr>
                      <w:color w:val="auto"/>
                      <w:kern w:val="0"/>
                      <w:szCs w:val="21"/>
                      <w:highlight w:val="none"/>
                    </w:rPr>
                  </w:pPr>
                </w:p>
              </w:tc>
            </w:tr>
            <w:tr w14:paraId="3F47D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2" w:type="pct"/>
                  <w:tcBorders>
                    <w:tl2br w:val="nil"/>
                    <w:tr2bl w:val="nil"/>
                  </w:tcBorders>
                  <w:vAlign w:val="center"/>
                </w:tcPr>
                <w:p w14:paraId="1603E707">
                  <w:pPr>
                    <w:adjustRightInd w:val="0"/>
                    <w:snapToGrid w:val="0"/>
                    <w:jc w:val="center"/>
                    <w:rPr>
                      <w:color w:val="auto"/>
                      <w:kern w:val="0"/>
                      <w:szCs w:val="21"/>
                      <w:highlight w:val="none"/>
                    </w:rPr>
                  </w:pPr>
                  <w:r>
                    <w:rPr>
                      <w:color w:val="auto"/>
                      <w:kern w:val="0"/>
                      <w:szCs w:val="21"/>
                      <w:highlight w:val="none"/>
                    </w:rPr>
                    <w:t>8</w:t>
                  </w:r>
                </w:p>
              </w:tc>
              <w:tc>
                <w:tcPr>
                  <w:tcW w:w="1815" w:type="pct"/>
                  <w:tcBorders>
                    <w:tl2br w:val="nil"/>
                    <w:tr2bl w:val="nil"/>
                  </w:tcBorders>
                  <w:vAlign w:val="center"/>
                </w:tcPr>
                <w:p w14:paraId="72D2EFA9">
                  <w:pPr>
                    <w:adjustRightInd w:val="0"/>
                    <w:snapToGrid w:val="0"/>
                    <w:jc w:val="center"/>
                    <w:rPr>
                      <w:color w:val="auto"/>
                      <w:kern w:val="0"/>
                      <w:szCs w:val="21"/>
                      <w:highlight w:val="none"/>
                    </w:rPr>
                  </w:pPr>
                  <w:r>
                    <w:rPr>
                      <w:color w:val="auto"/>
                      <w:kern w:val="0"/>
                      <w:szCs w:val="21"/>
                      <w:highlight w:val="none"/>
                    </w:rPr>
                    <w:t>烟气黑度（林格曼黑度，级）</w:t>
                  </w:r>
                </w:p>
              </w:tc>
              <w:tc>
                <w:tcPr>
                  <w:tcW w:w="1000" w:type="pct"/>
                  <w:tcBorders>
                    <w:tl2br w:val="nil"/>
                    <w:tr2bl w:val="nil"/>
                  </w:tcBorders>
                  <w:vAlign w:val="center"/>
                </w:tcPr>
                <w:p w14:paraId="3AC07698">
                  <w:pPr>
                    <w:adjustRightInd w:val="0"/>
                    <w:snapToGrid w:val="0"/>
                    <w:jc w:val="center"/>
                    <w:rPr>
                      <w:color w:val="auto"/>
                      <w:kern w:val="0"/>
                      <w:szCs w:val="21"/>
                      <w:highlight w:val="none"/>
                    </w:rPr>
                  </w:pPr>
                  <w:r>
                    <w:rPr>
                      <w:color w:val="auto"/>
                      <w:kern w:val="0"/>
                      <w:szCs w:val="21"/>
                      <w:highlight w:val="none"/>
                    </w:rPr>
                    <w:t>1</w:t>
                  </w:r>
                </w:p>
              </w:tc>
              <w:tc>
                <w:tcPr>
                  <w:tcW w:w="1771" w:type="pct"/>
                  <w:tcBorders>
                    <w:tl2br w:val="nil"/>
                    <w:tr2bl w:val="nil"/>
                  </w:tcBorders>
                  <w:vAlign w:val="center"/>
                </w:tcPr>
                <w:p w14:paraId="3A1650CC">
                  <w:pPr>
                    <w:adjustRightInd w:val="0"/>
                    <w:snapToGrid w:val="0"/>
                    <w:jc w:val="center"/>
                    <w:rPr>
                      <w:rFonts w:hint="eastAsia" w:eastAsia="宋体"/>
                      <w:color w:val="auto"/>
                      <w:kern w:val="0"/>
                      <w:szCs w:val="21"/>
                      <w:highlight w:val="none"/>
                      <w:lang w:eastAsia="zh-CN"/>
                    </w:rPr>
                  </w:pPr>
                  <w:r>
                    <w:rPr>
                      <w:color w:val="auto"/>
                      <w:kern w:val="0"/>
                      <w:szCs w:val="21"/>
                      <w:highlight w:val="none"/>
                    </w:rPr>
                    <w:t>烟囱排放口</w:t>
                  </w:r>
                </w:p>
              </w:tc>
            </w:tr>
          </w:tbl>
          <w:p w14:paraId="231FB547">
            <w:pPr>
              <w:adjustRightInd w:val="0"/>
              <w:snapToGrid w:val="0"/>
              <w:spacing w:line="360" w:lineRule="auto"/>
              <w:jc w:val="center"/>
              <w:rPr>
                <w:b/>
                <w:bCs/>
                <w:color w:val="auto"/>
                <w:kern w:val="0"/>
                <w:sz w:val="24"/>
                <w:highlight w:val="none"/>
              </w:rPr>
            </w:pPr>
            <w:r>
              <w:rPr>
                <w:b/>
                <w:bCs/>
                <w:color w:val="auto"/>
                <w:kern w:val="0"/>
                <w:sz w:val="24"/>
                <w:highlight w:val="none"/>
              </w:rPr>
              <w:t>表3-5 遗体火化恶臭污染物排放标准</w:t>
            </w:r>
          </w:p>
          <w:tbl>
            <w:tblPr>
              <w:tblStyle w:val="20"/>
              <w:tblW w:w="4998" w:type="pct"/>
              <w:tblInd w:w="12"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1709"/>
              <w:gridCol w:w="1050"/>
              <w:gridCol w:w="1641"/>
              <w:gridCol w:w="2406"/>
              <w:gridCol w:w="1492"/>
            </w:tblGrid>
            <w:tr w14:paraId="630EA40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029" w:type="pct"/>
                  <w:vMerge w:val="restart"/>
                  <w:tcBorders>
                    <w:tl2br w:val="nil"/>
                    <w:tr2bl w:val="nil"/>
                  </w:tcBorders>
                  <w:vAlign w:val="center"/>
                </w:tcPr>
                <w:p w14:paraId="74130A21">
                  <w:pPr>
                    <w:tabs>
                      <w:tab w:val="left" w:pos="605"/>
                    </w:tabs>
                    <w:jc w:val="center"/>
                    <w:rPr>
                      <w:b/>
                      <w:color w:val="auto"/>
                      <w:szCs w:val="21"/>
                      <w:highlight w:val="none"/>
                    </w:rPr>
                  </w:pPr>
                  <w:r>
                    <w:rPr>
                      <w:b/>
                      <w:color w:val="auto"/>
                      <w:szCs w:val="21"/>
                      <w:highlight w:val="none"/>
                    </w:rPr>
                    <w:t>污染物</w:t>
                  </w:r>
                </w:p>
              </w:tc>
              <w:tc>
                <w:tcPr>
                  <w:tcW w:w="1621" w:type="pct"/>
                  <w:gridSpan w:val="2"/>
                  <w:tcBorders>
                    <w:tl2br w:val="nil"/>
                    <w:tr2bl w:val="nil"/>
                  </w:tcBorders>
                  <w:vAlign w:val="center"/>
                </w:tcPr>
                <w:p w14:paraId="54A95C25">
                  <w:pPr>
                    <w:tabs>
                      <w:tab w:val="left" w:pos="605"/>
                    </w:tabs>
                    <w:jc w:val="center"/>
                    <w:rPr>
                      <w:b/>
                      <w:color w:val="auto"/>
                      <w:szCs w:val="21"/>
                      <w:highlight w:val="none"/>
                    </w:rPr>
                  </w:pPr>
                  <w:r>
                    <w:rPr>
                      <w:b/>
                      <w:color w:val="auto"/>
                      <w:szCs w:val="21"/>
                      <w:highlight w:val="none"/>
                    </w:rPr>
                    <w:t>最高允许排放速率</w:t>
                  </w:r>
                </w:p>
                <w:p w14:paraId="2A122B63">
                  <w:pPr>
                    <w:tabs>
                      <w:tab w:val="left" w:pos="605"/>
                    </w:tabs>
                    <w:jc w:val="center"/>
                    <w:rPr>
                      <w:b/>
                      <w:color w:val="auto"/>
                      <w:szCs w:val="21"/>
                      <w:highlight w:val="none"/>
                    </w:rPr>
                  </w:pPr>
                  <w:r>
                    <w:rPr>
                      <w:b/>
                      <w:color w:val="auto"/>
                      <w:szCs w:val="21"/>
                      <w:highlight w:val="none"/>
                    </w:rPr>
                    <w:t>（kg/h）</w:t>
                  </w:r>
                </w:p>
              </w:tc>
              <w:tc>
                <w:tcPr>
                  <w:tcW w:w="1449" w:type="pct"/>
                  <w:tcBorders>
                    <w:tl2br w:val="nil"/>
                    <w:tr2bl w:val="nil"/>
                  </w:tcBorders>
                  <w:vAlign w:val="center"/>
                </w:tcPr>
                <w:p w14:paraId="22834E7F">
                  <w:pPr>
                    <w:tabs>
                      <w:tab w:val="left" w:pos="605"/>
                    </w:tabs>
                    <w:jc w:val="center"/>
                    <w:rPr>
                      <w:b/>
                      <w:color w:val="auto"/>
                      <w:kern w:val="0"/>
                      <w:szCs w:val="21"/>
                      <w:highlight w:val="none"/>
                    </w:rPr>
                  </w:pPr>
                  <w:r>
                    <w:rPr>
                      <w:b/>
                      <w:color w:val="auto"/>
                      <w:szCs w:val="21"/>
                      <w:highlight w:val="none"/>
                    </w:rPr>
                    <w:t>无组织监控浓度限值（</w:t>
                  </w:r>
                  <w:r>
                    <w:rPr>
                      <w:rFonts w:hint="eastAsia"/>
                      <w:b/>
                      <w:color w:val="auto"/>
                      <w:szCs w:val="21"/>
                      <w:highlight w:val="none"/>
                      <w:lang w:eastAsia="zh-CN"/>
                    </w:rPr>
                    <w:t>m</w:t>
                  </w:r>
                  <w:r>
                    <w:rPr>
                      <w:b/>
                      <w:color w:val="auto"/>
                      <w:szCs w:val="21"/>
                      <w:highlight w:val="none"/>
                    </w:rPr>
                    <w:t>g/</w:t>
                  </w:r>
                  <w:r>
                    <w:rPr>
                      <w:rFonts w:hint="eastAsia"/>
                      <w:b/>
                      <w:color w:val="auto"/>
                      <w:szCs w:val="21"/>
                      <w:highlight w:val="none"/>
                      <w:vertAlign w:val="baseline"/>
                      <w:lang w:eastAsia="zh-CN"/>
                    </w:rPr>
                    <w:t>m</w:t>
                  </w:r>
                  <w:r>
                    <w:rPr>
                      <w:rFonts w:hint="eastAsia"/>
                      <w:b/>
                      <w:color w:val="auto"/>
                      <w:szCs w:val="21"/>
                      <w:highlight w:val="none"/>
                      <w:vertAlign w:val="superscript"/>
                      <w:lang w:eastAsia="zh-CN"/>
                    </w:rPr>
                    <w:t>3</w:t>
                  </w:r>
                  <w:r>
                    <w:rPr>
                      <w:b/>
                      <w:color w:val="auto"/>
                      <w:szCs w:val="21"/>
                      <w:highlight w:val="none"/>
                    </w:rPr>
                    <w:t>）</w:t>
                  </w:r>
                </w:p>
              </w:tc>
              <w:tc>
                <w:tcPr>
                  <w:tcW w:w="899" w:type="pct"/>
                  <w:vMerge w:val="restart"/>
                  <w:tcBorders>
                    <w:tl2br w:val="nil"/>
                    <w:tr2bl w:val="nil"/>
                  </w:tcBorders>
                  <w:vAlign w:val="center"/>
                </w:tcPr>
                <w:p w14:paraId="21855A02">
                  <w:pPr>
                    <w:tabs>
                      <w:tab w:val="left" w:pos="605"/>
                    </w:tabs>
                    <w:jc w:val="center"/>
                    <w:rPr>
                      <w:b/>
                      <w:color w:val="auto"/>
                      <w:kern w:val="0"/>
                      <w:szCs w:val="21"/>
                      <w:highlight w:val="none"/>
                    </w:rPr>
                  </w:pPr>
                  <w:r>
                    <w:rPr>
                      <w:b/>
                      <w:color w:val="auto"/>
                      <w:szCs w:val="21"/>
                      <w:highlight w:val="none"/>
                    </w:rPr>
                    <w:t>标准来源</w:t>
                  </w:r>
                </w:p>
              </w:tc>
            </w:tr>
            <w:tr w14:paraId="0B3D91F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029" w:type="pct"/>
                  <w:vMerge w:val="continue"/>
                  <w:tcBorders>
                    <w:tl2br w:val="nil"/>
                    <w:tr2bl w:val="nil"/>
                  </w:tcBorders>
                  <w:vAlign w:val="center"/>
                </w:tcPr>
                <w:p w14:paraId="061829F1">
                  <w:pPr>
                    <w:tabs>
                      <w:tab w:val="left" w:pos="605"/>
                    </w:tabs>
                    <w:jc w:val="center"/>
                    <w:rPr>
                      <w:b/>
                      <w:color w:val="auto"/>
                      <w:szCs w:val="21"/>
                      <w:highlight w:val="none"/>
                    </w:rPr>
                  </w:pPr>
                </w:p>
              </w:tc>
              <w:tc>
                <w:tcPr>
                  <w:tcW w:w="632" w:type="pct"/>
                  <w:tcBorders>
                    <w:tl2br w:val="nil"/>
                    <w:tr2bl w:val="nil"/>
                  </w:tcBorders>
                  <w:vAlign w:val="center"/>
                </w:tcPr>
                <w:p w14:paraId="068BD19A">
                  <w:pPr>
                    <w:tabs>
                      <w:tab w:val="left" w:pos="605"/>
                    </w:tabs>
                    <w:jc w:val="center"/>
                    <w:rPr>
                      <w:rFonts w:hint="eastAsia" w:eastAsia="宋体"/>
                      <w:b/>
                      <w:color w:val="auto"/>
                      <w:szCs w:val="21"/>
                      <w:highlight w:val="none"/>
                      <w:lang w:eastAsia="zh-CN"/>
                    </w:rPr>
                  </w:pPr>
                  <w:r>
                    <w:rPr>
                      <w:b/>
                      <w:color w:val="auto"/>
                      <w:szCs w:val="21"/>
                      <w:highlight w:val="none"/>
                    </w:rPr>
                    <w:t>排气筒高度</w:t>
                  </w:r>
                  <w:r>
                    <w:rPr>
                      <w:rFonts w:hint="eastAsia"/>
                      <w:b/>
                      <w:color w:val="auto"/>
                      <w:szCs w:val="21"/>
                      <w:highlight w:val="none"/>
                      <w:lang w:eastAsia="zh-CN"/>
                    </w:rPr>
                    <w:t>m</w:t>
                  </w:r>
                </w:p>
              </w:tc>
              <w:tc>
                <w:tcPr>
                  <w:tcW w:w="988" w:type="pct"/>
                  <w:tcBorders>
                    <w:tl2br w:val="nil"/>
                    <w:tr2bl w:val="nil"/>
                  </w:tcBorders>
                  <w:vAlign w:val="center"/>
                </w:tcPr>
                <w:p w14:paraId="10BF4B9D">
                  <w:pPr>
                    <w:tabs>
                      <w:tab w:val="left" w:pos="605"/>
                    </w:tabs>
                    <w:jc w:val="center"/>
                    <w:rPr>
                      <w:b/>
                      <w:color w:val="auto"/>
                      <w:szCs w:val="21"/>
                      <w:highlight w:val="none"/>
                    </w:rPr>
                  </w:pPr>
                  <w:r>
                    <w:rPr>
                      <w:b/>
                      <w:color w:val="auto"/>
                      <w:szCs w:val="21"/>
                      <w:highlight w:val="none"/>
                    </w:rPr>
                    <w:t>二级</w:t>
                  </w:r>
                </w:p>
              </w:tc>
              <w:tc>
                <w:tcPr>
                  <w:tcW w:w="1449" w:type="pct"/>
                  <w:tcBorders>
                    <w:tl2br w:val="nil"/>
                    <w:tr2bl w:val="nil"/>
                  </w:tcBorders>
                  <w:vAlign w:val="center"/>
                </w:tcPr>
                <w:p w14:paraId="3C173754">
                  <w:pPr>
                    <w:tabs>
                      <w:tab w:val="left" w:pos="605"/>
                    </w:tabs>
                    <w:jc w:val="center"/>
                    <w:rPr>
                      <w:b/>
                      <w:color w:val="auto"/>
                      <w:kern w:val="0"/>
                      <w:szCs w:val="21"/>
                      <w:highlight w:val="none"/>
                    </w:rPr>
                  </w:pPr>
                  <w:r>
                    <w:rPr>
                      <w:b/>
                      <w:color w:val="auto"/>
                      <w:szCs w:val="21"/>
                      <w:highlight w:val="none"/>
                    </w:rPr>
                    <w:t>厂界浓度（二级新改扩建）</w:t>
                  </w:r>
                </w:p>
              </w:tc>
              <w:tc>
                <w:tcPr>
                  <w:tcW w:w="899" w:type="pct"/>
                  <w:vMerge w:val="continue"/>
                  <w:tcBorders>
                    <w:tl2br w:val="nil"/>
                    <w:tr2bl w:val="nil"/>
                  </w:tcBorders>
                  <w:vAlign w:val="center"/>
                </w:tcPr>
                <w:p w14:paraId="655ACB45">
                  <w:pPr>
                    <w:tabs>
                      <w:tab w:val="left" w:pos="605"/>
                    </w:tabs>
                    <w:jc w:val="center"/>
                    <w:rPr>
                      <w:b/>
                      <w:color w:val="auto"/>
                      <w:kern w:val="0"/>
                      <w:szCs w:val="21"/>
                      <w:highlight w:val="none"/>
                    </w:rPr>
                  </w:pPr>
                </w:p>
              </w:tc>
            </w:tr>
            <w:tr w14:paraId="7D81612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029" w:type="pct"/>
                  <w:tcBorders>
                    <w:tl2br w:val="nil"/>
                    <w:tr2bl w:val="nil"/>
                  </w:tcBorders>
                  <w:vAlign w:val="center"/>
                </w:tcPr>
                <w:p w14:paraId="5CD26B10">
                  <w:pPr>
                    <w:tabs>
                      <w:tab w:val="left" w:pos="605"/>
                    </w:tabs>
                    <w:jc w:val="center"/>
                    <w:rPr>
                      <w:bCs/>
                      <w:color w:val="auto"/>
                      <w:szCs w:val="21"/>
                      <w:highlight w:val="none"/>
                    </w:rPr>
                  </w:pPr>
                  <w:r>
                    <w:rPr>
                      <w:bCs/>
                      <w:color w:val="auto"/>
                      <w:szCs w:val="21"/>
                      <w:highlight w:val="none"/>
                    </w:rPr>
                    <w:t>氨</w:t>
                  </w:r>
                </w:p>
              </w:tc>
              <w:tc>
                <w:tcPr>
                  <w:tcW w:w="632" w:type="pct"/>
                  <w:vMerge w:val="restart"/>
                  <w:tcBorders>
                    <w:tl2br w:val="nil"/>
                    <w:tr2bl w:val="nil"/>
                  </w:tcBorders>
                  <w:vAlign w:val="center"/>
                </w:tcPr>
                <w:p w14:paraId="3F0EE4AF">
                  <w:pPr>
                    <w:tabs>
                      <w:tab w:val="left" w:pos="605"/>
                    </w:tabs>
                    <w:jc w:val="center"/>
                    <w:rPr>
                      <w:bCs/>
                      <w:color w:val="auto"/>
                      <w:szCs w:val="21"/>
                      <w:highlight w:val="none"/>
                    </w:rPr>
                  </w:pPr>
                  <w:r>
                    <w:rPr>
                      <w:bCs/>
                      <w:color w:val="auto"/>
                      <w:szCs w:val="21"/>
                      <w:highlight w:val="none"/>
                    </w:rPr>
                    <w:t>15</w:t>
                  </w:r>
                </w:p>
              </w:tc>
              <w:tc>
                <w:tcPr>
                  <w:tcW w:w="988" w:type="pct"/>
                  <w:tcBorders>
                    <w:tl2br w:val="nil"/>
                    <w:tr2bl w:val="nil"/>
                  </w:tcBorders>
                  <w:vAlign w:val="center"/>
                </w:tcPr>
                <w:p w14:paraId="1B61FA33">
                  <w:pPr>
                    <w:tabs>
                      <w:tab w:val="left" w:pos="605"/>
                    </w:tabs>
                    <w:jc w:val="center"/>
                    <w:rPr>
                      <w:bCs/>
                      <w:color w:val="auto"/>
                      <w:szCs w:val="21"/>
                      <w:highlight w:val="none"/>
                    </w:rPr>
                  </w:pPr>
                  <w:r>
                    <w:rPr>
                      <w:bCs/>
                      <w:color w:val="auto"/>
                      <w:szCs w:val="21"/>
                      <w:highlight w:val="none"/>
                    </w:rPr>
                    <w:t>4.9</w:t>
                  </w:r>
                </w:p>
              </w:tc>
              <w:tc>
                <w:tcPr>
                  <w:tcW w:w="1449" w:type="pct"/>
                  <w:tcBorders>
                    <w:tl2br w:val="nil"/>
                    <w:tr2bl w:val="nil"/>
                  </w:tcBorders>
                  <w:vAlign w:val="center"/>
                </w:tcPr>
                <w:p w14:paraId="60D8520A">
                  <w:pPr>
                    <w:tabs>
                      <w:tab w:val="left" w:pos="605"/>
                    </w:tabs>
                    <w:jc w:val="center"/>
                    <w:rPr>
                      <w:bCs/>
                      <w:color w:val="auto"/>
                      <w:kern w:val="0"/>
                      <w:szCs w:val="21"/>
                      <w:highlight w:val="none"/>
                    </w:rPr>
                  </w:pPr>
                  <w:r>
                    <w:rPr>
                      <w:bCs/>
                      <w:color w:val="auto"/>
                      <w:kern w:val="0"/>
                      <w:szCs w:val="21"/>
                      <w:highlight w:val="none"/>
                    </w:rPr>
                    <w:t>1.5</w:t>
                  </w:r>
                </w:p>
              </w:tc>
              <w:tc>
                <w:tcPr>
                  <w:tcW w:w="899" w:type="pct"/>
                  <w:vMerge w:val="restart"/>
                  <w:tcBorders>
                    <w:tl2br w:val="nil"/>
                    <w:tr2bl w:val="nil"/>
                  </w:tcBorders>
                  <w:vAlign w:val="center"/>
                </w:tcPr>
                <w:p w14:paraId="14371D59">
                  <w:pPr>
                    <w:tabs>
                      <w:tab w:val="left" w:pos="605"/>
                    </w:tabs>
                    <w:jc w:val="center"/>
                    <w:rPr>
                      <w:bCs/>
                      <w:color w:val="auto"/>
                      <w:kern w:val="0"/>
                      <w:szCs w:val="21"/>
                      <w:highlight w:val="none"/>
                    </w:rPr>
                  </w:pPr>
                  <w:r>
                    <w:rPr>
                      <w:color w:val="auto"/>
                      <w:kern w:val="0"/>
                      <w:szCs w:val="21"/>
                      <w:highlight w:val="none"/>
                    </w:rPr>
                    <w:t>《恶臭污染物排放标准》（GB14554-93）</w:t>
                  </w:r>
                </w:p>
              </w:tc>
            </w:tr>
            <w:tr w14:paraId="5E0CA1F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454" w:hRule="atLeast"/>
              </w:trPr>
              <w:tc>
                <w:tcPr>
                  <w:tcW w:w="1029" w:type="pct"/>
                  <w:tcBorders>
                    <w:tl2br w:val="nil"/>
                    <w:tr2bl w:val="nil"/>
                  </w:tcBorders>
                  <w:vAlign w:val="center"/>
                </w:tcPr>
                <w:p w14:paraId="4142ED22">
                  <w:pPr>
                    <w:tabs>
                      <w:tab w:val="left" w:pos="605"/>
                    </w:tabs>
                    <w:jc w:val="center"/>
                    <w:rPr>
                      <w:bCs/>
                      <w:color w:val="auto"/>
                      <w:szCs w:val="21"/>
                      <w:highlight w:val="none"/>
                    </w:rPr>
                  </w:pPr>
                  <w:r>
                    <w:rPr>
                      <w:bCs/>
                      <w:color w:val="auto"/>
                      <w:szCs w:val="21"/>
                      <w:highlight w:val="none"/>
                    </w:rPr>
                    <w:t>硫化氢</w:t>
                  </w:r>
                </w:p>
              </w:tc>
              <w:tc>
                <w:tcPr>
                  <w:tcW w:w="632" w:type="pct"/>
                  <w:vMerge w:val="continue"/>
                  <w:tcBorders>
                    <w:tl2br w:val="nil"/>
                    <w:tr2bl w:val="nil"/>
                  </w:tcBorders>
                  <w:vAlign w:val="center"/>
                </w:tcPr>
                <w:p w14:paraId="15984F23">
                  <w:pPr>
                    <w:tabs>
                      <w:tab w:val="left" w:pos="605"/>
                    </w:tabs>
                    <w:jc w:val="center"/>
                    <w:rPr>
                      <w:bCs/>
                      <w:color w:val="auto"/>
                      <w:szCs w:val="21"/>
                      <w:highlight w:val="none"/>
                    </w:rPr>
                  </w:pPr>
                </w:p>
              </w:tc>
              <w:tc>
                <w:tcPr>
                  <w:tcW w:w="988" w:type="pct"/>
                  <w:tcBorders>
                    <w:tl2br w:val="nil"/>
                    <w:tr2bl w:val="nil"/>
                  </w:tcBorders>
                  <w:vAlign w:val="center"/>
                </w:tcPr>
                <w:p w14:paraId="2AAFA366">
                  <w:pPr>
                    <w:tabs>
                      <w:tab w:val="left" w:pos="605"/>
                    </w:tabs>
                    <w:jc w:val="center"/>
                    <w:rPr>
                      <w:bCs/>
                      <w:color w:val="auto"/>
                      <w:szCs w:val="21"/>
                      <w:highlight w:val="none"/>
                    </w:rPr>
                  </w:pPr>
                  <w:r>
                    <w:rPr>
                      <w:bCs/>
                      <w:color w:val="auto"/>
                      <w:szCs w:val="21"/>
                      <w:highlight w:val="none"/>
                    </w:rPr>
                    <w:t>0.33</w:t>
                  </w:r>
                </w:p>
              </w:tc>
              <w:tc>
                <w:tcPr>
                  <w:tcW w:w="1449" w:type="pct"/>
                  <w:tcBorders>
                    <w:tl2br w:val="nil"/>
                    <w:tr2bl w:val="nil"/>
                  </w:tcBorders>
                  <w:vAlign w:val="center"/>
                </w:tcPr>
                <w:p w14:paraId="41B60179">
                  <w:pPr>
                    <w:tabs>
                      <w:tab w:val="left" w:pos="605"/>
                    </w:tabs>
                    <w:jc w:val="center"/>
                    <w:rPr>
                      <w:bCs/>
                      <w:color w:val="auto"/>
                      <w:kern w:val="0"/>
                      <w:szCs w:val="21"/>
                      <w:highlight w:val="none"/>
                    </w:rPr>
                  </w:pPr>
                  <w:r>
                    <w:rPr>
                      <w:bCs/>
                      <w:color w:val="auto"/>
                      <w:kern w:val="0"/>
                      <w:szCs w:val="21"/>
                      <w:highlight w:val="none"/>
                    </w:rPr>
                    <w:t>0.06</w:t>
                  </w:r>
                </w:p>
              </w:tc>
              <w:tc>
                <w:tcPr>
                  <w:tcW w:w="899" w:type="pct"/>
                  <w:vMerge w:val="continue"/>
                  <w:tcBorders>
                    <w:tl2br w:val="nil"/>
                    <w:tr2bl w:val="nil"/>
                  </w:tcBorders>
                  <w:vAlign w:val="center"/>
                </w:tcPr>
                <w:p w14:paraId="130C9AB1">
                  <w:pPr>
                    <w:tabs>
                      <w:tab w:val="left" w:pos="605"/>
                    </w:tabs>
                    <w:jc w:val="center"/>
                    <w:rPr>
                      <w:bCs/>
                      <w:color w:val="auto"/>
                      <w:kern w:val="0"/>
                      <w:szCs w:val="21"/>
                      <w:highlight w:val="none"/>
                    </w:rPr>
                  </w:pPr>
                </w:p>
              </w:tc>
            </w:tr>
            <w:tr w14:paraId="514B86E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029" w:type="pct"/>
                  <w:tcBorders>
                    <w:tl2br w:val="nil"/>
                    <w:tr2bl w:val="nil"/>
                  </w:tcBorders>
                  <w:vAlign w:val="center"/>
                </w:tcPr>
                <w:p w14:paraId="11134A86">
                  <w:pPr>
                    <w:tabs>
                      <w:tab w:val="left" w:pos="605"/>
                    </w:tabs>
                    <w:jc w:val="center"/>
                    <w:rPr>
                      <w:bCs/>
                      <w:color w:val="auto"/>
                      <w:szCs w:val="21"/>
                      <w:highlight w:val="none"/>
                    </w:rPr>
                  </w:pPr>
                  <w:r>
                    <w:rPr>
                      <w:bCs/>
                      <w:color w:val="auto"/>
                      <w:szCs w:val="21"/>
                      <w:highlight w:val="none"/>
                    </w:rPr>
                    <w:t>臭气浓度</w:t>
                  </w:r>
                </w:p>
              </w:tc>
              <w:tc>
                <w:tcPr>
                  <w:tcW w:w="632" w:type="pct"/>
                  <w:vMerge w:val="continue"/>
                  <w:tcBorders>
                    <w:tl2br w:val="nil"/>
                    <w:tr2bl w:val="nil"/>
                  </w:tcBorders>
                  <w:vAlign w:val="center"/>
                </w:tcPr>
                <w:p w14:paraId="58870C5D">
                  <w:pPr>
                    <w:tabs>
                      <w:tab w:val="left" w:pos="605"/>
                    </w:tabs>
                    <w:jc w:val="center"/>
                    <w:rPr>
                      <w:bCs/>
                      <w:color w:val="auto"/>
                      <w:szCs w:val="21"/>
                      <w:highlight w:val="none"/>
                    </w:rPr>
                  </w:pPr>
                </w:p>
              </w:tc>
              <w:tc>
                <w:tcPr>
                  <w:tcW w:w="988" w:type="pct"/>
                  <w:tcBorders>
                    <w:tl2br w:val="nil"/>
                    <w:tr2bl w:val="nil"/>
                  </w:tcBorders>
                  <w:vAlign w:val="center"/>
                </w:tcPr>
                <w:p w14:paraId="6D3EF00E">
                  <w:pPr>
                    <w:tabs>
                      <w:tab w:val="left" w:pos="605"/>
                    </w:tabs>
                    <w:jc w:val="center"/>
                    <w:rPr>
                      <w:bCs/>
                      <w:color w:val="auto"/>
                      <w:szCs w:val="21"/>
                      <w:highlight w:val="none"/>
                    </w:rPr>
                  </w:pPr>
                  <w:r>
                    <w:rPr>
                      <w:bCs/>
                      <w:color w:val="auto"/>
                      <w:szCs w:val="21"/>
                      <w:highlight w:val="none"/>
                    </w:rPr>
                    <w:t>2000（无量纲）</w:t>
                  </w:r>
                </w:p>
              </w:tc>
              <w:tc>
                <w:tcPr>
                  <w:tcW w:w="1449" w:type="pct"/>
                  <w:tcBorders>
                    <w:tl2br w:val="nil"/>
                    <w:tr2bl w:val="nil"/>
                  </w:tcBorders>
                  <w:vAlign w:val="center"/>
                </w:tcPr>
                <w:p w14:paraId="1D6D0F41">
                  <w:pPr>
                    <w:tabs>
                      <w:tab w:val="left" w:pos="605"/>
                    </w:tabs>
                    <w:jc w:val="center"/>
                    <w:rPr>
                      <w:bCs/>
                      <w:color w:val="auto"/>
                      <w:kern w:val="0"/>
                      <w:szCs w:val="21"/>
                      <w:highlight w:val="none"/>
                    </w:rPr>
                  </w:pPr>
                  <w:r>
                    <w:rPr>
                      <w:bCs/>
                      <w:color w:val="auto"/>
                      <w:kern w:val="0"/>
                      <w:szCs w:val="21"/>
                      <w:highlight w:val="none"/>
                    </w:rPr>
                    <w:t>20（无量纲）</w:t>
                  </w:r>
                </w:p>
              </w:tc>
              <w:tc>
                <w:tcPr>
                  <w:tcW w:w="899" w:type="pct"/>
                  <w:vMerge w:val="continue"/>
                  <w:tcBorders>
                    <w:tl2br w:val="nil"/>
                    <w:tr2bl w:val="nil"/>
                  </w:tcBorders>
                  <w:vAlign w:val="center"/>
                </w:tcPr>
                <w:p w14:paraId="670BFD30">
                  <w:pPr>
                    <w:tabs>
                      <w:tab w:val="left" w:pos="605"/>
                    </w:tabs>
                    <w:jc w:val="center"/>
                    <w:rPr>
                      <w:bCs/>
                      <w:color w:val="auto"/>
                      <w:kern w:val="0"/>
                      <w:szCs w:val="21"/>
                      <w:highlight w:val="none"/>
                    </w:rPr>
                  </w:pPr>
                </w:p>
              </w:tc>
            </w:tr>
          </w:tbl>
          <w:p w14:paraId="796A2BE8">
            <w:pPr>
              <w:adjustRightInd w:val="0"/>
              <w:snapToGrid w:val="0"/>
              <w:spacing w:line="360" w:lineRule="auto"/>
              <w:ind w:firstLine="482" w:firstLineChars="200"/>
              <w:jc w:val="center"/>
              <w:rPr>
                <w:b/>
                <w:bCs/>
                <w:color w:val="auto"/>
                <w:kern w:val="0"/>
                <w:sz w:val="24"/>
                <w:highlight w:val="none"/>
              </w:rPr>
            </w:pPr>
            <w:r>
              <w:rPr>
                <w:b/>
                <w:bCs/>
                <w:color w:val="auto"/>
                <w:kern w:val="0"/>
                <w:sz w:val="24"/>
                <w:highlight w:val="none"/>
              </w:rPr>
              <w:t>表3-6 遗物</w:t>
            </w:r>
            <w:r>
              <w:rPr>
                <w:rFonts w:hint="eastAsia"/>
                <w:b/>
                <w:bCs/>
                <w:color w:val="auto"/>
                <w:kern w:val="0"/>
                <w:sz w:val="24"/>
                <w:highlight w:val="none"/>
                <w:lang w:eastAsia="zh-CN"/>
              </w:rPr>
              <w:t>和</w:t>
            </w:r>
            <w:r>
              <w:rPr>
                <w:b/>
                <w:bCs/>
                <w:color w:val="auto"/>
                <w:kern w:val="0"/>
                <w:sz w:val="24"/>
                <w:highlight w:val="none"/>
              </w:rPr>
              <w:t>祭品焚烧大气污染物排放限制</w:t>
            </w:r>
          </w:p>
          <w:p w14:paraId="3434EE0D">
            <w:pPr>
              <w:adjustRightInd w:val="0"/>
              <w:snapToGrid w:val="0"/>
              <w:spacing w:line="360" w:lineRule="auto"/>
              <w:ind w:firstLine="480" w:firstLineChars="200"/>
              <w:jc w:val="right"/>
              <w:rPr>
                <w:b/>
                <w:bCs/>
                <w:color w:val="auto"/>
                <w:kern w:val="0"/>
                <w:sz w:val="24"/>
                <w:highlight w:val="none"/>
              </w:rPr>
            </w:pPr>
            <w:r>
              <w:rPr>
                <w:color w:val="auto"/>
                <w:kern w:val="0"/>
                <w:sz w:val="24"/>
                <w:highlight w:val="none"/>
              </w:rPr>
              <w:t>单位：</w:t>
            </w:r>
            <w:r>
              <w:rPr>
                <w:rFonts w:hint="eastAsia"/>
                <w:color w:val="auto"/>
                <w:kern w:val="0"/>
                <w:sz w:val="24"/>
                <w:highlight w:val="none"/>
                <w:lang w:eastAsia="zh-CN"/>
              </w:rPr>
              <w:t>m</w:t>
            </w:r>
            <w:r>
              <w:rPr>
                <w:color w:val="auto"/>
                <w:kern w:val="0"/>
                <w:sz w:val="24"/>
                <w:highlight w:val="none"/>
              </w:rPr>
              <w:t>g/</w:t>
            </w:r>
            <w:r>
              <w:rPr>
                <w:rFonts w:hint="eastAsia"/>
                <w:color w:val="auto"/>
                <w:kern w:val="0"/>
                <w:sz w:val="24"/>
                <w:highlight w:val="none"/>
                <w:vertAlign w:val="baseline"/>
                <w:lang w:eastAsia="zh-CN"/>
              </w:rPr>
              <w:t>m</w:t>
            </w:r>
            <w:r>
              <w:rPr>
                <w:rFonts w:hint="eastAsia"/>
                <w:color w:val="auto"/>
                <w:kern w:val="0"/>
                <w:sz w:val="24"/>
                <w:highlight w:val="none"/>
                <w:vertAlign w:val="superscript"/>
                <w:lang w:eastAsia="zh-CN"/>
              </w:rPr>
              <w:t>3</w:t>
            </w:r>
            <w:r>
              <w:rPr>
                <w:color w:val="auto"/>
                <w:kern w:val="0"/>
                <w:sz w:val="24"/>
                <w:highlight w:val="none"/>
              </w:rPr>
              <w:t>（二噁英类、烟气黑度除外）</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3013"/>
              <w:gridCol w:w="1660"/>
              <w:gridCol w:w="2940"/>
            </w:tblGrid>
            <w:tr w14:paraId="026B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2" w:type="pct"/>
                  <w:tcBorders>
                    <w:tl2br w:val="nil"/>
                    <w:tr2bl w:val="nil"/>
                  </w:tcBorders>
                  <w:vAlign w:val="center"/>
                </w:tcPr>
                <w:p w14:paraId="7CF00092">
                  <w:pPr>
                    <w:adjustRightInd w:val="0"/>
                    <w:snapToGrid w:val="0"/>
                    <w:jc w:val="center"/>
                    <w:rPr>
                      <w:b/>
                      <w:bCs/>
                      <w:color w:val="auto"/>
                      <w:kern w:val="0"/>
                      <w:szCs w:val="21"/>
                      <w:highlight w:val="none"/>
                    </w:rPr>
                  </w:pPr>
                  <w:r>
                    <w:rPr>
                      <w:b/>
                      <w:bCs/>
                      <w:color w:val="auto"/>
                      <w:kern w:val="0"/>
                      <w:szCs w:val="21"/>
                      <w:highlight w:val="none"/>
                    </w:rPr>
                    <w:t>序号</w:t>
                  </w:r>
                </w:p>
              </w:tc>
              <w:tc>
                <w:tcPr>
                  <w:tcW w:w="1815" w:type="pct"/>
                  <w:tcBorders>
                    <w:tl2br w:val="nil"/>
                    <w:tr2bl w:val="nil"/>
                  </w:tcBorders>
                  <w:vAlign w:val="center"/>
                </w:tcPr>
                <w:p w14:paraId="1D45279F">
                  <w:pPr>
                    <w:adjustRightInd w:val="0"/>
                    <w:snapToGrid w:val="0"/>
                    <w:jc w:val="center"/>
                    <w:rPr>
                      <w:b/>
                      <w:bCs/>
                      <w:color w:val="auto"/>
                      <w:kern w:val="0"/>
                      <w:szCs w:val="21"/>
                      <w:highlight w:val="none"/>
                    </w:rPr>
                  </w:pPr>
                  <w:r>
                    <w:rPr>
                      <w:b/>
                      <w:bCs/>
                      <w:color w:val="auto"/>
                      <w:kern w:val="0"/>
                      <w:szCs w:val="21"/>
                      <w:highlight w:val="none"/>
                    </w:rPr>
                    <w:t>控制项目</w:t>
                  </w:r>
                </w:p>
              </w:tc>
              <w:tc>
                <w:tcPr>
                  <w:tcW w:w="1000" w:type="pct"/>
                  <w:tcBorders>
                    <w:tl2br w:val="nil"/>
                    <w:tr2bl w:val="nil"/>
                  </w:tcBorders>
                  <w:vAlign w:val="center"/>
                </w:tcPr>
                <w:p w14:paraId="4846A2D9">
                  <w:pPr>
                    <w:adjustRightInd w:val="0"/>
                    <w:snapToGrid w:val="0"/>
                    <w:jc w:val="center"/>
                    <w:rPr>
                      <w:b/>
                      <w:bCs/>
                      <w:color w:val="auto"/>
                      <w:kern w:val="0"/>
                      <w:szCs w:val="21"/>
                      <w:highlight w:val="none"/>
                    </w:rPr>
                  </w:pPr>
                  <w:r>
                    <w:rPr>
                      <w:b/>
                      <w:bCs/>
                      <w:color w:val="auto"/>
                      <w:kern w:val="0"/>
                      <w:szCs w:val="21"/>
                      <w:highlight w:val="none"/>
                    </w:rPr>
                    <w:t>排放限值</w:t>
                  </w:r>
                </w:p>
              </w:tc>
              <w:tc>
                <w:tcPr>
                  <w:tcW w:w="1771" w:type="pct"/>
                  <w:tcBorders>
                    <w:tl2br w:val="nil"/>
                    <w:tr2bl w:val="nil"/>
                  </w:tcBorders>
                  <w:vAlign w:val="center"/>
                </w:tcPr>
                <w:p w14:paraId="093D8240">
                  <w:pPr>
                    <w:adjustRightInd w:val="0"/>
                    <w:snapToGrid w:val="0"/>
                    <w:jc w:val="center"/>
                    <w:rPr>
                      <w:b/>
                      <w:bCs/>
                      <w:color w:val="auto"/>
                      <w:kern w:val="0"/>
                      <w:szCs w:val="21"/>
                      <w:highlight w:val="none"/>
                    </w:rPr>
                  </w:pPr>
                  <w:r>
                    <w:rPr>
                      <w:b/>
                      <w:bCs/>
                      <w:color w:val="auto"/>
                      <w:kern w:val="0"/>
                      <w:szCs w:val="21"/>
                      <w:highlight w:val="none"/>
                    </w:rPr>
                    <w:t>污染物排放监控位置</w:t>
                  </w:r>
                </w:p>
              </w:tc>
            </w:tr>
            <w:tr w14:paraId="6C538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2" w:type="pct"/>
                  <w:tcBorders>
                    <w:tl2br w:val="nil"/>
                    <w:tr2bl w:val="nil"/>
                  </w:tcBorders>
                  <w:vAlign w:val="center"/>
                </w:tcPr>
                <w:p w14:paraId="601745BC">
                  <w:pPr>
                    <w:adjustRightInd w:val="0"/>
                    <w:snapToGrid w:val="0"/>
                    <w:jc w:val="center"/>
                    <w:rPr>
                      <w:color w:val="auto"/>
                      <w:kern w:val="0"/>
                      <w:szCs w:val="21"/>
                      <w:highlight w:val="none"/>
                    </w:rPr>
                  </w:pPr>
                  <w:r>
                    <w:rPr>
                      <w:color w:val="auto"/>
                      <w:kern w:val="0"/>
                      <w:szCs w:val="21"/>
                      <w:highlight w:val="none"/>
                    </w:rPr>
                    <w:t>1</w:t>
                  </w:r>
                </w:p>
              </w:tc>
              <w:tc>
                <w:tcPr>
                  <w:tcW w:w="1815" w:type="pct"/>
                  <w:tcBorders>
                    <w:tl2br w:val="nil"/>
                    <w:tr2bl w:val="nil"/>
                  </w:tcBorders>
                  <w:vAlign w:val="center"/>
                </w:tcPr>
                <w:p w14:paraId="626A0BA9">
                  <w:pPr>
                    <w:adjustRightInd w:val="0"/>
                    <w:snapToGrid w:val="0"/>
                    <w:jc w:val="center"/>
                    <w:rPr>
                      <w:color w:val="auto"/>
                      <w:kern w:val="0"/>
                      <w:szCs w:val="21"/>
                      <w:highlight w:val="none"/>
                    </w:rPr>
                  </w:pPr>
                  <w:r>
                    <w:rPr>
                      <w:color w:val="auto"/>
                      <w:kern w:val="0"/>
                      <w:szCs w:val="21"/>
                      <w:highlight w:val="none"/>
                    </w:rPr>
                    <w:t>烟尘</w:t>
                  </w:r>
                </w:p>
              </w:tc>
              <w:tc>
                <w:tcPr>
                  <w:tcW w:w="1000" w:type="pct"/>
                  <w:tcBorders>
                    <w:tl2br w:val="nil"/>
                    <w:tr2bl w:val="nil"/>
                  </w:tcBorders>
                  <w:vAlign w:val="center"/>
                </w:tcPr>
                <w:p w14:paraId="72FA40D8">
                  <w:pPr>
                    <w:adjustRightInd w:val="0"/>
                    <w:snapToGrid w:val="0"/>
                    <w:jc w:val="center"/>
                    <w:rPr>
                      <w:color w:val="auto"/>
                      <w:kern w:val="0"/>
                      <w:szCs w:val="21"/>
                      <w:highlight w:val="none"/>
                    </w:rPr>
                  </w:pPr>
                  <w:r>
                    <w:rPr>
                      <w:color w:val="auto"/>
                      <w:kern w:val="0"/>
                      <w:szCs w:val="21"/>
                      <w:highlight w:val="none"/>
                    </w:rPr>
                    <w:t>80</w:t>
                  </w:r>
                </w:p>
              </w:tc>
              <w:tc>
                <w:tcPr>
                  <w:tcW w:w="1771" w:type="pct"/>
                  <w:vMerge w:val="restart"/>
                  <w:tcBorders>
                    <w:tl2br w:val="nil"/>
                    <w:tr2bl w:val="nil"/>
                  </w:tcBorders>
                  <w:vAlign w:val="center"/>
                </w:tcPr>
                <w:p w14:paraId="2BFC04F8">
                  <w:pPr>
                    <w:adjustRightInd w:val="0"/>
                    <w:snapToGrid w:val="0"/>
                    <w:jc w:val="center"/>
                    <w:rPr>
                      <w:color w:val="auto"/>
                      <w:kern w:val="0"/>
                      <w:szCs w:val="21"/>
                      <w:highlight w:val="none"/>
                    </w:rPr>
                  </w:pPr>
                  <w:r>
                    <w:rPr>
                      <w:color w:val="auto"/>
                      <w:kern w:val="0"/>
                      <w:szCs w:val="21"/>
                      <w:highlight w:val="none"/>
                    </w:rPr>
                    <w:t>烟囱</w:t>
                  </w:r>
                </w:p>
              </w:tc>
            </w:tr>
            <w:tr w14:paraId="66EF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2" w:type="pct"/>
                  <w:tcBorders>
                    <w:tl2br w:val="nil"/>
                    <w:tr2bl w:val="nil"/>
                  </w:tcBorders>
                  <w:vAlign w:val="center"/>
                </w:tcPr>
                <w:p w14:paraId="6A711DFA">
                  <w:pPr>
                    <w:adjustRightInd w:val="0"/>
                    <w:snapToGrid w:val="0"/>
                    <w:jc w:val="center"/>
                    <w:rPr>
                      <w:color w:val="auto"/>
                      <w:kern w:val="0"/>
                      <w:szCs w:val="21"/>
                      <w:highlight w:val="none"/>
                    </w:rPr>
                  </w:pPr>
                  <w:r>
                    <w:rPr>
                      <w:color w:val="auto"/>
                      <w:kern w:val="0"/>
                      <w:szCs w:val="21"/>
                      <w:highlight w:val="none"/>
                    </w:rPr>
                    <w:t>2</w:t>
                  </w:r>
                </w:p>
              </w:tc>
              <w:tc>
                <w:tcPr>
                  <w:tcW w:w="1815" w:type="pct"/>
                  <w:tcBorders>
                    <w:tl2br w:val="nil"/>
                    <w:tr2bl w:val="nil"/>
                  </w:tcBorders>
                  <w:vAlign w:val="center"/>
                </w:tcPr>
                <w:p w14:paraId="13F165E6">
                  <w:pPr>
                    <w:adjustRightInd w:val="0"/>
                    <w:snapToGrid w:val="0"/>
                    <w:jc w:val="center"/>
                    <w:rPr>
                      <w:color w:val="auto"/>
                      <w:kern w:val="0"/>
                      <w:szCs w:val="21"/>
                      <w:highlight w:val="none"/>
                    </w:rPr>
                  </w:pPr>
                  <w:r>
                    <w:rPr>
                      <w:color w:val="auto"/>
                      <w:kern w:val="0"/>
                      <w:szCs w:val="21"/>
                      <w:highlight w:val="none"/>
                    </w:rPr>
                    <w:t>二氧化硫</w:t>
                  </w:r>
                </w:p>
              </w:tc>
              <w:tc>
                <w:tcPr>
                  <w:tcW w:w="1000" w:type="pct"/>
                  <w:tcBorders>
                    <w:tl2br w:val="nil"/>
                    <w:tr2bl w:val="nil"/>
                  </w:tcBorders>
                  <w:vAlign w:val="center"/>
                </w:tcPr>
                <w:p w14:paraId="403D4BEC">
                  <w:pPr>
                    <w:adjustRightInd w:val="0"/>
                    <w:snapToGrid w:val="0"/>
                    <w:jc w:val="center"/>
                    <w:rPr>
                      <w:color w:val="auto"/>
                      <w:kern w:val="0"/>
                      <w:szCs w:val="21"/>
                      <w:highlight w:val="none"/>
                    </w:rPr>
                  </w:pPr>
                  <w:r>
                    <w:rPr>
                      <w:color w:val="auto"/>
                      <w:kern w:val="0"/>
                      <w:szCs w:val="21"/>
                      <w:highlight w:val="none"/>
                    </w:rPr>
                    <w:t>100</w:t>
                  </w:r>
                </w:p>
              </w:tc>
              <w:tc>
                <w:tcPr>
                  <w:tcW w:w="1771" w:type="pct"/>
                  <w:vMerge w:val="continue"/>
                  <w:tcBorders>
                    <w:tl2br w:val="nil"/>
                    <w:tr2bl w:val="nil"/>
                  </w:tcBorders>
                  <w:vAlign w:val="center"/>
                </w:tcPr>
                <w:p w14:paraId="668A13D6">
                  <w:pPr>
                    <w:adjustRightInd w:val="0"/>
                    <w:snapToGrid w:val="0"/>
                    <w:jc w:val="center"/>
                    <w:rPr>
                      <w:color w:val="auto"/>
                      <w:kern w:val="0"/>
                      <w:szCs w:val="21"/>
                      <w:highlight w:val="none"/>
                    </w:rPr>
                  </w:pPr>
                </w:p>
              </w:tc>
            </w:tr>
            <w:tr w14:paraId="3E8B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2" w:type="pct"/>
                  <w:tcBorders>
                    <w:tl2br w:val="nil"/>
                    <w:tr2bl w:val="nil"/>
                  </w:tcBorders>
                  <w:vAlign w:val="center"/>
                </w:tcPr>
                <w:p w14:paraId="0714C704">
                  <w:pPr>
                    <w:adjustRightInd w:val="0"/>
                    <w:snapToGrid w:val="0"/>
                    <w:jc w:val="center"/>
                    <w:rPr>
                      <w:color w:val="auto"/>
                      <w:kern w:val="0"/>
                      <w:szCs w:val="21"/>
                      <w:highlight w:val="none"/>
                    </w:rPr>
                  </w:pPr>
                  <w:r>
                    <w:rPr>
                      <w:color w:val="auto"/>
                      <w:kern w:val="0"/>
                      <w:szCs w:val="21"/>
                      <w:highlight w:val="none"/>
                    </w:rPr>
                    <w:t>3</w:t>
                  </w:r>
                </w:p>
              </w:tc>
              <w:tc>
                <w:tcPr>
                  <w:tcW w:w="1815" w:type="pct"/>
                  <w:tcBorders>
                    <w:tl2br w:val="nil"/>
                    <w:tr2bl w:val="nil"/>
                  </w:tcBorders>
                  <w:vAlign w:val="center"/>
                </w:tcPr>
                <w:p w14:paraId="76EDBBE8">
                  <w:pPr>
                    <w:adjustRightInd w:val="0"/>
                    <w:snapToGrid w:val="0"/>
                    <w:jc w:val="center"/>
                    <w:rPr>
                      <w:color w:val="auto"/>
                      <w:kern w:val="0"/>
                      <w:szCs w:val="21"/>
                      <w:highlight w:val="none"/>
                    </w:rPr>
                  </w:pPr>
                  <w:r>
                    <w:rPr>
                      <w:color w:val="auto"/>
                      <w:kern w:val="0"/>
                      <w:szCs w:val="21"/>
                      <w:highlight w:val="none"/>
                    </w:rPr>
                    <w:t>氮氧化物（以NO</w:t>
                  </w:r>
                  <w:r>
                    <w:rPr>
                      <w:color w:val="auto"/>
                      <w:kern w:val="0"/>
                      <w:szCs w:val="21"/>
                      <w:highlight w:val="none"/>
                      <w:vertAlign w:val="subscript"/>
                    </w:rPr>
                    <w:t>2</w:t>
                  </w:r>
                  <w:r>
                    <w:rPr>
                      <w:color w:val="auto"/>
                      <w:kern w:val="0"/>
                      <w:szCs w:val="21"/>
                      <w:highlight w:val="none"/>
                    </w:rPr>
                    <w:t>计）</w:t>
                  </w:r>
                </w:p>
              </w:tc>
              <w:tc>
                <w:tcPr>
                  <w:tcW w:w="1000" w:type="pct"/>
                  <w:tcBorders>
                    <w:tl2br w:val="nil"/>
                    <w:tr2bl w:val="nil"/>
                  </w:tcBorders>
                  <w:vAlign w:val="center"/>
                </w:tcPr>
                <w:p w14:paraId="602DBE13">
                  <w:pPr>
                    <w:adjustRightInd w:val="0"/>
                    <w:snapToGrid w:val="0"/>
                    <w:jc w:val="center"/>
                    <w:rPr>
                      <w:color w:val="auto"/>
                      <w:kern w:val="0"/>
                      <w:szCs w:val="21"/>
                      <w:highlight w:val="none"/>
                    </w:rPr>
                  </w:pPr>
                  <w:r>
                    <w:rPr>
                      <w:color w:val="auto"/>
                      <w:kern w:val="0"/>
                      <w:szCs w:val="21"/>
                      <w:highlight w:val="none"/>
                    </w:rPr>
                    <w:t>300</w:t>
                  </w:r>
                </w:p>
              </w:tc>
              <w:tc>
                <w:tcPr>
                  <w:tcW w:w="1771" w:type="pct"/>
                  <w:vMerge w:val="continue"/>
                  <w:tcBorders>
                    <w:tl2br w:val="nil"/>
                    <w:tr2bl w:val="nil"/>
                  </w:tcBorders>
                  <w:vAlign w:val="center"/>
                </w:tcPr>
                <w:p w14:paraId="51D8A50D">
                  <w:pPr>
                    <w:adjustRightInd w:val="0"/>
                    <w:snapToGrid w:val="0"/>
                    <w:jc w:val="center"/>
                    <w:rPr>
                      <w:color w:val="auto"/>
                      <w:kern w:val="0"/>
                      <w:szCs w:val="21"/>
                      <w:highlight w:val="none"/>
                    </w:rPr>
                  </w:pPr>
                </w:p>
              </w:tc>
            </w:tr>
            <w:tr w14:paraId="2E52E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2" w:type="pct"/>
                  <w:tcBorders>
                    <w:tl2br w:val="nil"/>
                    <w:tr2bl w:val="nil"/>
                  </w:tcBorders>
                  <w:vAlign w:val="center"/>
                </w:tcPr>
                <w:p w14:paraId="3EDA9670">
                  <w:pPr>
                    <w:adjustRightInd w:val="0"/>
                    <w:snapToGrid w:val="0"/>
                    <w:jc w:val="center"/>
                    <w:rPr>
                      <w:color w:val="auto"/>
                      <w:kern w:val="0"/>
                      <w:szCs w:val="21"/>
                      <w:highlight w:val="none"/>
                    </w:rPr>
                  </w:pPr>
                  <w:r>
                    <w:rPr>
                      <w:color w:val="auto"/>
                      <w:kern w:val="0"/>
                      <w:szCs w:val="21"/>
                      <w:highlight w:val="none"/>
                    </w:rPr>
                    <w:t>4</w:t>
                  </w:r>
                </w:p>
              </w:tc>
              <w:tc>
                <w:tcPr>
                  <w:tcW w:w="1815" w:type="pct"/>
                  <w:tcBorders>
                    <w:tl2br w:val="nil"/>
                    <w:tr2bl w:val="nil"/>
                  </w:tcBorders>
                  <w:vAlign w:val="center"/>
                </w:tcPr>
                <w:p w14:paraId="10017878">
                  <w:pPr>
                    <w:adjustRightInd w:val="0"/>
                    <w:snapToGrid w:val="0"/>
                    <w:jc w:val="center"/>
                    <w:rPr>
                      <w:color w:val="auto"/>
                      <w:kern w:val="0"/>
                      <w:szCs w:val="21"/>
                      <w:highlight w:val="none"/>
                    </w:rPr>
                  </w:pPr>
                  <w:r>
                    <w:rPr>
                      <w:color w:val="auto"/>
                      <w:kern w:val="0"/>
                      <w:szCs w:val="21"/>
                      <w:highlight w:val="none"/>
                    </w:rPr>
                    <w:t>一氧化碳</w:t>
                  </w:r>
                </w:p>
              </w:tc>
              <w:tc>
                <w:tcPr>
                  <w:tcW w:w="1000" w:type="pct"/>
                  <w:tcBorders>
                    <w:tl2br w:val="nil"/>
                    <w:tr2bl w:val="nil"/>
                  </w:tcBorders>
                  <w:vAlign w:val="center"/>
                </w:tcPr>
                <w:p w14:paraId="2050C37A">
                  <w:pPr>
                    <w:adjustRightInd w:val="0"/>
                    <w:snapToGrid w:val="0"/>
                    <w:jc w:val="center"/>
                    <w:rPr>
                      <w:color w:val="auto"/>
                      <w:kern w:val="0"/>
                      <w:szCs w:val="21"/>
                      <w:highlight w:val="none"/>
                    </w:rPr>
                  </w:pPr>
                  <w:r>
                    <w:rPr>
                      <w:color w:val="auto"/>
                      <w:kern w:val="0"/>
                      <w:szCs w:val="21"/>
                      <w:highlight w:val="none"/>
                    </w:rPr>
                    <w:t>200</w:t>
                  </w:r>
                </w:p>
              </w:tc>
              <w:tc>
                <w:tcPr>
                  <w:tcW w:w="1771" w:type="pct"/>
                  <w:vMerge w:val="continue"/>
                  <w:tcBorders>
                    <w:tl2br w:val="nil"/>
                    <w:tr2bl w:val="nil"/>
                  </w:tcBorders>
                  <w:vAlign w:val="center"/>
                </w:tcPr>
                <w:p w14:paraId="2C86649F">
                  <w:pPr>
                    <w:adjustRightInd w:val="0"/>
                    <w:snapToGrid w:val="0"/>
                    <w:jc w:val="center"/>
                    <w:rPr>
                      <w:color w:val="auto"/>
                      <w:kern w:val="0"/>
                      <w:szCs w:val="21"/>
                      <w:highlight w:val="none"/>
                    </w:rPr>
                  </w:pPr>
                </w:p>
              </w:tc>
            </w:tr>
            <w:tr w14:paraId="1E0DC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2" w:type="pct"/>
                  <w:tcBorders>
                    <w:tl2br w:val="nil"/>
                    <w:tr2bl w:val="nil"/>
                  </w:tcBorders>
                  <w:vAlign w:val="center"/>
                </w:tcPr>
                <w:p w14:paraId="6B3B31D5">
                  <w:pPr>
                    <w:adjustRightInd w:val="0"/>
                    <w:snapToGrid w:val="0"/>
                    <w:jc w:val="center"/>
                    <w:rPr>
                      <w:color w:val="auto"/>
                      <w:kern w:val="0"/>
                      <w:szCs w:val="21"/>
                      <w:highlight w:val="none"/>
                    </w:rPr>
                  </w:pPr>
                  <w:r>
                    <w:rPr>
                      <w:color w:val="auto"/>
                      <w:kern w:val="0"/>
                      <w:szCs w:val="21"/>
                      <w:highlight w:val="none"/>
                    </w:rPr>
                    <w:t>5</w:t>
                  </w:r>
                </w:p>
              </w:tc>
              <w:tc>
                <w:tcPr>
                  <w:tcW w:w="1815" w:type="pct"/>
                  <w:tcBorders>
                    <w:tl2br w:val="nil"/>
                    <w:tr2bl w:val="nil"/>
                  </w:tcBorders>
                  <w:vAlign w:val="center"/>
                </w:tcPr>
                <w:p w14:paraId="237BD672">
                  <w:pPr>
                    <w:adjustRightInd w:val="0"/>
                    <w:snapToGrid w:val="0"/>
                    <w:jc w:val="center"/>
                    <w:rPr>
                      <w:color w:val="auto"/>
                      <w:kern w:val="0"/>
                      <w:szCs w:val="21"/>
                      <w:highlight w:val="none"/>
                    </w:rPr>
                  </w:pPr>
                  <w:r>
                    <w:rPr>
                      <w:color w:val="auto"/>
                      <w:kern w:val="0"/>
                      <w:szCs w:val="21"/>
                      <w:highlight w:val="none"/>
                    </w:rPr>
                    <w:t>氯化氢</w:t>
                  </w:r>
                </w:p>
              </w:tc>
              <w:tc>
                <w:tcPr>
                  <w:tcW w:w="1000" w:type="pct"/>
                  <w:tcBorders>
                    <w:tl2br w:val="nil"/>
                    <w:tr2bl w:val="nil"/>
                  </w:tcBorders>
                  <w:vAlign w:val="center"/>
                </w:tcPr>
                <w:p w14:paraId="5CBF9EC4">
                  <w:pPr>
                    <w:adjustRightInd w:val="0"/>
                    <w:snapToGrid w:val="0"/>
                    <w:jc w:val="center"/>
                    <w:rPr>
                      <w:color w:val="auto"/>
                      <w:kern w:val="0"/>
                      <w:szCs w:val="21"/>
                      <w:highlight w:val="none"/>
                    </w:rPr>
                  </w:pPr>
                  <w:r>
                    <w:rPr>
                      <w:color w:val="auto"/>
                      <w:kern w:val="0"/>
                      <w:szCs w:val="21"/>
                      <w:highlight w:val="none"/>
                    </w:rPr>
                    <w:t>50</w:t>
                  </w:r>
                </w:p>
              </w:tc>
              <w:tc>
                <w:tcPr>
                  <w:tcW w:w="1771" w:type="pct"/>
                  <w:vMerge w:val="continue"/>
                  <w:tcBorders>
                    <w:tl2br w:val="nil"/>
                    <w:tr2bl w:val="nil"/>
                  </w:tcBorders>
                  <w:vAlign w:val="center"/>
                </w:tcPr>
                <w:p w14:paraId="6A6BC4C8">
                  <w:pPr>
                    <w:adjustRightInd w:val="0"/>
                    <w:snapToGrid w:val="0"/>
                    <w:jc w:val="center"/>
                    <w:rPr>
                      <w:color w:val="auto"/>
                      <w:kern w:val="0"/>
                      <w:szCs w:val="21"/>
                      <w:highlight w:val="none"/>
                    </w:rPr>
                  </w:pPr>
                </w:p>
              </w:tc>
            </w:tr>
            <w:tr w14:paraId="041F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2" w:type="pct"/>
                  <w:tcBorders>
                    <w:tl2br w:val="nil"/>
                    <w:tr2bl w:val="nil"/>
                  </w:tcBorders>
                  <w:vAlign w:val="center"/>
                </w:tcPr>
                <w:p w14:paraId="1F271F33">
                  <w:pPr>
                    <w:adjustRightInd w:val="0"/>
                    <w:snapToGrid w:val="0"/>
                    <w:jc w:val="center"/>
                    <w:rPr>
                      <w:color w:val="auto"/>
                      <w:kern w:val="0"/>
                      <w:szCs w:val="21"/>
                      <w:highlight w:val="none"/>
                    </w:rPr>
                  </w:pPr>
                  <w:r>
                    <w:rPr>
                      <w:color w:val="auto"/>
                      <w:kern w:val="0"/>
                      <w:szCs w:val="21"/>
                      <w:highlight w:val="none"/>
                    </w:rPr>
                    <w:t>6</w:t>
                  </w:r>
                </w:p>
              </w:tc>
              <w:tc>
                <w:tcPr>
                  <w:tcW w:w="1815" w:type="pct"/>
                  <w:tcBorders>
                    <w:tl2br w:val="nil"/>
                    <w:tr2bl w:val="nil"/>
                  </w:tcBorders>
                  <w:vAlign w:val="center"/>
                </w:tcPr>
                <w:p w14:paraId="4DCA3188">
                  <w:pPr>
                    <w:adjustRightInd w:val="0"/>
                    <w:snapToGrid w:val="0"/>
                    <w:jc w:val="center"/>
                    <w:rPr>
                      <w:color w:val="auto"/>
                      <w:kern w:val="0"/>
                      <w:szCs w:val="21"/>
                      <w:highlight w:val="none"/>
                    </w:rPr>
                  </w:pPr>
                  <w:r>
                    <w:rPr>
                      <w:color w:val="auto"/>
                      <w:kern w:val="0"/>
                      <w:szCs w:val="21"/>
                      <w:highlight w:val="none"/>
                    </w:rPr>
                    <w:t>二噁英（ng-TEQ/</w:t>
                  </w:r>
                  <w:r>
                    <w:rPr>
                      <w:rFonts w:hint="eastAsia"/>
                      <w:color w:val="auto"/>
                      <w:kern w:val="0"/>
                      <w:szCs w:val="21"/>
                      <w:highlight w:val="none"/>
                      <w:vertAlign w:val="baseline"/>
                      <w:lang w:eastAsia="zh-CN"/>
                    </w:rPr>
                    <w:t>m</w:t>
                  </w:r>
                  <w:r>
                    <w:rPr>
                      <w:rFonts w:hint="eastAsia"/>
                      <w:color w:val="auto"/>
                      <w:kern w:val="0"/>
                      <w:szCs w:val="21"/>
                      <w:highlight w:val="none"/>
                      <w:vertAlign w:val="superscript"/>
                      <w:lang w:eastAsia="zh-CN"/>
                    </w:rPr>
                    <w:t>3</w:t>
                  </w:r>
                  <w:r>
                    <w:rPr>
                      <w:color w:val="auto"/>
                      <w:kern w:val="0"/>
                      <w:szCs w:val="21"/>
                      <w:highlight w:val="none"/>
                    </w:rPr>
                    <w:t>）</w:t>
                  </w:r>
                </w:p>
              </w:tc>
              <w:tc>
                <w:tcPr>
                  <w:tcW w:w="1000" w:type="pct"/>
                  <w:tcBorders>
                    <w:tl2br w:val="nil"/>
                    <w:tr2bl w:val="nil"/>
                  </w:tcBorders>
                  <w:vAlign w:val="center"/>
                </w:tcPr>
                <w:p w14:paraId="136F7A3E">
                  <w:pPr>
                    <w:adjustRightInd w:val="0"/>
                    <w:snapToGrid w:val="0"/>
                    <w:jc w:val="center"/>
                    <w:rPr>
                      <w:color w:val="auto"/>
                      <w:kern w:val="0"/>
                      <w:szCs w:val="21"/>
                      <w:highlight w:val="none"/>
                    </w:rPr>
                  </w:pPr>
                  <w:r>
                    <w:rPr>
                      <w:color w:val="auto"/>
                      <w:kern w:val="0"/>
                      <w:szCs w:val="21"/>
                      <w:highlight w:val="none"/>
                    </w:rPr>
                    <w:t>1.0</w:t>
                  </w:r>
                </w:p>
              </w:tc>
              <w:tc>
                <w:tcPr>
                  <w:tcW w:w="1771" w:type="pct"/>
                  <w:vMerge w:val="continue"/>
                  <w:tcBorders>
                    <w:tl2br w:val="nil"/>
                    <w:tr2bl w:val="nil"/>
                  </w:tcBorders>
                  <w:vAlign w:val="center"/>
                </w:tcPr>
                <w:p w14:paraId="28DD9A54">
                  <w:pPr>
                    <w:adjustRightInd w:val="0"/>
                    <w:snapToGrid w:val="0"/>
                    <w:jc w:val="center"/>
                    <w:rPr>
                      <w:color w:val="auto"/>
                      <w:kern w:val="0"/>
                      <w:szCs w:val="21"/>
                      <w:highlight w:val="none"/>
                    </w:rPr>
                  </w:pPr>
                </w:p>
              </w:tc>
            </w:tr>
            <w:tr w14:paraId="0F63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2" w:type="pct"/>
                  <w:tcBorders>
                    <w:tl2br w:val="nil"/>
                    <w:tr2bl w:val="nil"/>
                  </w:tcBorders>
                  <w:vAlign w:val="center"/>
                </w:tcPr>
                <w:p w14:paraId="465547FC">
                  <w:pPr>
                    <w:adjustRightInd w:val="0"/>
                    <w:snapToGrid w:val="0"/>
                    <w:jc w:val="center"/>
                    <w:rPr>
                      <w:color w:val="auto"/>
                      <w:kern w:val="0"/>
                      <w:szCs w:val="21"/>
                      <w:highlight w:val="none"/>
                    </w:rPr>
                  </w:pPr>
                  <w:r>
                    <w:rPr>
                      <w:color w:val="auto"/>
                      <w:kern w:val="0"/>
                      <w:szCs w:val="21"/>
                      <w:highlight w:val="none"/>
                    </w:rPr>
                    <w:t>7</w:t>
                  </w:r>
                </w:p>
              </w:tc>
              <w:tc>
                <w:tcPr>
                  <w:tcW w:w="1815" w:type="pct"/>
                  <w:tcBorders>
                    <w:tl2br w:val="nil"/>
                    <w:tr2bl w:val="nil"/>
                  </w:tcBorders>
                  <w:vAlign w:val="center"/>
                </w:tcPr>
                <w:p w14:paraId="68BD9CAC">
                  <w:pPr>
                    <w:adjustRightInd w:val="0"/>
                    <w:snapToGrid w:val="0"/>
                    <w:jc w:val="center"/>
                    <w:rPr>
                      <w:color w:val="auto"/>
                      <w:kern w:val="0"/>
                      <w:szCs w:val="21"/>
                      <w:highlight w:val="none"/>
                    </w:rPr>
                  </w:pPr>
                  <w:r>
                    <w:rPr>
                      <w:color w:val="auto"/>
                      <w:kern w:val="0"/>
                      <w:szCs w:val="21"/>
                      <w:highlight w:val="none"/>
                    </w:rPr>
                    <w:t>烟气黑度（林格曼黑度，级）</w:t>
                  </w:r>
                </w:p>
              </w:tc>
              <w:tc>
                <w:tcPr>
                  <w:tcW w:w="1000" w:type="pct"/>
                  <w:tcBorders>
                    <w:tl2br w:val="nil"/>
                    <w:tr2bl w:val="nil"/>
                  </w:tcBorders>
                  <w:vAlign w:val="center"/>
                </w:tcPr>
                <w:p w14:paraId="60787B8B">
                  <w:pPr>
                    <w:adjustRightInd w:val="0"/>
                    <w:snapToGrid w:val="0"/>
                    <w:jc w:val="center"/>
                    <w:rPr>
                      <w:color w:val="auto"/>
                      <w:kern w:val="0"/>
                      <w:szCs w:val="21"/>
                      <w:highlight w:val="none"/>
                    </w:rPr>
                  </w:pPr>
                  <w:r>
                    <w:rPr>
                      <w:color w:val="auto"/>
                      <w:kern w:val="0"/>
                      <w:szCs w:val="21"/>
                      <w:highlight w:val="none"/>
                    </w:rPr>
                    <w:t>1</w:t>
                  </w:r>
                </w:p>
              </w:tc>
              <w:tc>
                <w:tcPr>
                  <w:tcW w:w="1771" w:type="pct"/>
                  <w:tcBorders>
                    <w:tl2br w:val="nil"/>
                    <w:tr2bl w:val="nil"/>
                  </w:tcBorders>
                  <w:vAlign w:val="center"/>
                </w:tcPr>
                <w:p w14:paraId="38FA1A54">
                  <w:pPr>
                    <w:adjustRightInd w:val="0"/>
                    <w:snapToGrid w:val="0"/>
                    <w:jc w:val="center"/>
                    <w:rPr>
                      <w:color w:val="auto"/>
                      <w:kern w:val="0"/>
                      <w:szCs w:val="21"/>
                      <w:highlight w:val="none"/>
                    </w:rPr>
                  </w:pPr>
                  <w:r>
                    <w:rPr>
                      <w:color w:val="auto"/>
                      <w:kern w:val="0"/>
                      <w:szCs w:val="21"/>
                      <w:highlight w:val="none"/>
                    </w:rPr>
                    <w:t>烟囱排放口</w:t>
                  </w:r>
                </w:p>
              </w:tc>
            </w:tr>
          </w:tbl>
          <w:p w14:paraId="4EF08341">
            <w:pPr>
              <w:spacing w:before="240" w:line="360" w:lineRule="auto"/>
              <w:rPr>
                <w:b/>
                <w:color w:val="auto"/>
                <w:sz w:val="24"/>
                <w:highlight w:val="none"/>
              </w:rPr>
            </w:pPr>
            <w:r>
              <w:rPr>
                <w:b/>
                <w:color w:val="auto"/>
                <w:sz w:val="24"/>
                <w:highlight w:val="none"/>
              </w:rPr>
              <w:t>2.噪声排放标准</w:t>
            </w:r>
          </w:p>
          <w:p w14:paraId="672ABC19">
            <w:pPr>
              <w:spacing w:line="312" w:lineRule="auto"/>
              <w:ind w:firstLine="480" w:firstLineChars="200"/>
              <w:rPr>
                <w:color w:val="auto"/>
                <w:kern w:val="0"/>
                <w:sz w:val="24"/>
                <w:highlight w:val="none"/>
              </w:rPr>
            </w:pPr>
            <w:r>
              <w:rPr>
                <w:color w:val="auto"/>
                <w:kern w:val="0"/>
                <w:sz w:val="24"/>
                <w:highlight w:val="none"/>
              </w:rPr>
              <w:t>施工噪声执行《建筑施工场界环境噪声排放标准》（GB12523-2011）的标准限值；运营期厂界噪声执行《工业企业厂界环境噪声排放标准》（GB12348-2008）中1类标准限值，具体指标见表3-7。</w:t>
            </w:r>
          </w:p>
          <w:p w14:paraId="44BBC75B">
            <w:pPr>
              <w:pStyle w:val="29"/>
              <w:rPr>
                <w:color w:val="auto"/>
                <w:highlight w:val="none"/>
              </w:rPr>
            </w:pPr>
            <w:r>
              <w:rPr>
                <w:color w:val="auto"/>
                <w:highlight w:val="none"/>
              </w:rPr>
              <w:t>表3-7 噪声排放标准一览表</w:t>
            </w:r>
          </w:p>
          <w:tbl>
            <w:tblPr>
              <w:tblStyle w:val="20"/>
              <w:tblW w:w="822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89"/>
              <w:gridCol w:w="1526"/>
              <w:gridCol w:w="1506"/>
              <w:gridCol w:w="4001"/>
            </w:tblGrid>
            <w:tr w14:paraId="0F29DFA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23" w:type="pct"/>
                  <w:vMerge w:val="restart"/>
                  <w:vAlign w:val="center"/>
                </w:tcPr>
                <w:p w14:paraId="3D3C4074">
                  <w:pPr>
                    <w:widowControl/>
                    <w:adjustRightInd w:val="0"/>
                    <w:snapToGrid w:val="0"/>
                    <w:jc w:val="center"/>
                    <w:rPr>
                      <w:b/>
                      <w:bCs/>
                      <w:color w:val="auto"/>
                      <w:kern w:val="0"/>
                      <w:szCs w:val="21"/>
                      <w:highlight w:val="none"/>
                    </w:rPr>
                  </w:pPr>
                  <w:r>
                    <w:rPr>
                      <w:b/>
                      <w:bCs/>
                      <w:color w:val="auto"/>
                      <w:kern w:val="0"/>
                      <w:szCs w:val="21"/>
                      <w:highlight w:val="none"/>
                    </w:rPr>
                    <w:t>时期</w:t>
                  </w:r>
                </w:p>
              </w:tc>
              <w:tc>
                <w:tcPr>
                  <w:tcW w:w="1844" w:type="pct"/>
                  <w:gridSpan w:val="2"/>
                  <w:tcBorders>
                    <w:right w:val="single" w:color="000000" w:sz="8" w:space="0"/>
                  </w:tcBorders>
                  <w:vAlign w:val="center"/>
                </w:tcPr>
                <w:p w14:paraId="016C1413">
                  <w:pPr>
                    <w:adjustRightInd w:val="0"/>
                    <w:snapToGrid w:val="0"/>
                    <w:jc w:val="center"/>
                    <w:rPr>
                      <w:b/>
                      <w:bCs/>
                      <w:color w:val="auto"/>
                      <w:kern w:val="0"/>
                      <w:szCs w:val="21"/>
                      <w:highlight w:val="none"/>
                    </w:rPr>
                  </w:pPr>
                  <w:r>
                    <w:rPr>
                      <w:b/>
                      <w:bCs/>
                      <w:color w:val="auto"/>
                      <w:kern w:val="0"/>
                      <w:szCs w:val="21"/>
                      <w:highlight w:val="none"/>
                    </w:rPr>
                    <w:t>噪声限值Leq〔dB（A）〕</w:t>
                  </w:r>
                </w:p>
              </w:tc>
              <w:tc>
                <w:tcPr>
                  <w:tcW w:w="2433" w:type="pct"/>
                  <w:vMerge w:val="restart"/>
                  <w:tcBorders>
                    <w:left w:val="single" w:color="000000" w:sz="8" w:space="0"/>
                  </w:tcBorders>
                  <w:vAlign w:val="center"/>
                </w:tcPr>
                <w:p w14:paraId="06732175">
                  <w:pPr>
                    <w:adjustRightInd w:val="0"/>
                    <w:snapToGrid w:val="0"/>
                    <w:jc w:val="center"/>
                    <w:rPr>
                      <w:b/>
                      <w:bCs/>
                      <w:color w:val="auto"/>
                      <w:kern w:val="0"/>
                      <w:szCs w:val="21"/>
                      <w:highlight w:val="none"/>
                    </w:rPr>
                  </w:pPr>
                  <w:r>
                    <w:rPr>
                      <w:b/>
                      <w:bCs/>
                      <w:color w:val="auto"/>
                      <w:kern w:val="0"/>
                      <w:szCs w:val="21"/>
                      <w:highlight w:val="none"/>
                    </w:rPr>
                    <w:t>排放标准</w:t>
                  </w:r>
                </w:p>
              </w:tc>
            </w:tr>
            <w:tr w14:paraId="0DE096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23" w:type="pct"/>
                  <w:vMerge w:val="continue"/>
                  <w:vAlign w:val="center"/>
                </w:tcPr>
                <w:p w14:paraId="3B59DDA6">
                  <w:pPr>
                    <w:widowControl/>
                    <w:adjustRightInd w:val="0"/>
                    <w:snapToGrid w:val="0"/>
                    <w:jc w:val="center"/>
                    <w:rPr>
                      <w:b/>
                      <w:bCs/>
                      <w:color w:val="auto"/>
                      <w:kern w:val="0"/>
                      <w:szCs w:val="21"/>
                      <w:highlight w:val="none"/>
                    </w:rPr>
                  </w:pPr>
                </w:p>
              </w:tc>
              <w:tc>
                <w:tcPr>
                  <w:tcW w:w="928" w:type="pct"/>
                  <w:vAlign w:val="center"/>
                </w:tcPr>
                <w:p w14:paraId="6EDB7C70">
                  <w:pPr>
                    <w:adjustRightInd w:val="0"/>
                    <w:snapToGrid w:val="0"/>
                    <w:jc w:val="center"/>
                    <w:rPr>
                      <w:b/>
                      <w:bCs/>
                      <w:color w:val="auto"/>
                      <w:kern w:val="0"/>
                      <w:szCs w:val="21"/>
                      <w:highlight w:val="none"/>
                    </w:rPr>
                  </w:pPr>
                  <w:r>
                    <w:rPr>
                      <w:b/>
                      <w:bCs/>
                      <w:color w:val="auto"/>
                      <w:kern w:val="0"/>
                      <w:szCs w:val="21"/>
                      <w:highlight w:val="none"/>
                    </w:rPr>
                    <w:t>昼间</w:t>
                  </w:r>
                </w:p>
              </w:tc>
              <w:tc>
                <w:tcPr>
                  <w:tcW w:w="916" w:type="pct"/>
                  <w:tcBorders>
                    <w:right w:val="single" w:color="000000" w:sz="8" w:space="0"/>
                  </w:tcBorders>
                  <w:vAlign w:val="center"/>
                </w:tcPr>
                <w:p w14:paraId="270D90C8">
                  <w:pPr>
                    <w:widowControl/>
                    <w:adjustRightInd w:val="0"/>
                    <w:snapToGrid w:val="0"/>
                    <w:jc w:val="center"/>
                    <w:rPr>
                      <w:b/>
                      <w:bCs/>
                      <w:color w:val="auto"/>
                      <w:kern w:val="0"/>
                      <w:szCs w:val="21"/>
                      <w:highlight w:val="none"/>
                    </w:rPr>
                  </w:pPr>
                  <w:r>
                    <w:rPr>
                      <w:b/>
                      <w:bCs/>
                      <w:color w:val="auto"/>
                      <w:kern w:val="0"/>
                      <w:szCs w:val="21"/>
                      <w:highlight w:val="none"/>
                    </w:rPr>
                    <w:t>夜间</w:t>
                  </w:r>
                </w:p>
              </w:tc>
              <w:tc>
                <w:tcPr>
                  <w:tcW w:w="2433" w:type="pct"/>
                  <w:vMerge w:val="continue"/>
                  <w:tcBorders>
                    <w:left w:val="single" w:color="000000" w:sz="8" w:space="0"/>
                  </w:tcBorders>
                  <w:vAlign w:val="center"/>
                </w:tcPr>
                <w:p w14:paraId="28BC3FA2">
                  <w:pPr>
                    <w:adjustRightInd w:val="0"/>
                    <w:snapToGrid w:val="0"/>
                    <w:jc w:val="center"/>
                    <w:rPr>
                      <w:b/>
                      <w:bCs/>
                      <w:color w:val="auto"/>
                      <w:kern w:val="0"/>
                      <w:szCs w:val="21"/>
                      <w:highlight w:val="none"/>
                    </w:rPr>
                  </w:pPr>
                </w:p>
              </w:tc>
            </w:tr>
            <w:tr w14:paraId="753C6B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23" w:type="pct"/>
                  <w:vAlign w:val="center"/>
                </w:tcPr>
                <w:p w14:paraId="6185012C">
                  <w:pPr>
                    <w:widowControl/>
                    <w:adjustRightInd w:val="0"/>
                    <w:snapToGrid w:val="0"/>
                    <w:jc w:val="center"/>
                    <w:rPr>
                      <w:color w:val="auto"/>
                      <w:kern w:val="0"/>
                      <w:szCs w:val="21"/>
                      <w:highlight w:val="none"/>
                    </w:rPr>
                  </w:pPr>
                  <w:r>
                    <w:rPr>
                      <w:color w:val="auto"/>
                      <w:kern w:val="0"/>
                      <w:szCs w:val="21"/>
                      <w:highlight w:val="none"/>
                    </w:rPr>
                    <w:t>施工期</w:t>
                  </w:r>
                </w:p>
              </w:tc>
              <w:tc>
                <w:tcPr>
                  <w:tcW w:w="928" w:type="pct"/>
                  <w:vAlign w:val="center"/>
                </w:tcPr>
                <w:p w14:paraId="29B20008">
                  <w:pPr>
                    <w:adjustRightInd w:val="0"/>
                    <w:snapToGrid w:val="0"/>
                    <w:jc w:val="center"/>
                    <w:rPr>
                      <w:color w:val="auto"/>
                      <w:kern w:val="0"/>
                      <w:szCs w:val="21"/>
                      <w:highlight w:val="none"/>
                    </w:rPr>
                  </w:pPr>
                  <w:r>
                    <w:rPr>
                      <w:color w:val="auto"/>
                      <w:kern w:val="0"/>
                      <w:szCs w:val="21"/>
                      <w:highlight w:val="none"/>
                    </w:rPr>
                    <w:t>70</w:t>
                  </w:r>
                </w:p>
              </w:tc>
              <w:tc>
                <w:tcPr>
                  <w:tcW w:w="916" w:type="pct"/>
                  <w:tcBorders>
                    <w:right w:val="single" w:color="000000" w:sz="8" w:space="0"/>
                  </w:tcBorders>
                  <w:vAlign w:val="center"/>
                </w:tcPr>
                <w:p w14:paraId="7C37C429">
                  <w:pPr>
                    <w:widowControl/>
                    <w:adjustRightInd w:val="0"/>
                    <w:snapToGrid w:val="0"/>
                    <w:jc w:val="center"/>
                    <w:rPr>
                      <w:color w:val="auto"/>
                      <w:kern w:val="0"/>
                      <w:szCs w:val="21"/>
                      <w:highlight w:val="none"/>
                    </w:rPr>
                  </w:pPr>
                  <w:r>
                    <w:rPr>
                      <w:color w:val="auto"/>
                      <w:kern w:val="0"/>
                      <w:szCs w:val="21"/>
                      <w:highlight w:val="none"/>
                    </w:rPr>
                    <w:t>55</w:t>
                  </w:r>
                </w:p>
              </w:tc>
              <w:tc>
                <w:tcPr>
                  <w:tcW w:w="2433" w:type="pct"/>
                  <w:tcBorders>
                    <w:left w:val="single" w:color="000000" w:sz="8" w:space="0"/>
                  </w:tcBorders>
                  <w:vAlign w:val="center"/>
                </w:tcPr>
                <w:p w14:paraId="114DF12F">
                  <w:pPr>
                    <w:adjustRightInd w:val="0"/>
                    <w:snapToGrid w:val="0"/>
                    <w:jc w:val="center"/>
                    <w:rPr>
                      <w:color w:val="auto"/>
                      <w:kern w:val="0"/>
                      <w:szCs w:val="21"/>
                      <w:highlight w:val="none"/>
                    </w:rPr>
                  </w:pPr>
                  <w:r>
                    <w:rPr>
                      <w:color w:val="auto"/>
                      <w:kern w:val="0"/>
                      <w:szCs w:val="21"/>
                      <w:highlight w:val="none"/>
                    </w:rPr>
                    <w:t>《建筑施工场界环境噪声排放标准》（GB12523-2011）</w:t>
                  </w:r>
                </w:p>
              </w:tc>
            </w:tr>
            <w:tr w14:paraId="6724748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23" w:type="pct"/>
                  <w:vAlign w:val="center"/>
                </w:tcPr>
                <w:p w14:paraId="10376E5D">
                  <w:pPr>
                    <w:adjustRightInd w:val="0"/>
                    <w:snapToGrid w:val="0"/>
                    <w:jc w:val="center"/>
                    <w:rPr>
                      <w:color w:val="auto"/>
                      <w:kern w:val="0"/>
                      <w:szCs w:val="21"/>
                      <w:highlight w:val="none"/>
                    </w:rPr>
                  </w:pPr>
                  <w:r>
                    <w:rPr>
                      <w:color w:val="auto"/>
                      <w:kern w:val="0"/>
                      <w:szCs w:val="21"/>
                      <w:highlight w:val="none"/>
                    </w:rPr>
                    <w:t>运营期</w:t>
                  </w:r>
                </w:p>
              </w:tc>
              <w:tc>
                <w:tcPr>
                  <w:tcW w:w="928" w:type="pct"/>
                  <w:vAlign w:val="center"/>
                </w:tcPr>
                <w:p w14:paraId="70BDDC42">
                  <w:pPr>
                    <w:adjustRightInd w:val="0"/>
                    <w:snapToGrid w:val="0"/>
                    <w:jc w:val="center"/>
                    <w:rPr>
                      <w:color w:val="auto"/>
                      <w:kern w:val="0"/>
                      <w:szCs w:val="21"/>
                      <w:highlight w:val="none"/>
                    </w:rPr>
                  </w:pPr>
                  <w:r>
                    <w:rPr>
                      <w:color w:val="auto"/>
                      <w:kern w:val="0"/>
                      <w:szCs w:val="21"/>
                      <w:highlight w:val="none"/>
                    </w:rPr>
                    <w:t>55</w:t>
                  </w:r>
                </w:p>
              </w:tc>
              <w:tc>
                <w:tcPr>
                  <w:tcW w:w="916" w:type="pct"/>
                  <w:tcBorders>
                    <w:right w:val="single" w:color="000000" w:sz="8" w:space="0"/>
                  </w:tcBorders>
                  <w:vAlign w:val="center"/>
                </w:tcPr>
                <w:p w14:paraId="1C8FCB2E">
                  <w:pPr>
                    <w:adjustRightInd w:val="0"/>
                    <w:snapToGrid w:val="0"/>
                    <w:jc w:val="center"/>
                    <w:rPr>
                      <w:color w:val="auto"/>
                      <w:kern w:val="0"/>
                      <w:szCs w:val="21"/>
                      <w:highlight w:val="none"/>
                    </w:rPr>
                  </w:pPr>
                  <w:r>
                    <w:rPr>
                      <w:color w:val="auto"/>
                      <w:kern w:val="0"/>
                      <w:szCs w:val="21"/>
                      <w:highlight w:val="none"/>
                    </w:rPr>
                    <w:t>45</w:t>
                  </w:r>
                </w:p>
              </w:tc>
              <w:tc>
                <w:tcPr>
                  <w:tcW w:w="2433" w:type="pct"/>
                  <w:tcBorders>
                    <w:left w:val="single" w:color="000000" w:sz="8" w:space="0"/>
                  </w:tcBorders>
                  <w:vAlign w:val="center"/>
                </w:tcPr>
                <w:p w14:paraId="4A24EABA">
                  <w:pPr>
                    <w:adjustRightInd w:val="0"/>
                    <w:snapToGrid w:val="0"/>
                    <w:jc w:val="center"/>
                    <w:rPr>
                      <w:rFonts w:hint="eastAsia" w:eastAsia="宋体"/>
                      <w:color w:val="auto"/>
                      <w:kern w:val="0"/>
                      <w:szCs w:val="21"/>
                      <w:highlight w:val="none"/>
                      <w:lang w:eastAsia="zh-CN"/>
                    </w:rPr>
                  </w:pPr>
                  <w:r>
                    <w:rPr>
                      <w:color w:val="auto"/>
                      <w:kern w:val="0"/>
                      <w:szCs w:val="21"/>
                      <w:highlight w:val="none"/>
                    </w:rPr>
                    <w:t>《工业企业厂界环境噪声排放标准》（GB12348-2008）中1类标准限值</w:t>
                  </w:r>
                  <w:r>
                    <w:rPr>
                      <w:rFonts w:hint="eastAsia"/>
                      <w:color w:val="auto"/>
                      <w:kern w:val="0"/>
                      <w:szCs w:val="21"/>
                      <w:highlight w:val="none"/>
                      <w:lang w:eastAsia="zh-CN"/>
                    </w:rPr>
                    <w:t>。</w:t>
                  </w:r>
                </w:p>
              </w:tc>
            </w:tr>
          </w:tbl>
          <w:p w14:paraId="1F8AC000">
            <w:pPr>
              <w:spacing w:before="240" w:line="360" w:lineRule="auto"/>
              <w:rPr>
                <w:b/>
                <w:color w:val="auto"/>
                <w:sz w:val="24"/>
                <w:highlight w:val="none"/>
              </w:rPr>
            </w:pPr>
            <w:r>
              <w:rPr>
                <w:b/>
                <w:color w:val="auto"/>
                <w:sz w:val="24"/>
                <w:highlight w:val="none"/>
              </w:rPr>
              <w:t>3.固体废物标准</w:t>
            </w:r>
          </w:p>
          <w:p w14:paraId="4E8B536B">
            <w:pPr>
              <w:spacing w:line="360" w:lineRule="auto"/>
              <w:ind w:firstLine="480" w:firstLineChars="200"/>
              <w:rPr>
                <w:color w:val="auto"/>
                <w:sz w:val="24"/>
                <w:highlight w:val="none"/>
              </w:rPr>
            </w:pPr>
            <w:r>
              <w:rPr>
                <w:color w:val="auto"/>
                <w:sz w:val="24"/>
                <w:highlight w:val="none"/>
              </w:rPr>
              <w:t>一般固废执行《一般工业固体废物贮存和填埋污染控制标准》（GB18599-2020）标准；危险废物执行《危险废物贮存污染控制标准》（GB18597-2023）标准要求</w:t>
            </w:r>
            <w:r>
              <w:rPr>
                <w:bCs/>
                <w:color w:val="auto"/>
                <w:sz w:val="24"/>
                <w:highlight w:val="none"/>
              </w:rPr>
              <w:t>。</w:t>
            </w:r>
          </w:p>
          <w:p w14:paraId="20293A6C">
            <w:pPr>
              <w:spacing w:line="360" w:lineRule="auto"/>
              <w:rPr>
                <w:b/>
                <w:color w:val="auto"/>
                <w:szCs w:val="21"/>
                <w:highlight w:val="none"/>
              </w:rPr>
            </w:pPr>
          </w:p>
        </w:tc>
      </w:tr>
      <w:tr w14:paraId="6AA48A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534" w:type="dxa"/>
            <w:vAlign w:val="center"/>
          </w:tcPr>
          <w:p w14:paraId="4EB821AA">
            <w:pPr>
              <w:adjustRightInd w:val="0"/>
              <w:snapToGrid w:val="0"/>
              <w:jc w:val="center"/>
              <w:rPr>
                <w:b/>
                <w:bCs/>
                <w:color w:val="auto"/>
                <w:kern w:val="0"/>
                <w:sz w:val="24"/>
                <w:highlight w:val="none"/>
              </w:rPr>
            </w:pPr>
            <w:r>
              <w:rPr>
                <w:b/>
                <w:bCs/>
                <w:color w:val="auto"/>
                <w:kern w:val="0"/>
                <w:sz w:val="24"/>
                <w:highlight w:val="none"/>
              </w:rPr>
              <w:t>总量</w:t>
            </w:r>
          </w:p>
          <w:p w14:paraId="353775F9">
            <w:pPr>
              <w:adjustRightInd w:val="0"/>
              <w:snapToGrid w:val="0"/>
              <w:jc w:val="center"/>
              <w:rPr>
                <w:b/>
                <w:bCs/>
                <w:color w:val="auto"/>
                <w:kern w:val="0"/>
                <w:sz w:val="24"/>
                <w:highlight w:val="none"/>
              </w:rPr>
            </w:pPr>
            <w:r>
              <w:rPr>
                <w:b/>
                <w:bCs/>
                <w:color w:val="auto"/>
                <w:kern w:val="0"/>
                <w:sz w:val="24"/>
                <w:highlight w:val="none"/>
              </w:rPr>
              <w:t>控制</w:t>
            </w:r>
          </w:p>
          <w:p w14:paraId="4A5A443A">
            <w:pPr>
              <w:adjustRightInd w:val="0"/>
              <w:snapToGrid w:val="0"/>
              <w:jc w:val="center"/>
              <w:rPr>
                <w:b/>
                <w:bCs/>
                <w:color w:val="auto"/>
                <w:kern w:val="0"/>
                <w:sz w:val="24"/>
                <w:highlight w:val="none"/>
              </w:rPr>
            </w:pPr>
            <w:r>
              <w:rPr>
                <w:b/>
                <w:bCs/>
                <w:color w:val="auto"/>
                <w:kern w:val="0"/>
                <w:sz w:val="24"/>
                <w:highlight w:val="none"/>
              </w:rPr>
              <w:t>指标</w:t>
            </w:r>
          </w:p>
        </w:tc>
        <w:tc>
          <w:tcPr>
            <w:tcW w:w="8527" w:type="dxa"/>
            <w:vAlign w:val="center"/>
          </w:tcPr>
          <w:p w14:paraId="46785E59">
            <w:pPr>
              <w:adjustRightInd w:val="0"/>
              <w:snapToGrid w:val="0"/>
              <w:spacing w:line="360" w:lineRule="auto"/>
              <w:ind w:firstLine="480" w:firstLineChars="200"/>
              <w:rPr>
                <w:color w:val="auto"/>
                <w:kern w:val="0"/>
                <w:sz w:val="24"/>
                <w:highlight w:val="none"/>
              </w:rPr>
            </w:pPr>
            <w:r>
              <w:rPr>
                <w:color w:val="auto"/>
                <w:kern w:val="0"/>
                <w:sz w:val="24"/>
                <w:highlight w:val="none"/>
              </w:rPr>
              <w:t>本项目实施后污染物总量控制指标建议值为：</w:t>
            </w:r>
          </w:p>
          <w:p w14:paraId="657F3163">
            <w:pPr>
              <w:adjustRightInd w:val="0"/>
              <w:snapToGrid w:val="0"/>
              <w:spacing w:line="360" w:lineRule="auto"/>
              <w:ind w:firstLine="480" w:firstLineChars="200"/>
              <w:rPr>
                <w:color w:val="auto"/>
                <w:kern w:val="0"/>
                <w:sz w:val="24"/>
                <w:highlight w:val="none"/>
              </w:rPr>
            </w:pPr>
            <w:r>
              <w:rPr>
                <w:color w:val="auto"/>
                <w:kern w:val="0"/>
                <w:sz w:val="24"/>
                <w:highlight w:val="none"/>
              </w:rPr>
              <w:t>SO</w:t>
            </w:r>
            <w:r>
              <w:rPr>
                <w:color w:val="auto"/>
                <w:kern w:val="0"/>
                <w:sz w:val="24"/>
                <w:highlight w:val="none"/>
                <w:vertAlign w:val="subscript"/>
              </w:rPr>
              <w:t>2</w:t>
            </w:r>
            <w:r>
              <w:rPr>
                <w:color w:val="auto"/>
                <w:kern w:val="0"/>
                <w:sz w:val="24"/>
                <w:highlight w:val="none"/>
              </w:rPr>
              <w:t>：0.01</w:t>
            </w:r>
            <w:r>
              <w:rPr>
                <w:rFonts w:hint="eastAsia"/>
                <w:color w:val="auto"/>
                <w:kern w:val="0"/>
                <w:sz w:val="24"/>
                <w:highlight w:val="none"/>
              </w:rPr>
              <w:t>2</w:t>
            </w:r>
            <w:r>
              <w:rPr>
                <w:color w:val="auto"/>
                <w:kern w:val="0"/>
                <w:sz w:val="24"/>
                <w:highlight w:val="none"/>
              </w:rPr>
              <w:t>t/a、NOx：0.</w:t>
            </w:r>
            <w:r>
              <w:rPr>
                <w:rFonts w:hint="eastAsia"/>
                <w:color w:val="auto"/>
                <w:kern w:val="0"/>
                <w:sz w:val="24"/>
                <w:highlight w:val="none"/>
                <w:lang w:val="en-US" w:eastAsia="zh-CN"/>
              </w:rPr>
              <w:t>134t</w:t>
            </w:r>
            <w:r>
              <w:rPr>
                <w:color w:val="auto"/>
                <w:kern w:val="0"/>
                <w:sz w:val="24"/>
                <w:highlight w:val="none"/>
              </w:rPr>
              <w:t>/a、VOCs（二噁英）：0.</w:t>
            </w:r>
            <w:r>
              <w:rPr>
                <w:rFonts w:hint="eastAsia"/>
                <w:color w:val="auto"/>
                <w:kern w:val="0"/>
                <w:sz w:val="24"/>
                <w:highlight w:val="none"/>
              </w:rPr>
              <w:t>411</w:t>
            </w:r>
            <w:r>
              <w:rPr>
                <w:color w:val="auto"/>
                <w:kern w:val="0"/>
                <w:sz w:val="24"/>
                <w:highlight w:val="none"/>
              </w:rPr>
              <w:t>×10</w:t>
            </w:r>
            <w:r>
              <w:rPr>
                <w:color w:val="auto"/>
                <w:kern w:val="0"/>
                <w:sz w:val="24"/>
                <w:highlight w:val="none"/>
                <w:vertAlign w:val="superscript"/>
              </w:rPr>
              <w:t>-9</w:t>
            </w:r>
            <w:r>
              <w:rPr>
                <w:color w:val="auto"/>
                <w:kern w:val="0"/>
                <w:sz w:val="24"/>
                <w:highlight w:val="none"/>
              </w:rPr>
              <w:t>t/a。</w:t>
            </w:r>
          </w:p>
        </w:tc>
      </w:tr>
    </w:tbl>
    <w:p w14:paraId="6992C5AB">
      <w:pPr>
        <w:pStyle w:val="16"/>
        <w:jc w:val="center"/>
        <w:outlineLvl w:val="0"/>
        <w:rPr>
          <w:rFonts w:ascii="Times New Roman" w:hAnsi="Times New Roman" w:eastAsia="黑体"/>
          <w:snapToGrid w:val="0"/>
          <w:color w:val="auto"/>
          <w:sz w:val="30"/>
          <w:szCs w:val="30"/>
          <w:highlight w:val="none"/>
        </w:rPr>
      </w:pPr>
      <w:r>
        <w:rPr>
          <w:rFonts w:ascii="Times New Roman" w:hAnsi="Times New Roman" w:eastAsia="黑体"/>
          <w:snapToGrid w:val="0"/>
          <w:color w:val="auto"/>
          <w:sz w:val="36"/>
          <w:szCs w:val="36"/>
          <w:highlight w:val="none"/>
        </w:rPr>
        <w:br w:type="page"/>
      </w:r>
      <w:r>
        <w:rPr>
          <w:rFonts w:ascii="Times New Roman" w:hAnsi="Times New Roman" w:eastAsia="黑体"/>
          <w:snapToGrid w:val="0"/>
          <w:color w:val="auto"/>
          <w:sz w:val="30"/>
          <w:szCs w:val="30"/>
          <w:highlight w:val="none"/>
        </w:rPr>
        <w:t>四、主要环境影响和保护措施</w:t>
      </w:r>
    </w:p>
    <w:tbl>
      <w:tblPr>
        <w:tblStyle w:val="20"/>
        <w:tblW w:w="90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29"/>
        <w:gridCol w:w="8500"/>
      </w:tblGrid>
      <w:tr w14:paraId="7485C8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39" w:hRule="atLeast"/>
          <w:jc w:val="center"/>
        </w:trPr>
        <w:tc>
          <w:tcPr>
            <w:tcW w:w="529" w:type="dxa"/>
            <w:tcMar>
              <w:left w:w="28" w:type="dxa"/>
              <w:right w:w="28" w:type="dxa"/>
            </w:tcMar>
            <w:vAlign w:val="center"/>
          </w:tcPr>
          <w:p w14:paraId="77DAD3FF">
            <w:pPr>
              <w:pStyle w:val="16"/>
              <w:adjustRightInd w:val="0"/>
              <w:snapToGrid w:val="0"/>
              <w:spacing w:before="0" w:beforeAutospacing="0" w:after="0" w:afterAutospacing="0"/>
              <w:jc w:val="center"/>
              <w:rPr>
                <w:rFonts w:ascii="Times New Roman" w:hAnsi="Times New Roman"/>
                <w:b/>
                <w:bCs/>
                <w:color w:val="auto"/>
                <w:kern w:val="2"/>
                <w:szCs w:val="24"/>
                <w:highlight w:val="none"/>
              </w:rPr>
            </w:pPr>
            <w:r>
              <w:rPr>
                <w:rFonts w:ascii="Times New Roman" w:hAnsi="Times New Roman"/>
                <w:b/>
                <w:bCs/>
                <w:color w:val="auto"/>
                <w:kern w:val="2"/>
                <w:szCs w:val="24"/>
                <w:highlight w:val="none"/>
              </w:rPr>
              <w:t>施工</w:t>
            </w:r>
          </w:p>
          <w:p w14:paraId="072A4F20">
            <w:pPr>
              <w:pStyle w:val="16"/>
              <w:adjustRightInd w:val="0"/>
              <w:snapToGrid w:val="0"/>
              <w:spacing w:before="0" w:beforeAutospacing="0" w:after="0" w:afterAutospacing="0"/>
              <w:jc w:val="center"/>
              <w:rPr>
                <w:rFonts w:ascii="Times New Roman" w:hAnsi="Times New Roman"/>
                <w:b/>
                <w:bCs/>
                <w:color w:val="auto"/>
                <w:kern w:val="2"/>
                <w:szCs w:val="24"/>
                <w:highlight w:val="none"/>
              </w:rPr>
            </w:pPr>
            <w:r>
              <w:rPr>
                <w:rFonts w:ascii="Times New Roman" w:hAnsi="Times New Roman"/>
                <w:b/>
                <w:bCs/>
                <w:color w:val="auto"/>
                <w:kern w:val="2"/>
                <w:szCs w:val="24"/>
                <w:highlight w:val="none"/>
              </w:rPr>
              <w:t>期环</w:t>
            </w:r>
          </w:p>
          <w:p w14:paraId="7D9185AD">
            <w:pPr>
              <w:pStyle w:val="16"/>
              <w:adjustRightInd w:val="0"/>
              <w:snapToGrid w:val="0"/>
              <w:spacing w:before="0" w:beforeAutospacing="0" w:after="0" w:afterAutospacing="0"/>
              <w:jc w:val="center"/>
              <w:rPr>
                <w:rFonts w:ascii="Times New Roman" w:hAnsi="Times New Roman"/>
                <w:b/>
                <w:bCs/>
                <w:color w:val="auto"/>
                <w:kern w:val="2"/>
                <w:szCs w:val="24"/>
                <w:highlight w:val="none"/>
              </w:rPr>
            </w:pPr>
            <w:r>
              <w:rPr>
                <w:rFonts w:ascii="Times New Roman" w:hAnsi="Times New Roman"/>
                <w:b/>
                <w:bCs/>
                <w:color w:val="auto"/>
                <w:kern w:val="2"/>
                <w:szCs w:val="24"/>
                <w:highlight w:val="none"/>
              </w:rPr>
              <w:t>境保</w:t>
            </w:r>
          </w:p>
          <w:p w14:paraId="311710F4">
            <w:pPr>
              <w:pStyle w:val="16"/>
              <w:adjustRightInd w:val="0"/>
              <w:snapToGrid w:val="0"/>
              <w:spacing w:before="0" w:beforeAutospacing="0" w:after="0" w:afterAutospacing="0"/>
              <w:jc w:val="center"/>
              <w:rPr>
                <w:rFonts w:ascii="Times New Roman" w:hAnsi="Times New Roman"/>
                <w:b/>
                <w:bCs/>
                <w:color w:val="auto"/>
                <w:kern w:val="2"/>
                <w:szCs w:val="24"/>
                <w:highlight w:val="none"/>
              </w:rPr>
            </w:pPr>
            <w:r>
              <w:rPr>
                <w:rFonts w:ascii="Times New Roman" w:hAnsi="Times New Roman"/>
                <w:b/>
                <w:bCs/>
                <w:color w:val="auto"/>
                <w:kern w:val="2"/>
                <w:szCs w:val="24"/>
                <w:highlight w:val="none"/>
              </w:rPr>
              <w:t>护措</w:t>
            </w:r>
          </w:p>
          <w:p w14:paraId="76EB1D68">
            <w:pPr>
              <w:pStyle w:val="16"/>
              <w:adjustRightInd w:val="0"/>
              <w:snapToGrid w:val="0"/>
              <w:spacing w:before="0" w:beforeAutospacing="0" w:after="0" w:afterAutospacing="0"/>
              <w:jc w:val="center"/>
              <w:rPr>
                <w:rFonts w:ascii="Times New Roman" w:hAnsi="Times New Roman"/>
                <w:b/>
                <w:bCs/>
                <w:color w:val="auto"/>
                <w:kern w:val="2"/>
                <w:szCs w:val="24"/>
                <w:highlight w:val="none"/>
              </w:rPr>
            </w:pPr>
            <w:r>
              <w:rPr>
                <w:rFonts w:ascii="Times New Roman" w:hAnsi="Times New Roman"/>
                <w:b/>
                <w:bCs/>
                <w:color w:val="auto"/>
                <w:kern w:val="2"/>
                <w:szCs w:val="24"/>
                <w:highlight w:val="none"/>
              </w:rPr>
              <w:t>施</w:t>
            </w:r>
          </w:p>
        </w:tc>
        <w:tc>
          <w:tcPr>
            <w:tcW w:w="8500" w:type="dxa"/>
            <w:vAlign w:val="center"/>
          </w:tcPr>
          <w:p w14:paraId="49FE295E">
            <w:pPr>
              <w:adjustRightInd w:val="0"/>
              <w:snapToGrid w:val="0"/>
              <w:spacing w:line="360" w:lineRule="auto"/>
              <w:ind w:firstLine="482"/>
              <w:rPr>
                <w:color w:val="auto"/>
                <w:sz w:val="24"/>
                <w:highlight w:val="none"/>
              </w:rPr>
            </w:pPr>
            <w:r>
              <w:rPr>
                <w:color w:val="auto"/>
                <w:sz w:val="24"/>
                <w:highlight w:val="none"/>
              </w:rPr>
              <w:t>项目建设对环境的影响主要表现为施工扬尘、施工废水、施工噪声、土建固废等。</w:t>
            </w:r>
            <w:r>
              <w:rPr>
                <w:rFonts w:hint="eastAsia"/>
                <w:color w:val="auto"/>
                <w:sz w:val="24"/>
                <w:highlight w:val="none"/>
              </w:rPr>
              <w:t>对原有工程建设期主要环境影响和保护措施进行回顾：</w:t>
            </w:r>
            <w:r>
              <w:rPr>
                <w:bCs/>
                <w:color w:val="auto"/>
                <w:kern w:val="0"/>
                <w:sz w:val="24"/>
                <w:highlight w:val="none"/>
              </w:rPr>
              <w:t>施工期间避开了大风天气，采取了施工场地定时洒水，露天堆放物料苫盖，施工现场四周围挡等措施</w:t>
            </w:r>
            <w:r>
              <w:rPr>
                <w:rFonts w:hint="eastAsia"/>
                <w:bCs/>
                <w:color w:val="auto"/>
                <w:kern w:val="0"/>
                <w:sz w:val="24"/>
                <w:highlight w:val="none"/>
              </w:rPr>
              <w:t>，对周围大气环境的影响较小。施工场地设置了临时沉淀池，泥浆水等经沉淀处理后回用，不外排。施工人员生活污水产生量很少，经项目区化粪池收集，拉运至杭锦旗锡尼镇污水处理厂处理，生活污水得到妥善处理。施工期间采取了选用低噪声设备、合理布局施工场地、合理安排施工时间及其他相应降噪措施。建筑垃圾部分回用于项目建设，不能回用的已拉运至当地政府指定地点处置。施工人员产生的生活垃圾集中收集后已交当地环卫部门集中处理。综上，原有工程建设期对周围环境影响较小，</w:t>
            </w:r>
            <w:r>
              <w:rPr>
                <w:color w:val="auto"/>
                <w:sz w:val="24"/>
                <w:highlight w:val="none"/>
              </w:rPr>
              <w:t>且产生的影响随着施工的结束而消失</w:t>
            </w:r>
            <w:r>
              <w:rPr>
                <w:rFonts w:hint="eastAsia"/>
                <w:color w:val="auto"/>
                <w:sz w:val="24"/>
                <w:highlight w:val="none"/>
              </w:rPr>
              <w:t>。</w:t>
            </w:r>
          </w:p>
          <w:p w14:paraId="60C20FBB">
            <w:pPr>
              <w:adjustRightInd w:val="0"/>
              <w:snapToGrid w:val="0"/>
              <w:spacing w:line="360" w:lineRule="auto"/>
              <w:ind w:firstLine="482"/>
              <w:rPr>
                <w:b/>
                <w:bCs/>
                <w:color w:val="auto"/>
                <w:sz w:val="24"/>
                <w:highlight w:val="none"/>
              </w:rPr>
            </w:pPr>
            <w:r>
              <w:rPr>
                <w:bCs/>
                <w:color w:val="auto"/>
                <w:kern w:val="0"/>
                <w:sz w:val="24"/>
                <w:highlight w:val="none"/>
              </w:rPr>
              <w:t>本次新建骨灰堂，</w:t>
            </w:r>
            <w:r>
              <w:rPr>
                <w:rFonts w:hint="eastAsia"/>
                <w:color w:val="auto"/>
                <w:sz w:val="24"/>
                <w:highlight w:val="none"/>
              </w:rPr>
              <w:t>建设</w:t>
            </w:r>
            <w:r>
              <w:rPr>
                <w:rFonts w:hint="eastAsia"/>
                <w:color w:val="auto"/>
                <w:sz w:val="24"/>
                <w:highlight w:val="none"/>
                <w:lang w:eastAsia="zh-CN"/>
              </w:rPr>
              <w:t>期间</w:t>
            </w:r>
            <w:r>
              <w:rPr>
                <w:rFonts w:hint="eastAsia"/>
                <w:color w:val="auto"/>
                <w:sz w:val="24"/>
                <w:highlight w:val="none"/>
              </w:rPr>
              <w:t>主要环境影响和保护措施如下：</w:t>
            </w:r>
          </w:p>
          <w:p w14:paraId="07B6BC4B">
            <w:pPr>
              <w:adjustRightInd w:val="0"/>
              <w:snapToGrid w:val="0"/>
              <w:spacing w:line="360" w:lineRule="auto"/>
              <w:ind w:firstLine="482"/>
              <w:rPr>
                <w:b/>
                <w:bCs/>
                <w:color w:val="auto"/>
                <w:sz w:val="24"/>
                <w:highlight w:val="none"/>
              </w:rPr>
            </w:pPr>
            <w:r>
              <w:rPr>
                <w:b/>
                <w:bCs/>
                <w:color w:val="auto"/>
                <w:sz w:val="24"/>
                <w:highlight w:val="none"/>
              </w:rPr>
              <w:t>1.废气</w:t>
            </w:r>
          </w:p>
          <w:p w14:paraId="5F3C4853">
            <w:pPr>
              <w:widowControl/>
              <w:adjustRightInd w:val="0"/>
              <w:snapToGrid w:val="0"/>
              <w:spacing w:line="360" w:lineRule="auto"/>
              <w:ind w:firstLine="480" w:firstLineChars="200"/>
              <w:textAlignment w:val="baseline"/>
              <w:rPr>
                <w:bCs/>
                <w:color w:val="auto"/>
                <w:kern w:val="0"/>
                <w:sz w:val="24"/>
                <w:highlight w:val="none"/>
              </w:rPr>
            </w:pPr>
            <w:r>
              <w:rPr>
                <w:bCs/>
                <w:color w:val="auto"/>
                <w:kern w:val="0"/>
                <w:sz w:val="24"/>
                <w:highlight w:val="none"/>
              </w:rPr>
              <w:t>施工过程中产生的主要大气污染源是扬尘以及施工机械、运输车辆废气。</w:t>
            </w:r>
          </w:p>
          <w:p w14:paraId="0365914B">
            <w:pPr>
              <w:widowControl/>
              <w:adjustRightInd w:val="0"/>
              <w:snapToGrid w:val="0"/>
              <w:spacing w:line="360" w:lineRule="auto"/>
              <w:ind w:firstLine="480" w:firstLineChars="200"/>
              <w:textAlignment w:val="baseline"/>
              <w:rPr>
                <w:color w:val="auto"/>
                <w:kern w:val="0"/>
                <w:sz w:val="24"/>
                <w:highlight w:val="none"/>
              </w:rPr>
            </w:pPr>
            <w:r>
              <w:rPr>
                <w:color w:val="auto"/>
                <w:kern w:val="0"/>
                <w:sz w:val="24"/>
                <w:highlight w:val="none"/>
              </w:rPr>
              <w:t>（1）施工扬尘</w:t>
            </w:r>
          </w:p>
          <w:p w14:paraId="6288FB18">
            <w:pPr>
              <w:widowControl/>
              <w:adjustRightInd w:val="0"/>
              <w:snapToGrid w:val="0"/>
              <w:spacing w:line="360" w:lineRule="auto"/>
              <w:ind w:firstLine="480" w:firstLineChars="200"/>
              <w:textAlignment w:val="baseline"/>
              <w:rPr>
                <w:color w:val="auto"/>
                <w:kern w:val="0"/>
                <w:sz w:val="24"/>
                <w:highlight w:val="none"/>
              </w:rPr>
            </w:pPr>
            <w:r>
              <w:rPr>
                <w:color w:val="auto"/>
                <w:kern w:val="0"/>
                <w:sz w:val="24"/>
                <w:highlight w:val="none"/>
              </w:rPr>
              <w:t>施工扬尘主要产生在以下环节：①土石方开挖、回填以及现场堆放扬尘；②建筑材料（水泥、沙子、碎石等）的搬运以及堆放扬尘；③物料运输车辆造成的道路扬尘（包括运输车辆在施工区内道路行驶产生的扬尘和含泥土的运输车辆带到施工区外道路产生的扬尘）。</w:t>
            </w:r>
          </w:p>
          <w:p w14:paraId="29767785">
            <w:pPr>
              <w:widowControl/>
              <w:adjustRightInd w:val="0"/>
              <w:snapToGrid w:val="0"/>
              <w:spacing w:line="360" w:lineRule="auto"/>
              <w:ind w:firstLine="480" w:firstLineChars="200"/>
              <w:textAlignment w:val="baseline"/>
              <w:rPr>
                <w:bCs/>
                <w:color w:val="auto"/>
                <w:kern w:val="0"/>
                <w:sz w:val="24"/>
                <w:highlight w:val="none"/>
              </w:rPr>
            </w:pPr>
            <w:r>
              <w:rPr>
                <w:bCs/>
                <w:color w:val="auto"/>
                <w:kern w:val="0"/>
                <w:sz w:val="24"/>
                <w:highlight w:val="none"/>
              </w:rPr>
              <w:t>扬尘的主要成分是TSP，由于本项目工程量较小，施工期较短，施工期扬尘对区域大气环境的影响有限，施工期间避开大风天气，采取施工场地定时洒水车洒水、露天堆放物料苫盖、施工现场四周围挡等措施，因此，施工阶段产生的扬尘对周围大气环境的影响较小。</w:t>
            </w:r>
          </w:p>
          <w:p w14:paraId="582119EA">
            <w:pPr>
              <w:widowControl/>
              <w:adjustRightInd w:val="0"/>
              <w:snapToGrid w:val="0"/>
              <w:spacing w:line="360" w:lineRule="auto"/>
              <w:ind w:firstLine="480" w:firstLineChars="200"/>
              <w:textAlignment w:val="baseline"/>
              <w:rPr>
                <w:color w:val="auto"/>
                <w:kern w:val="0"/>
                <w:sz w:val="24"/>
                <w:highlight w:val="none"/>
              </w:rPr>
            </w:pPr>
            <w:r>
              <w:rPr>
                <w:color w:val="auto"/>
                <w:kern w:val="0"/>
                <w:sz w:val="24"/>
                <w:highlight w:val="none"/>
              </w:rPr>
              <w:t>（2）施工机械废气</w:t>
            </w:r>
          </w:p>
          <w:p w14:paraId="13B38B84">
            <w:pPr>
              <w:widowControl/>
              <w:adjustRightInd w:val="0"/>
              <w:snapToGrid w:val="0"/>
              <w:spacing w:line="360" w:lineRule="auto"/>
              <w:ind w:firstLine="480" w:firstLineChars="200"/>
              <w:textAlignment w:val="baseline"/>
              <w:rPr>
                <w:color w:val="auto"/>
                <w:kern w:val="0"/>
                <w:sz w:val="24"/>
                <w:highlight w:val="none"/>
              </w:rPr>
            </w:pPr>
            <w:r>
              <w:rPr>
                <w:color w:val="auto"/>
                <w:kern w:val="0"/>
                <w:sz w:val="24"/>
                <w:highlight w:val="none"/>
              </w:rPr>
              <w:t>本项目施工过程中主要有运输车辆、挖掘机等机械，以柴油为燃料，产生一定量的废气，</w:t>
            </w:r>
            <w:r>
              <w:rPr>
                <w:bCs/>
                <w:color w:val="auto"/>
                <w:kern w:val="0"/>
                <w:sz w:val="24"/>
                <w:highlight w:val="none"/>
              </w:rPr>
              <w:t>主要成分是HC、CO、NOx等。施工期间加强车辆和机械设备的管理，</w:t>
            </w:r>
            <w:r>
              <w:rPr>
                <w:rFonts w:hint="eastAsia"/>
                <w:bCs/>
                <w:color w:val="auto"/>
                <w:kern w:val="0"/>
                <w:sz w:val="24"/>
                <w:highlight w:val="none"/>
                <w:lang w:eastAsia="zh-CN"/>
              </w:rPr>
              <w:t>保持</w:t>
            </w:r>
            <w:r>
              <w:rPr>
                <w:bCs/>
                <w:color w:val="auto"/>
                <w:kern w:val="0"/>
                <w:sz w:val="24"/>
                <w:highlight w:val="none"/>
              </w:rPr>
              <w:t>施工机械良好运转，并选择符合标准的燃油。由于本项目工程量较小，施工期较短，施工机械、运输车辆废气产生量较小，对周围大气环境的影响较小</w:t>
            </w:r>
            <w:r>
              <w:rPr>
                <w:color w:val="auto"/>
                <w:kern w:val="0"/>
                <w:sz w:val="24"/>
                <w:highlight w:val="none"/>
              </w:rPr>
              <w:t>。</w:t>
            </w:r>
          </w:p>
          <w:p w14:paraId="23134C87">
            <w:pPr>
              <w:widowControl/>
              <w:adjustRightInd w:val="0"/>
              <w:snapToGrid w:val="0"/>
              <w:spacing w:line="360" w:lineRule="auto"/>
              <w:ind w:firstLine="482" w:firstLineChars="200"/>
              <w:textAlignment w:val="baseline"/>
              <w:rPr>
                <w:b/>
                <w:bCs/>
                <w:color w:val="auto"/>
                <w:kern w:val="0"/>
                <w:sz w:val="24"/>
                <w:highlight w:val="none"/>
              </w:rPr>
            </w:pPr>
            <w:r>
              <w:rPr>
                <w:b/>
                <w:bCs/>
                <w:color w:val="auto"/>
                <w:kern w:val="0"/>
                <w:sz w:val="24"/>
                <w:highlight w:val="none"/>
              </w:rPr>
              <w:t>2.废水</w:t>
            </w:r>
          </w:p>
          <w:p w14:paraId="2825C44C">
            <w:pPr>
              <w:widowControl/>
              <w:adjustRightInd w:val="0"/>
              <w:snapToGrid w:val="0"/>
              <w:spacing w:line="360" w:lineRule="auto"/>
              <w:ind w:firstLine="480" w:firstLineChars="200"/>
              <w:textAlignment w:val="baseline"/>
              <w:rPr>
                <w:color w:val="auto"/>
                <w:kern w:val="0"/>
                <w:sz w:val="24"/>
                <w:highlight w:val="none"/>
              </w:rPr>
            </w:pPr>
            <w:r>
              <w:rPr>
                <w:color w:val="auto"/>
                <w:kern w:val="0"/>
                <w:sz w:val="24"/>
                <w:highlight w:val="none"/>
              </w:rPr>
              <w:t>建筑施工期间的废水包括施工废水和施工人员的生活污水。</w:t>
            </w:r>
          </w:p>
          <w:p w14:paraId="52D8AAF1">
            <w:pPr>
              <w:widowControl/>
              <w:adjustRightInd w:val="0"/>
              <w:snapToGrid w:val="0"/>
              <w:spacing w:line="360" w:lineRule="auto"/>
              <w:ind w:firstLine="480" w:firstLineChars="200"/>
              <w:textAlignment w:val="baseline"/>
              <w:rPr>
                <w:color w:val="auto"/>
                <w:kern w:val="0"/>
                <w:sz w:val="24"/>
                <w:highlight w:val="none"/>
              </w:rPr>
            </w:pPr>
            <w:r>
              <w:rPr>
                <w:color w:val="auto"/>
                <w:kern w:val="0"/>
                <w:sz w:val="24"/>
                <w:highlight w:val="none"/>
              </w:rPr>
              <w:t>施工生产废水包括砂石冲洗水、养护水、场地冲洗水以及机械设备运转的冷却水和洗涤水、输送系统冲洗废水。施工时设置10</w:t>
            </w:r>
            <w:r>
              <w:rPr>
                <w:rFonts w:hint="eastAsia"/>
                <w:color w:val="auto"/>
                <w:kern w:val="0"/>
                <w:sz w:val="24"/>
                <w:highlight w:val="none"/>
                <w:vertAlign w:val="baseline"/>
                <w:lang w:eastAsia="zh-CN"/>
              </w:rPr>
              <w:t>m</w:t>
            </w:r>
            <w:r>
              <w:rPr>
                <w:rFonts w:hint="eastAsia"/>
                <w:color w:val="auto"/>
                <w:kern w:val="0"/>
                <w:sz w:val="24"/>
                <w:highlight w:val="none"/>
                <w:vertAlign w:val="superscript"/>
                <w:lang w:eastAsia="zh-CN"/>
              </w:rPr>
              <w:t>3</w:t>
            </w:r>
            <w:r>
              <w:rPr>
                <w:color w:val="auto"/>
                <w:kern w:val="0"/>
                <w:sz w:val="24"/>
                <w:highlight w:val="none"/>
              </w:rPr>
              <w:t>临时沉淀池，将含泥沙的雨水、泥浆水等经沉淀池沉淀处理后回收利用，不外排。</w:t>
            </w:r>
            <w:r>
              <w:rPr>
                <w:bCs/>
                <w:color w:val="auto"/>
                <w:kern w:val="0"/>
                <w:sz w:val="24"/>
                <w:highlight w:val="none"/>
              </w:rPr>
              <w:t>施工人员生活污水产生量很少，经项目区化粪池收集，拉运至杭锦旗锡尼镇污水处理厂处理，</w:t>
            </w:r>
            <w:r>
              <w:rPr>
                <w:color w:val="auto"/>
                <w:kern w:val="0"/>
                <w:sz w:val="24"/>
                <w:highlight w:val="none"/>
              </w:rPr>
              <w:t>生活污水得到妥善处理。</w:t>
            </w:r>
          </w:p>
          <w:p w14:paraId="5BD50C46">
            <w:pPr>
              <w:widowControl/>
              <w:adjustRightInd w:val="0"/>
              <w:snapToGrid w:val="0"/>
              <w:spacing w:line="360" w:lineRule="auto"/>
              <w:ind w:firstLine="482" w:firstLineChars="200"/>
              <w:textAlignment w:val="baseline"/>
              <w:rPr>
                <w:color w:val="auto"/>
                <w:kern w:val="0"/>
                <w:sz w:val="24"/>
                <w:highlight w:val="none"/>
              </w:rPr>
            </w:pPr>
            <w:r>
              <w:rPr>
                <w:b/>
                <w:bCs/>
                <w:color w:val="auto"/>
                <w:kern w:val="0"/>
                <w:sz w:val="24"/>
                <w:highlight w:val="none"/>
              </w:rPr>
              <w:t>3.噪声</w:t>
            </w:r>
          </w:p>
          <w:p w14:paraId="041D76AA">
            <w:pPr>
              <w:widowControl/>
              <w:adjustRightInd w:val="0"/>
              <w:snapToGrid w:val="0"/>
              <w:spacing w:line="360" w:lineRule="auto"/>
              <w:ind w:firstLine="480" w:firstLineChars="200"/>
              <w:textAlignment w:val="baseline"/>
              <w:rPr>
                <w:color w:val="auto"/>
                <w:kern w:val="0"/>
                <w:sz w:val="24"/>
                <w:highlight w:val="none"/>
              </w:rPr>
            </w:pPr>
            <w:r>
              <w:rPr>
                <w:color w:val="auto"/>
                <w:kern w:val="0"/>
                <w:sz w:val="24"/>
                <w:highlight w:val="none"/>
              </w:rPr>
              <w:t>根据工程分析，施工过程中使用的施工机械较少，施工期的噪声来自小型施工机械和运输车辆，噪声源强在75-95dB，特点为暂时的短期间歇性行为，无规律性，在施工场地界线处，一般情况下噪声强度将超过《建筑施工场界环境噪声排放标准》（GB12523-2011）。为减少施工噪声对周围企业的影响，施工单位及建设单位应采取以下减缓措施：</w:t>
            </w:r>
          </w:p>
          <w:p w14:paraId="334C69C8">
            <w:pPr>
              <w:widowControl/>
              <w:adjustRightInd w:val="0"/>
              <w:snapToGrid w:val="0"/>
              <w:spacing w:line="360" w:lineRule="auto"/>
              <w:ind w:firstLine="480" w:firstLineChars="200"/>
              <w:textAlignment w:val="baseline"/>
              <w:rPr>
                <w:color w:val="auto"/>
                <w:kern w:val="0"/>
                <w:sz w:val="24"/>
                <w:highlight w:val="none"/>
              </w:rPr>
            </w:pPr>
            <w:r>
              <w:rPr>
                <w:color w:val="auto"/>
                <w:kern w:val="0"/>
                <w:sz w:val="24"/>
                <w:highlight w:val="none"/>
              </w:rPr>
              <w:t>①选用低噪声设备，同时在施工过程中施工单位</w:t>
            </w:r>
            <w:r>
              <w:rPr>
                <w:rFonts w:hint="eastAsia"/>
                <w:color w:val="auto"/>
                <w:kern w:val="0"/>
                <w:sz w:val="24"/>
                <w:highlight w:val="none"/>
                <w:lang w:eastAsia="zh-CN"/>
              </w:rPr>
              <w:t>应</w:t>
            </w:r>
            <w:r>
              <w:rPr>
                <w:color w:val="auto"/>
                <w:kern w:val="0"/>
                <w:sz w:val="24"/>
                <w:highlight w:val="none"/>
              </w:rPr>
              <w:t>设专人对设备进行定期保养和维护。严格按操作规范使用各类机械。</w:t>
            </w:r>
          </w:p>
          <w:p w14:paraId="5158EE0C">
            <w:pPr>
              <w:widowControl/>
              <w:adjustRightInd w:val="0"/>
              <w:snapToGrid w:val="0"/>
              <w:spacing w:line="360" w:lineRule="auto"/>
              <w:ind w:firstLine="480" w:firstLineChars="200"/>
              <w:textAlignment w:val="baseline"/>
              <w:rPr>
                <w:color w:val="auto"/>
                <w:kern w:val="0"/>
                <w:sz w:val="24"/>
                <w:highlight w:val="none"/>
              </w:rPr>
            </w:pPr>
            <w:r>
              <w:rPr>
                <w:color w:val="auto"/>
                <w:kern w:val="0"/>
                <w:sz w:val="24"/>
                <w:highlight w:val="none"/>
              </w:rPr>
              <w:t>②合理安排施工时间，不在22:00-06:00期间施工。</w:t>
            </w:r>
          </w:p>
          <w:p w14:paraId="5928D6A0">
            <w:pPr>
              <w:widowControl/>
              <w:adjustRightInd w:val="0"/>
              <w:snapToGrid w:val="0"/>
              <w:spacing w:line="360" w:lineRule="auto"/>
              <w:ind w:firstLine="480" w:firstLineChars="200"/>
              <w:textAlignment w:val="baseline"/>
              <w:rPr>
                <w:color w:val="auto"/>
                <w:kern w:val="0"/>
                <w:sz w:val="24"/>
                <w:highlight w:val="none"/>
              </w:rPr>
            </w:pPr>
            <w:r>
              <w:rPr>
                <w:color w:val="auto"/>
                <w:kern w:val="0"/>
                <w:sz w:val="24"/>
                <w:highlight w:val="none"/>
              </w:rPr>
              <w:t>③合理进行施工场地布置。</w:t>
            </w:r>
          </w:p>
          <w:p w14:paraId="49243B22">
            <w:pPr>
              <w:widowControl/>
              <w:adjustRightInd w:val="0"/>
              <w:snapToGrid w:val="0"/>
              <w:spacing w:line="360" w:lineRule="auto"/>
              <w:ind w:firstLine="480" w:firstLineChars="200"/>
              <w:textAlignment w:val="baseline"/>
              <w:rPr>
                <w:color w:val="auto"/>
                <w:kern w:val="0"/>
                <w:sz w:val="24"/>
                <w:highlight w:val="none"/>
              </w:rPr>
            </w:pPr>
            <w:r>
              <w:rPr>
                <w:color w:val="auto"/>
                <w:kern w:val="0"/>
                <w:sz w:val="24"/>
                <w:highlight w:val="none"/>
              </w:rPr>
              <w:t>综上所述，施工期间通过选用低噪声设备、合理布局施工场地、合理安排施工时间及其他相应降噪措施后，施工厂界噪声满足《建筑施工场界环境噪声排放标准》（GB 12523-2011）所规定的噪声标准的要求，项目建设期对周围声环境影响较小。</w:t>
            </w:r>
          </w:p>
          <w:p w14:paraId="106AE17E">
            <w:pPr>
              <w:widowControl/>
              <w:adjustRightInd w:val="0"/>
              <w:snapToGrid w:val="0"/>
              <w:spacing w:line="360" w:lineRule="auto"/>
              <w:ind w:firstLine="482" w:firstLineChars="200"/>
              <w:textAlignment w:val="baseline"/>
              <w:rPr>
                <w:b/>
                <w:bCs/>
                <w:color w:val="auto"/>
                <w:kern w:val="0"/>
                <w:sz w:val="24"/>
                <w:highlight w:val="none"/>
              </w:rPr>
            </w:pPr>
            <w:r>
              <w:rPr>
                <w:b/>
                <w:bCs/>
                <w:color w:val="auto"/>
                <w:kern w:val="0"/>
                <w:sz w:val="24"/>
                <w:highlight w:val="none"/>
              </w:rPr>
              <w:t>4.固体废物</w:t>
            </w:r>
          </w:p>
          <w:p w14:paraId="3B5C8C58">
            <w:pPr>
              <w:spacing w:line="360" w:lineRule="auto"/>
              <w:ind w:firstLine="480" w:firstLineChars="200"/>
              <w:rPr>
                <w:bCs/>
                <w:color w:val="auto"/>
                <w:szCs w:val="21"/>
                <w:highlight w:val="none"/>
              </w:rPr>
            </w:pPr>
            <w:r>
              <w:rPr>
                <w:bCs/>
                <w:color w:val="auto"/>
                <w:kern w:val="0"/>
                <w:sz w:val="24"/>
                <w:highlight w:val="none"/>
              </w:rPr>
              <w:t>施工期产生的固废主要为建筑垃圾和生活垃圾。建筑垃圾为施工过程中产生的建筑弃料等，部分可以回用于项目建设，不能回用的应拉运至当地政府指定地点处置。施工人员产生的生活垃圾集中收集</w:t>
            </w:r>
            <w:r>
              <w:rPr>
                <w:rFonts w:hint="eastAsia"/>
                <w:bCs/>
                <w:color w:val="auto"/>
                <w:kern w:val="0"/>
                <w:sz w:val="24"/>
                <w:highlight w:val="none"/>
                <w:lang w:eastAsia="zh-CN"/>
              </w:rPr>
              <w:t>后</w:t>
            </w:r>
            <w:r>
              <w:rPr>
                <w:bCs/>
                <w:color w:val="auto"/>
                <w:kern w:val="0"/>
                <w:sz w:val="24"/>
                <w:highlight w:val="none"/>
              </w:rPr>
              <w:t>，在指定地点设置垃圾桶并加强管理，定期交当地环卫部门集中处理。施工期间产生的固体废物均可得到合理处置，对周围环境的影响较小。</w:t>
            </w:r>
          </w:p>
        </w:tc>
      </w:tr>
      <w:tr w14:paraId="352202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88" w:hRule="atLeast"/>
          <w:jc w:val="center"/>
        </w:trPr>
        <w:tc>
          <w:tcPr>
            <w:tcW w:w="529" w:type="dxa"/>
            <w:tcMar>
              <w:left w:w="28" w:type="dxa"/>
              <w:right w:w="28" w:type="dxa"/>
            </w:tcMar>
            <w:vAlign w:val="center"/>
          </w:tcPr>
          <w:p w14:paraId="47F408BE">
            <w:pPr>
              <w:adjustRightInd w:val="0"/>
              <w:snapToGrid w:val="0"/>
              <w:jc w:val="center"/>
              <w:rPr>
                <w:b/>
                <w:bCs/>
                <w:color w:val="auto"/>
                <w:sz w:val="24"/>
                <w:highlight w:val="none"/>
              </w:rPr>
            </w:pPr>
            <w:r>
              <w:rPr>
                <w:b/>
                <w:bCs/>
                <w:color w:val="auto"/>
                <w:sz w:val="24"/>
                <w:highlight w:val="none"/>
              </w:rPr>
              <w:t>运营</w:t>
            </w:r>
          </w:p>
          <w:p w14:paraId="76E0E5D7">
            <w:pPr>
              <w:adjustRightInd w:val="0"/>
              <w:snapToGrid w:val="0"/>
              <w:jc w:val="center"/>
              <w:rPr>
                <w:b/>
                <w:bCs/>
                <w:color w:val="auto"/>
                <w:sz w:val="24"/>
                <w:highlight w:val="none"/>
              </w:rPr>
            </w:pPr>
            <w:r>
              <w:rPr>
                <w:b/>
                <w:bCs/>
                <w:color w:val="auto"/>
                <w:sz w:val="24"/>
                <w:highlight w:val="none"/>
              </w:rPr>
              <w:t>期环</w:t>
            </w:r>
          </w:p>
          <w:p w14:paraId="4DEFC6C4">
            <w:pPr>
              <w:adjustRightInd w:val="0"/>
              <w:snapToGrid w:val="0"/>
              <w:jc w:val="center"/>
              <w:rPr>
                <w:b/>
                <w:bCs/>
                <w:color w:val="auto"/>
                <w:sz w:val="24"/>
                <w:highlight w:val="none"/>
              </w:rPr>
            </w:pPr>
            <w:r>
              <w:rPr>
                <w:b/>
                <w:bCs/>
                <w:color w:val="auto"/>
                <w:sz w:val="24"/>
                <w:highlight w:val="none"/>
              </w:rPr>
              <w:t>境影</w:t>
            </w:r>
          </w:p>
          <w:p w14:paraId="548804D9">
            <w:pPr>
              <w:adjustRightInd w:val="0"/>
              <w:snapToGrid w:val="0"/>
              <w:jc w:val="center"/>
              <w:rPr>
                <w:b/>
                <w:bCs/>
                <w:color w:val="auto"/>
                <w:sz w:val="24"/>
                <w:highlight w:val="none"/>
              </w:rPr>
            </w:pPr>
            <w:r>
              <w:rPr>
                <w:b/>
                <w:bCs/>
                <w:color w:val="auto"/>
                <w:sz w:val="24"/>
                <w:highlight w:val="none"/>
              </w:rPr>
              <w:t>响和</w:t>
            </w:r>
          </w:p>
          <w:p w14:paraId="3D744BB7">
            <w:pPr>
              <w:adjustRightInd w:val="0"/>
              <w:snapToGrid w:val="0"/>
              <w:jc w:val="center"/>
              <w:rPr>
                <w:b/>
                <w:bCs/>
                <w:color w:val="auto"/>
                <w:sz w:val="24"/>
                <w:highlight w:val="none"/>
              </w:rPr>
            </w:pPr>
            <w:r>
              <w:rPr>
                <w:b/>
                <w:bCs/>
                <w:color w:val="auto"/>
                <w:sz w:val="24"/>
                <w:highlight w:val="none"/>
              </w:rPr>
              <w:t>保护</w:t>
            </w:r>
          </w:p>
          <w:p w14:paraId="0748A580">
            <w:pPr>
              <w:adjustRightInd w:val="0"/>
              <w:snapToGrid w:val="0"/>
              <w:jc w:val="center"/>
              <w:rPr>
                <w:b/>
                <w:bCs/>
                <w:color w:val="auto"/>
                <w:sz w:val="24"/>
                <w:highlight w:val="none"/>
              </w:rPr>
            </w:pPr>
            <w:r>
              <w:rPr>
                <w:b/>
                <w:bCs/>
                <w:color w:val="auto"/>
                <w:sz w:val="24"/>
                <w:highlight w:val="none"/>
              </w:rPr>
              <w:t>措施</w:t>
            </w:r>
          </w:p>
        </w:tc>
        <w:tc>
          <w:tcPr>
            <w:tcW w:w="8500" w:type="dxa"/>
            <w:vAlign w:val="center"/>
          </w:tcPr>
          <w:p w14:paraId="539561DD">
            <w:pPr>
              <w:spacing w:line="360" w:lineRule="auto"/>
              <w:jc w:val="left"/>
              <w:rPr>
                <w:b/>
                <w:bCs/>
                <w:color w:val="auto"/>
                <w:sz w:val="24"/>
                <w:highlight w:val="none"/>
              </w:rPr>
            </w:pPr>
            <w:r>
              <w:rPr>
                <w:b/>
                <w:bCs/>
                <w:color w:val="auto"/>
                <w:sz w:val="24"/>
                <w:highlight w:val="none"/>
              </w:rPr>
              <w:t>1.废气</w:t>
            </w:r>
          </w:p>
          <w:p w14:paraId="6C35FAF9">
            <w:pPr>
              <w:adjustRightInd w:val="0"/>
              <w:snapToGrid w:val="0"/>
              <w:spacing w:line="360" w:lineRule="auto"/>
              <w:ind w:firstLine="482" w:firstLineChars="200"/>
              <w:rPr>
                <w:b/>
                <w:bCs/>
                <w:color w:val="auto"/>
                <w:sz w:val="24"/>
                <w:highlight w:val="none"/>
              </w:rPr>
            </w:pPr>
            <w:r>
              <w:rPr>
                <w:b/>
                <w:bCs/>
                <w:color w:val="auto"/>
                <w:sz w:val="24"/>
                <w:highlight w:val="none"/>
              </w:rPr>
              <w:t>1.1大气污染源源强核算及污染物产排情况</w:t>
            </w:r>
          </w:p>
          <w:p w14:paraId="3908F0C1">
            <w:pPr>
              <w:spacing w:line="360" w:lineRule="auto"/>
              <w:ind w:firstLine="480" w:firstLineChars="200"/>
              <w:rPr>
                <w:bCs/>
                <w:color w:val="auto"/>
                <w:sz w:val="24"/>
                <w:highlight w:val="none"/>
              </w:rPr>
            </w:pPr>
            <w:r>
              <w:rPr>
                <w:bCs/>
                <w:color w:val="auto"/>
                <w:sz w:val="24"/>
                <w:highlight w:val="none"/>
              </w:rPr>
              <w:t>本项目运营期废气主要为火化机废气、焚烧炉废气。</w:t>
            </w:r>
          </w:p>
          <w:p w14:paraId="370DEA21">
            <w:pPr>
              <w:spacing w:line="360" w:lineRule="auto"/>
              <w:ind w:firstLine="480" w:firstLineChars="200"/>
              <w:rPr>
                <w:bCs/>
                <w:color w:val="auto"/>
                <w:sz w:val="24"/>
                <w:highlight w:val="none"/>
              </w:rPr>
            </w:pPr>
            <w:r>
              <w:rPr>
                <w:bCs/>
                <w:color w:val="auto"/>
                <w:sz w:val="24"/>
                <w:highlight w:val="none"/>
              </w:rPr>
              <w:t>（1）火化机废气</w:t>
            </w:r>
          </w:p>
          <w:p w14:paraId="682948A4">
            <w:pPr>
              <w:spacing w:line="360" w:lineRule="auto"/>
              <w:ind w:firstLine="480" w:firstLineChars="200"/>
              <w:rPr>
                <w:bCs/>
                <w:color w:val="auto"/>
                <w:sz w:val="24"/>
                <w:highlight w:val="none"/>
              </w:rPr>
            </w:pPr>
            <w:r>
              <w:rPr>
                <w:bCs/>
                <w:color w:val="auto"/>
                <w:sz w:val="24"/>
                <w:highlight w:val="none"/>
              </w:rPr>
              <w:t>本项目共设置2台拣灰式火化机，产生的火化废气经1套尾气处理设施处理后排放，引风机风量6000N</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/h</w:t>
            </w:r>
            <w:r>
              <w:rPr>
                <w:rFonts w:hint="eastAsia"/>
                <w:bCs/>
                <w:color w:val="auto"/>
                <w:sz w:val="24"/>
                <w:highlight w:val="none"/>
              </w:rPr>
              <w:t>。</w:t>
            </w:r>
            <w:r>
              <w:rPr>
                <w:bCs/>
                <w:color w:val="auto"/>
                <w:sz w:val="24"/>
                <w:highlight w:val="none"/>
              </w:rPr>
              <w:t>火化遗体使用燃料为0#～-10#轻柴油，火化废气中主要污染物为烟尘、二氧化硫、氮氧化物、一氧化碳、氯化氢、汞、二噁英、氨以及硫化氢。拣灰式火化机的耗油量为25L/具，柴油的密度一般为0.81g/</w:t>
            </w:r>
            <w:r>
              <w:rPr>
                <w:rFonts w:hint="eastAsia"/>
                <w:bCs/>
                <w:color w:val="auto"/>
                <w:sz w:val="24"/>
                <w:highlight w:val="none"/>
                <w:lang w:eastAsia="zh-CN"/>
              </w:rPr>
              <w:t>m</w:t>
            </w:r>
            <w:r>
              <w:rPr>
                <w:bCs/>
                <w:color w:val="auto"/>
                <w:sz w:val="24"/>
                <w:highlight w:val="none"/>
              </w:rPr>
              <w:t>L至0.85g/</w:t>
            </w:r>
            <w:r>
              <w:rPr>
                <w:rFonts w:hint="eastAsia"/>
                <w:bCs/>
                <w:color w:val="auto"/>
                <w:sz w:val="24"/>
                <w:highlight w:val="none"/>
                <w:lang w:eastAsia="zh-CN"/>
              </w:rPr>
              <w:t>m</w:t>
            </w:r>
            <w:r>
              <w:rPr>
                <w:bCs/>
                <w:color w:val="auto"/>
                <w:sz w:val="24"/>
                <w:highlight w:val="none"/>
              </w:rPr>
              <w:t>L，本项目取0.85g/</w:t>
            </w:r>
            <w:r>
              <w:rPr>
                <w:rFonts w:hint="eastAsia"/>
                <w:bCs/>
                <w:color w:val="auto"/>
                <w:sz w:val="24"/>
                <w:highlight w:val="none"/>
                <w:lang w:eastAsia="zh-CN"/>
              </w:rPr>
              <w:t>m</w:t>
            </w:r>
            <w:r>
              <w:rPr>
                <w:bCs/>
                <w:color w:val="auto"/>
                <w:sz w:val="24"/>
                <w:highlight w:val="none"/>
              </w:rPr>
              <w:t>L，故耗油量为21.25kg/具。年火化尸体数量为260具，共计耗油量为5.525t/a。火化每具遗体平均火化时间约60</w:t>
            </w:r>
            <w:r>
              <w:rPr>
                <w:rFonts w:hint="eastAsia"/>
                <w:bCs/>
                <w:color w:val="auto"/>
                <w:sz w:val="24"/>
                <w:highlight w:val="none"/>
                <w:lang w:eastAsia="zh-CN"/>
              </w:rPr>
              <w:t>m</w:t>
            </w:r>
            <w:r>
              <w:rPr>
                <w:bCs/>
                <w:color w:val="auto"/>
                <w:sz w:val="24"/>
                <w:highlight w:val="none"/>
              </w:rPr>
              <w:t>in。</w:t>
            </w:r>
          </w:p>
          <w:p w14:paraId="10830665">
            <w:pPr>
              <w:spacing w:line="360" w:lineRule="auto"/>
              <w:ind w:firstLine="480" w:firstLineChars="200"/>
              <w:rPr>
                <w:bCs/>
                <w:color w:val="auto"/>
                <w:sz w:val="24"/>
                <w:highlight w:val="none"/>
              </w:rPr>
            </w:pPr>
            <w:r>
              <w:rPr>
                <w:bCs/>
                <w:color w:val="auto"/>
                <w:sz w:val="24"/>
                <w:highlight w:val="none"/>
              </w:rPr>
              <w:t>本项目烟尘、二氧化硫、氮氧化物、一氧化碳、氨、硫化氢产生浓度</w:t>
            </w:r>
            <w:r>
              <w:rPr>
                <w:rFonts w:hint="eastAsia"/>
                <w:bCs/>
                <w:color w:val="auto"/>
                <w:sz w:val="24"/>
                <w:highlight w:val="none"/>
              </w:rPr>
              <w:t>及速率</w:t>
            </w:r>
            <w:r>
              <w:rPr>
                <w:bCs/>
                <w:color w:val="auto"/>
                <w:sz w:val="24"/>
                <w:highlight w:val="none"/>
              </w:rPr>
              <w:t>参考民政部一零一研究所、</w:t>
            </w:r>
            <w:r>
              <w:rPr>
                <w:rFonts w:hint="eastAsia"/>
                <w:bCs/>
                <w:color w:val="auto"/>
                <w:sz w:val="24"/>
                <w:highlight w:val="none"/>
                <w:lang w:eastAsia="zh-CN"/>
              </w:rPr>
              <w:t>环境保护</w:t>
            </w:r>
            <w:r>
              <w:rPr>
                <w:bCs/>
                <w:color w:val="auto"/>
                <w:sz w:val="24"/>
                <w:highlight w:val="none"/>
              </w:rPr>
              <w:t>部环境标准研究所以及广州市殡葬服务中心发布的《火葬场大气污染物排放标准（征求意见稿）编制说明》中表10</w:t>
            </w:r>
            <w:r>
              <w:rPr>
                <w:rFonts w:hint="eastAsia"/>
                <w:bCs/>
                <w:color w:val="auto"/>
                <w:sz w:val="24"/>
                <w:highlight w:val="none"/>
              </w:rPr>
              <w:t>数据</w:t>
            </w:r>
            <w:r>
              <w:rPr>
                <w:bCs/>
                <w:color w:val="auto"/>
                <w:sz w:val="24"/>
                <w:highlight w:val="none"/>
              </w:rPr>
              <w:t>，HCl、Hg产生浓度参照学术论文《我国燃油式火化机的大气污染物排放特征》（殷惠民、刘岩、李斯民、张利飞、史殿龙、祁辉、张永春、周昊，《环境化学》2014年2月第2期）中的数据，二噁英产生浓度参考民政部一零一研究所、广州市殡葬服务中心发布的《遗体火化二噁英排放调查与减排实践》中</w:t>
            </w:r>
            <w:r>
              <w:rPr>
                <w:rFonts w:hint="eastAsia"/>
                <w:bCs/>
                <w:color w:val="auto"/>
                <w:sz w:val="24"/>
                <w:highlight w:val="none"/>
              </w:rPr>
              <w:t>数据</w:t>
            </w:r>
            <w:r>
              <w:rPr>
                <w:bCs/>
                <w:color w:val="auto"/>
                <w:sz w:val="24"/>
                <w:highlight w:val="none"/>
              </w:rPr>
              <w:t>进行计算，本项目遗体火化各类污染物产生情况见</w:t>
            </w:r>
            <w:r>
              <w:rPr>
                <w:rFonts w:hint="eastAsia"/>
                <w:bCs/>
                <w:color w:val="auto"/>
                <w:sz w:val="24"/>
                <w:highlight w:val="none"/>
              </w:rPr>
              <w:t>下</w:t>
            </w:r>
            <w:r>
              <w:rPr>
                <w:bCs/>
                <w:color w:val="auto"/>
                <w:sz w:val="24"/>
                <w:highlight w:val="none"/>
              </w:rPr>
              <w:t>表。</w:t>
            </w:r>
          </w:p>
          <w:p w14:paraId="26415CF7">
            <w:pPr>
              <w:spacing w:line="360" w:lineRule="auto"/>
              <w:jc w:val="center"/>
              <w:rPr>
                <w:b/>
                <w:color w:val="auto"/>
                <w:spacing w:val="-10"/>
                <w:sz w:val="24"/>
                <w:highlight w:val="none"/>
              </w:rPr>
            </w:pPr>
            <w:r>
              <w:rPr>
                <w:b/>
                <w:color w:val="auto"/>
                <w:spacing w:val="-10"/>
                <w:sz w:val="24"/>
                <w:highlight w:val="none"/>
              </w:rPr>
              <w:t>表4-1 遗体火化污染物产生情况</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1515"/>
              <w:gridCol w:w="1720"/>
              <w:gridCol w:w="1485"/>
              <w:gridCol w:w="2703"/>
            </w:tblGrid>
            <w:tr w14:paraId="4EE7E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 w:type="pct"/>
                  <w:tcBorders>
                    <w:tl2br w:val="nil"/>
                    <w:tr2bl w:val="nil"/>
                  </w:tcBorders>
                  <w:vAlign w:val="center"/>
                </w:tcPr>
                <w:p w14:paraId="72AFC8BD">
                  <w:pPr>
                    <w:adjustRightInd w:val="0"/>
                    <w:snapToGrid w:val="0"/>
                    <w:jc w:val="center"/>
                    <w:rPr>
                      <w:b/>
                      <w:bCs/>
                      <w:color w:val="auto"/>
                      <w:kern w:val="0"/>
                      <w:szCs w:val="20"/>
                      <w:highlight w:val="none"/>
                    </w:rPr>
                  </w:pPr>
                  <w:r>
                    <w:rPr>
                      <w:b/>
                      <w:bCs/>
                      <w:color w:val="auto"/>
                      <w:kern w:val="0"/>
                      <w:szCs w:val="20"/>
                      <w:highlight w:val="none"/>
                    </w:rPr>
                    <w:t>序号</w:t>
                  </w:r>
                </w:p>
              </w:tc>
              <w:tc>
                <w:tcPr>
                  <w:tcW w:w="915" w:type="pct"/>
                  <w:tcBorders>
                    <w:tl2br w:val="nil"/>
                    <w:tr2bl w:val="nil"/>
                  </w:tcBorders>
                  <w:vAlign w:val="center"/>
                </w:tcPr>
                <w:p w14:paraId="707581EA">
                  <w:pPr>
                    <w:adjustRightInd w:val="0"/>
                    <w:snapToGrid w:val="0"/>
                    <w:jc w:val="center"/>
                    <w:rPr>
                      <w:b/>
                      <w:bCs/>
                      <w:color w:val="auto"/>
                      <w:kern w:val="0"/>
                      <w:szCs w:val="20"/>
                      <w:highlight w:val="none"/>
                    </w:rPr>
                  </w:pPr>
                  <w:r>
                    <w:rPr>
                      <w:b/>
                      <w:bCs/>
                      <w:color w:val="auto"/>
                      <w:kern w:val="0"/>
                      <w:szCs w:val="20"/>
                      <w:highlight w:val="none"/>
                    </w:rPr>
                    <w:t>污染物名称</w:t>
                  </w:r>
                </w:p>
              </w:tc>
              <w:tc>
                <w:tcPr>
                  <w:tcW w:w="1039" w:type="pct"/>
                  <w:tcBorders>
                    <w:tl2br w:val="nil"/>
                    <w:tr2bl w:val="nil"/>
                  </w:tcBorders>
                  <w:vAlign w:val="center"/>
                </w:tcPr>
                <w:p w14:paraId="7465FD06">
                  <w:pPr>
                    <w:adjustRightInd w:val="0"/>
                    <w:snapToGrid w:val="0"/>
                    <w:jc w:val="center"/>
                    <w:rPr>
                      <w:b/>
                      <w:bCs/>
                      <w:color w:val="auto"/>
                      <w:kern w:val="0"/>
                      <w:szCs w:val="20"/>
                      <w:highlight w:val="none"/>
                    </w:rPr>
                  </w:pPr>
                  <w:r>
                    <w:rPr>
                      <w:b/>
                      <w:bCs/>
                      <w:color w:val="auto"/>
                      <w:kern w:val="0"/>
                      <w:szCs w:val="20"/>
                      <w:highlight w:val="none"/>
                    </w:rPr>
                    <w:t>产生浓度（</w:t>
                  </w:r>
                  <w:r>
                    <w:rPr>
                      <w:rFonts w:hint="eastAsia"/>
                      <w:b/>
                      <w:bCs/>
                      <w:color w:val="auto"/>
                      <w:kern w:val="0"/>
                      <w:szCs w:val="20"/>
                      <w:highlight w:val="none"/>
                      <w:lang w:eastAsia="zh-CN"/>
                    </w:rPr>
                    <w:t>m</w:t>
                  </w:r>
                  <w:r>
                    <w:rPr>
                      <w:b/>
                      <w:bCs/>
                      <w:color w:val="auto"/>
                      <w:kern w:val="0"/>
                      <w:szCs w:val="20"/>
                      <w:highlight w:val="none"/>
                    </w:rPr>
                    <w:t>g/</w:t>
                  </w:r>
                  <w:r>
                    <w:rPr>
                      <w:rFonts w:hint="eastAsia"/>
                      <w:b/>
                      <w:bCs/>
                      <w:color w:val="auto"/>
                      <w:kern w:val="0"/>
                      <w:szCs w:val="20"/>
                      <w:highlight w:val="none"/>
                      <w:vertAlign w:val="baseline"/>
                      <w:lang w:eastAsia="zh-CN"/>
                    </w:rPr>
                    <w:t>m</w:t>
                  </w:r>
                  <w:r>
                    <w:rPr>
                      <w:rFonts w:hint="eastAsia"/>
                      <w:b/>
                      <w:bCs/>
                      <w:color w:val="auto"/>
                      <w:kern w:val="0"/>
                      <w:szCs w:val="20"/>
                      <w:highlight w:val="none"/>
                      <w:vertAlign w:val="superscript"/>
                      <w:lang w:eastAsia="zh-CN"/>
                    </w:rPr>
                    <w:t>3</w:t>
                  </w:r>
                  <w:r>
                    <w:rPr>
                      <w:b/>
                      <w:bCs/>
                      <w:color w:val="auto"/>
                      <w:kern w:val="0"/>
                      <w:szCs w:val="20"/>
                      <w:highlight w:val="none"/>
                    </w:rPr>
                    <w:t>）</w:t>
                  </w:r>
                </w:p>
              </w:tc>
              <w:tc>
                <w:tcPr>
                  <w:tcW w:w="897" w:type="pct"/>
                  <w:tcBorders>
                    <w:tl2br w:val="nil"/>
                    <w:tr2bl w:val="nil"/>
                  </w:tcBorders>
                  <w:vAlign w:val="center"/>
                </w:tcPr>
                <w:p w14:paraId="0C37282A">
                  <w:pPr>
                    <w:adjustRightInd w:val="0"/>
                    <w:snapToGrid w:val="0"/>
                    <w:jc w:val="center"/>
                    <w:rPr>
                      <w:b/>
                      <w:bCs/>
                      <w:color w:val="auto"/>
                      <w:kern w:val="0"/>
                      <w:szCs w:val="20"/>
                      <w:highlight w:val="none"/>
                    </w:rPr>
                  </w:pPr>
                  <w:r>
                    <w:rPr>
                      <w:b/>
                      <w:bCs/>
                      <w:color w:val="auto"/>
                      <w:kern w:val="0"/>
                      <w:szCs w:val="20"/>
                      <w:highlight w:val="none"/>
                    </w:rPr>
                    <w:t>产生速率（kg/h）</w:t>
                  </w:r>
                </w:p>
              </w:tc>
              <w:tc>
                <w:tcPr>
                  <w:tcW w:w="1633" w:type="pct"/>
                  <w:tcBorders>
                    <w:tl2br w:val="nil"/>
                    <w:tr2bl w:val="nil"/>
                  </w:tcBorders>
                  <w:vAlign w:val="center"/>
                </w:tcPr>
                <w:p w14:paraId="7E81972A">
                  <w:pPr>
                    <w:adjustRightInd w:val="0"/>
                    <w:snapToGrid w:val="0"/>
                    <w:jc w:val="center"/>
                    <w:rPr>
                      <w:b/>
                      <w:bCs/>
                      <w:color w:val="auto"/>
                      <w:kern w:val="0"/>
                      <w:szCs w:val="20"/>
                      <w:highlight w:val="none"/>
                    </w:rPr>
                  </w:pPr>
                  <w:r>
                    <w:rPr>
                      <w:rFonts w:hint="eastAsia"/>
                      <w:b/>
                      <w:bCs/>
                      <w:color w:val="auto"/>
                      <w:kern w:val="0"/>
                      <w:szCs w:val="20"/>
                      <w:highlight w:val="none"/>
                    </w:rPr>
                    <w:t>数据来源</w:t>
                  </w:r>
                </w:p>
              </w:tc>
            </w:tr>
            <w:tr w14:paraId="33A69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 w:type="pct"/>
                  <w:tcBorders>
                    <w:tl2br w:val="nil"/>
                    <w:tr2bl w:val="nil"/>
                  </w:tcBorders>
                  <w:vAlign w:val="center"/>
                </w:tcPr>
                <w:p w14:paraId="63C21C6B">
                  <w:pPr>
                    <w:adjustRightInd w:val="0"/>
                    <w:snapToGrid w:val="0"/>
                    <w:jc w:val="center"/>
                    <w:rPr>
                      <w:bCs/>
                      <w:color w:val="auto"/>
                      <w:spacing w:val="-10"/>
                      <w:szCs w:val="21"/>
                      <w:highlight w:val="none"/>
                    </w:rPr>
                  </w:pPr>
                  <w:r>
                    <w:rPr>
                      <w:bCs/>
                      <w:color w:val="auto"/>
                      <w:spacing w:val="-10"/>
                      <w:szCs w:val="21"/>
                      <w:highlight w:val="none"/>
                    </w:rPr>
                    <w:t>1</w:t>
                  </w:r>
                </w:p>
              </w:tc>
              <w:tc>
                <w:tcPr>
                  <w:tcW w:w="915" w:type="pct"/>
                  <w:tcBorders>
                    <w:tl2br w:val="nil"/>
                    <w:tr2bl w:val="nil"/>
                  </w:tcBorders>
                  <w:vAlign w:val="center"/>
                </w:tcPr>
                <w:p w14:paraId="6B6BFE96">
                  <w:pPr>
                    <w:adjustRightInd w:val="0"/>
                    <w:snapToGrid w:val="0"/>
                    <w:jc w:val="center"/>
                    <w:rPr>
                      <w:color w:val="auto"/>
                      <w:kern w:val="0"/>
                      <w:szCs w:val="20"/>
                      <w:highlight w:val="none"/>
                    </w:rPr>
                  </w:pPr>
                  <w:r>
                    <w:rPr>
                      <w:color w:val="auto"/>
                      <w:kern w:val="0"/>
                      <w:szCs w:val="20"/>
                      <w:highlight w:val="none"/>
                    </w:rPr>
                    <w:t>烟尘</w:t>
                  </w:r>
                </w:p>
              </w:tc>
              <w:tc>
                <w:tcPr>
                  <w:tcW w:w="1039" w:type="pct"/>
                  <w:tcBorders>
                    <w:tl2br w:val="nil"/>
                    <w:tr2bl w:val="nil"/>
                  </w:tcBorders>
                  <w:vAlign w:val="center"/>
                </w:tcPr>
                <w:p w14:paraId="6CC4741D">
                  <w:pPr>
                    <w:adjustRightInd w:val="0"/>
                    <w:snapToGrid w:val="0"/>
                    <w:jc w:val="center"/>
                    <w:rPr>
                      <w:color w:val="auto"/>
                      <w:kern w:val="0"/>
                      <w:szCs w:val="20"/>
                      <w:highlight w:val="none"/>
                    </w:rPr>
                  </w:pPr>
                  <w:r>
                    <w:rPr>
                      <w:color w:val="auto"/>
                      <w:kern w:val="0"/>
                      <w:szCs w:val="20"/>
                      <w:highlight w:val="none"/>
                    </w:rPr>
                    <w:t>141</w:t>
                  </w:r>
                </w:p>
              </w:tc>
              <w:tc>
                <w:tcPr>
                  <w:tcW w:w="897" w:type="pct"/>
                  <w:tcBorders>
                    <w:tl2br w:val="nil"/>
                    <w:tr2bl w:val="nil"/>
                  </w:tcBorders>
                  <w:vAlign w:val="center"/>
                </w:tcPr>
                <w:p w14:paraId="3671C035">
                  <w:pPr>
                    <w:adjustRightInd w:val="0"/>
                    <w:snapToGrid w:val="0"/>
                    <w:jc w:val="center"/>
                    <w:rPr>
                      <w:color w:val="auto"/>
                      <w:kern w:val="0"/>
                      <w:szCs w:val="20"/>
                      <w:highlight w:val="none"/>
                    </w:rPr>
                  </w:pPr>
                  <w:r>
                    <w:rPr>
                      <w:color w:val="auto"/>
                      <w:kern w:val="0"/>
                      <w:szCs w:val="20"/>
                      <w:highlight w:val="none"/>
                    </w:rPr>
                    <w:t>0.151</w:t>
                  </w:r>
                </w:p>
              </w:tc>
              <w:tc>
                <w:tcPr>
                  <w:tcW w:w="1633" w:type="pct"/>
                  <w:vMerge w:val="restart"/>
                  <w:tcBorders>
                    <w:tl2br w:val="nil"/>
                    <w:tr2bl w:val="nil"/>
                  </w:tcBorders>
                  <w:vAlign w:val="center"/>
                </w:tcPr>
                <w:p w14:paraId="1483C274">
                  <w:pPr>
                    <w:adjustRightInd w:val="0"/>
                    <w:snapToGrid w:val="0"/>
                    <w:jc w:val="center"/>
                    <w:rPr>
                      <w:color w:val="auto"/>
                      <w:kern w:val="0"/>
                      <w:szCs w:val="20"/>
                      <w:highlight w:val="none"/>
                    </w:rPr>
                  </w:pPr>
                  <w:r>
                    <w:rPr>
                      <w:rFonts w:hint="eastAsia"/>
                      <w:color w:val="auto"/>
                      <w:kern w:val="0"/>
                      <w:szCs w:val="20"/>
                      <w:highlight w:val="none"/>
                    </w:rPr>
                    <w:t>《火葬场大气污染物排放标准（征求意见稿）编制说明》</w:t>
                  </w:r>
                  <w:r>
                    <w:rPr>
                      <w:color w:val="auto"/>
                      <w:kern w:val="0"/>
                      <w:szCs w:val="20"/>
                      <w:highlight w:val="none"/>
                    </w:rPr>
                    <w:t>中表10</w:t>
                  </w:r>
                </w:p>
              </w:tc>
            </w:tr>
            <w:tr w14:paraId="3F12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 w:type="pct"/>
                  <w:tcBorders>
                    <w:tl2br w:val="nil"/>
                    <w:tr2bl w:val="nil"/>
                  </w:tcBorders>
                  <w:vAlign w:val="center"/>
                </w:tcPr>
                <w:p w14:paraId="27601DCB">
                  <w:pPr>
                    <w:adjustRightInd w:val="0"/>
                    <w:snapToGrid w:val="0"/>
                    <w:jc w:val="center"/>
                    <w:rPr>
                      <w:bCs/>
                      <w:color w:val="auto"/>
                      <w:spacing w:val="-10"/>
                      <w:szCs w:val="21"/>
                      <w:highlight w:val="none"/>
                    </w:rPr>
                  </w:pPr>
                  <w:r>
                    <w:rPr>
                      <w:bCs/>
                      <w:color w:val="auto"/>
                      <w:spacing w:val="-10"/>
                      <w:szCs w:val="21"/>
                      <w:highlight w:val="none"/>
                    </w:rPr>
                    <w:t>2</w:t>
                  </w:r>
                </w:p>
              </w:tc>
              <w:tc>
                <w:tcPr>
                  <w:tcW w:w="915" w:type="pct"/>
                  <w:tcBorders>
                    <w:tl2br w:val="nil"/>
                    <w:tr2bl w:val="nil"/>
                  </w:tcBorders>
                  <w:vAlign w:val="center"/>
                </w:tcPr>
                <w:p w14:paraId="531774EF">
                  <w:pPr>
                    <w:adjustRightInd w:val="0"/>
                    <w:snapToGrid w:val="0"/>
                    <w:jc w:val="center"/>
                    <w:rPr>
                      <w:color w:val="auto"/>
                      <w:kern w:val="0"/>
                      <w:szCs w:val="20"/>
                      <w:highlight w:val="none"/>
                    </w:rPr>
                  </w:pPr>
                  <w:r>
                    <w:rPr>
                      <w:color w:val="auto"/>
                      <w:kern w:val="0"/>
                      <w:szCs w:val="20"/>
                      <w:highlight w:val="none"/>
                    </w:rPr>
                    <w:t>二氧化硫</w:t>
                  </w:r>
                </w:p>
              </w:tc>
              <w:tc>
                <w:tcPr>
                  <w:tcW w:w="1039" w:type="pct"/>
                  <w:tcBorders>
                    <w:tl2br w:val="nil"/>
                    <w:tr2bl w:val="nil"/>
                  </w:tcBorders>
                  <w:vAlign w:val="center"/>
                </w:tcPr>
                <w:p w14:paraId="7339709E">
                  <w:pPr>
                    <w:adjustRightInd w:val="0"/>
                    <w:snapToGrid w:val="0"/>
                    <w:jc w:val="center"/>
                    <w:rPr>
                      <w:color w:val="auto"/>
                      <w:kern w:val="0"/>
                      <w:szCs w:val="20"/>
                      <w:highlight w:val="none"/>
                    </w:rPr>
                  </w:pPr>
                  <w:r>
                    <w:rPr>
                      <w:color w:val="auto"/>
                      <w:kern w:val="0"/>
                      <w:szCs w:val="20"/>
                      <w:highlight w:val="none"/>
                    </w:rPr>
                    <w:t>10.9</w:t>
                  </w:r>
                </w:p>
              </w:tc>
              <w:tc>
                <w:tcPr>
                  <w:tcW w:w="897" w:type="pct"/>
                  <w:tcBorders>
                    <w:tl2br w:val="nil"/>
                    <w:tr2bl w:val="nil"/>
                  </w:tcBorders>
                  <w:vAlign w:val="center"/>
                </w:tcPr>
                <w:p w14:paraId="5DAD8942">
                  <w:pPr>
                    <w:adjustRightInd w:val="0"/>
                    <w:snapToGrid w:val="0"/>
                    <w:jc w:val="center"/>
                    <w:rPr>
                      <w:color w:val="auto"/>
                      <w:kern w:val="0"/>
                      <w:szCs w:val="20"/>
                      <w:highlight w:val="none"/>
                    </w:rPr>
                  </w:pPr>
                  <w:r>
                    <w:rPr>
                      <w:color w:val="auto"/>
                      <w:kern w:val="0"/>
                      <w:szCs w:val="20"/>
                      <w:highlight w:val="none"/>
                    </w:rPr>
                    <w:t>0.034</w:t>
                  </w:r>
                </w:p>
              </w:tc>
              <w:tc>
                <w:tcPr>
                  <w:tcW w:w="1633" w:type="pct"/>
                  <w:vMerge w:val="continue"/>
                  <w:tcBorders>
                    <w:tl2br w:val="nil"/>
                    <w:tr2bl w:val="nil"/>
                  </w:tcBorders>
                  <w:vAlign w:val="center"/>
                </w:tcPr>
                <w:p w14:paraId="11DBF1A9">
                  <w:pPr>
                    <w:adjustRightInd w:val="0"/>
                    <w:snapToGrid w:val="0"/>
                    <w:jc w:val="center"/>
                    <w:rPr>
                      <w:color w:val="auto"/>
                      <w:kern w:val="0"/>
                      <w:szCs w:val="20"/>
                      <w:highlight w:val="none"/>
                    </w:rPr>
                  </w:pPr>
                </w:p>
              </w:tc>
            </w:tr>
            <w:tr w14:paraId="7A05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 w:type="pct"/>
                  <w:tcBorders>
                    <w:tl2br w:val="nil"/>
                    <w:tr2bl w:val="nil"/>
                  </w:tcBorders>
                  <w:vAlign w:val="center"/>
                </w:tcPr>
                <w:p w14:paraId="022501F1">
                  <w:pPr>
                    <w:adjustRightInd w:val="0"/>
                    <w:snapToGrid w:val="0"/>
                    <w:jc w:val="center"/>
                    <w:rPr>
                      <w:bCs/>
                      <w:color w:val="auto"/>
                      <w:spacing w:val="-10"/>
                      <w:szCs w:val="21"/>
                      <w:highlight w:val="none"/>
                    </w:rPr>
                  </w:pPr>
                  <w:r>
                    <w:rPr>
                      <w:bCs/>
                      <w:color w:val="auto"/>
                      <w:spacing w:val="-10"/>
                      <w:szCs w:val="21"/>
                      <w:highlight w:val="none"/>
                    </w:rPr>
                    <w:t>3</w:t>
                  </w:r>
                </w:p>
              </w:tc>
              <w:tc>
                <w:tcPr>
                  <w:tcW w:w="915" w:type="pct"/>
                  <w:tcBorders>
                    <w:tl2br w:val="nil"/>
                    <w:tr2bl w:val="nil"/>
                  </w:tcBorders>
                  <w:vAlign w:val="center"/>
                </w:tcPr>
                <w:p w14:paraId="64792EE7">
                  <w:pPr>
                    <w:adjustRightInd w:val="0"/>
                    <w:snapToGrid w:val="0"/>
                    <w:jc w:val="center"/>
                    <w:rPr>
                      <w:color w:val="auto"/>
                      <w:kern w:val="0"/>
                      <w:szCs w:val="20"/>
                      <w:highlight w:val="none"/>
                    </w:rPr>
                  </w:pPr>
                  <w:r>
                    <w:rPr>
                      <w:color w:val="auto"/>
                      <w:kern w:val="0"/>
                      <w:szCs w:val="20"/>
                      <w:highlight w:val="none"/>
                    </w:rPr>
                    <w:t>氮氧化物</w:t>
                  </w:r>
                </w:p>
              </w:tc>
              <w:tc>
                <w:tcPr>
                  <w:tcW w:w="1039" w:type="pct"/>
                  <w:tcBorders>
                    <w:tl2br w:val="nil"/>
                    <w:tr2bl w:val="nil"/>
                  </w:tcBorders>
                  <w:vAlign w:val="center"/>
                </w:tcPr>
                <w:p w14:paraId="1B49CFF7">
                  <w:pPr>
                    <w:adjustRightInd w:val="0"/>
                    <w:snapToGrid w:val="0"/>
                    <w:jc w:val="center"/>
                    <w:rPr>
                      <w:color w:val="auto"/>
                      <w:kern w:val="0"/>
                      <w:szCs w:val="20"/>
                      <w:highlight w:val="none"/>
                    </w:rPr>
                  </w:pPr>
                  <w:r>
                    <w:rPr>
                      <w:color w:val="auto"/>
                      <w:kern w:val="0"/>
                      <w:szCs w:val="20"/>
                      <w:highlight w:val="none"/>
                    </w:rPr>
                    <w:t>101.4</w:t>
                  </w:r>
                </w:p>
              </w:tc>
              <w:tc>
                <w:tcPr>
                  <w:tcW w:w="897" w:type="pct"/>
                  <w:tcBorders>
                    <w:tl2br w:val="nil"/>
                    <w:tr2bl w:val="nil"/>
                  </w:tcBorders>
                  <w:vAlign w:val="center"/>
                </w:tcPr>
                <w:p w14:paraId="2047C96B">
                  <w:pPr>
                    <w:adjustRightInd w:val="0"/>
                    <w:snapToGrid w:val="0"/>
                    <w:jc w:val="center"/>
                    <w:rPr>
                      <w:color w:val="auto"/>
                      <w:kern w:val="0"/>
                      <w:szCs w:val="20"/>
                      <w:highlight w:val="none"/>
                    </w:rPr>
                  </w:pPr>
                  <w:r>
                    <w:rPr>
                      <w:color w:val="auto"/>
                      <w:kern w:val="0"/>
                      <w:szCs w:val="20"/>
                      <w:highlight w:val="none"/>
                    </w:rPr>
                    <w:t>0.317</w:t>
                  </w:r>
                </w:p>
              </w:tc>
              <w:tc>
                <w:tcPr>
                  <w:tcW w:w="1633" w:type="pct"/>
                  <w:vMerge w:val="continue"/>
                  <w:tcBorders>
                    <w:tl2br w:val="nil"/>
                    <w:tr2bl w:val="nil"/>
                  </w:tcBorders>
                  <w:vAlign w:val="center"/>
                </w:tcPr>
                <w:p w14:paraId="1415FE3C">
                  <w:pPr>
                    <w:adjustRightInd w:val="0"/>
                    <w:snapToGrid w:val="0"/>
                    <w:jc w:val="center"/>
                    <w:rPr>
                      <w:color w:val="auto"/>
                      <w:kern w:val="0"/>
                      <w:szCs w:val="20"/>
                      <w:highlight w:val="none"/>
                    </w:rPr>
                  </w:pPr>
                </w:p>
              </w:tc>
            </w:tr>
            <w:tr w14:paraId="21C83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 w:type="pct"/>
                  <w:tcBorders>
                    <w:tl2br w:val="nil"/>
                    <w:tr2bl w:val="nil"/>
                  </w:tcBorders>
                  <w:vAlign w:val="center"/>
                </w:tcPr>
                <w:p w14:paraId="52F71BFF">
                  <w:pPr>
                    <w:adjustRightInd w:val="0"/>
                    <w:snapToGrid w:val="0"/>
                    <w:jc w:val="center"/>
                    <w:rPr>
                      <w:bCs/>
                      <w:color w:val="auto"/>
                      <w:spacing w:val="-10"/>
                      <w:szCs w:val="21"/>
                      <w:highlight w:val="none"/>
                    </w:rPr>
                  </w:pPr>
                  <w:r>
                    <w:rPr>
                      <w:bCs/>
                      <w:color w:val="auto"/>
                      <w:spacing w:val="-10"/>
                      <w:szCs w:val="21"/>
                      <w:highlight w:val="none"/>
                    </w:rPr>
                    <w:t>4</w:t>
                  </w:r>
                </w:p>
              </w:tc>
              <w:tc>
                <w:tcPr>
                  <w:tcW w:w="915" w:type="pct"/>
                  <w:tcBorders>
                    <w:tl2br w:val="nil"/>
                    <w:tr2bl w:val="nil"/>
                  </w:tcBorders>
                  <w:vAlign w:val="center"/>
                </w:tcPr>
                <w:p w14:paraId="533609CD">
                  <w:pPr>
                    <w:adjustRightInd w:val="0"/>
                    <w:snapToGrid w:val="0"/>
                    <w:jc w:val="center"/>
                    <w:rPr>
                      <w:color w:val="auto"/>
                      <w:kern w:val="0"/>
                      <w:szCs w:val="20"/>
                      <w:highlight w:val="none"/>
                    </w:rPr>
                  </w:pPr>
                  <w:r>
                    <w:rPr>
                      <w:color w:val="auto"/>
                      <w:kern w:val="0"/>
                      <w:szCs w:val="20"/>
                      <w:highlight w:val="none"/>
                    </w:rPr>
                    <w:t>一氧化碳</w:t>
                  </w:r>
                </w:p>
              </w:tc>
              <w:tc>
                <w:tcPr>
                  <w:tcW w:w="1039" w:type="pct"/>
                  <w:tcBorders>
                    <w:tl2br w:val="nil"/>
                    <w:tr2bl w:val="nil"/>
                  </w:tcBorders>
                  <w:vAlign w:val="center"/>
                </w:tcPr>
                <w:p w14:paraId="6B161920">
                  <w:pPr>
                    <w:adjustRightInd w:val="0"/>
                    <w:snapToGrid w:val="0"/>
                    <w:jc w:val="center"/>
                    <w:rPr>
                      <w:color w:val="auto"/>
                      <w:kern w:val="0"/>
                      <w:szCs w:val="20"/>
                      <w:highlight w:val="none"/>
                    </w:rPr>
                  </w:pPr>
                  <w:r>
                    <w:rPr>
                      <w:color w:val="auto"/>
                      <w:kern w:val="0"/>
                      <w:szCs w:val="20"/>
                      <w:highlight w:val="none"/>
                    </w:rPr>
                    <w:t>128</w:t>
                  </w:r>
                </w:p>
              </w:tc>
              <w:tc>
                <w:tcPr>
                  <w:tcW w:w="897" w:type="pct"/>
                  <w:tcBorders>
                    <w:tl2br w:val="nil"/>
                    <w:tr2bl w:val="nil"/>
                  </w:tcBorders>
                  <w:vAlign w:val="center"/>
                </w:tcPr>
                <w:p w14:paraId="3EC6BACC">
                  <w:pPr>
                    <w:adjustRightInd w:val="0"/>
                    <w:snapToGrid w:val="0"/>
                    <w:jc w:val="center"/>
                    <w:rPr>
                      <w:color w:val="auto"/>
                      <w:kern w:val="0"/>
                      <w:szCs w:val="20"/>
                      <w:highlight w:val="none"/>
                    </w:rPr>
                  </w:pPr>
                  <w:r>
                    <w:rPr>
                      <w:color w:val="auto"/>
                      <w:kern w:val="0"/>
                      <w:szCs w:val="20"/>
                      <w:highlight w:val="none"/>
                    </w:rPr>
                    <w:t>0.4</w:t>
                  </w:r>
                </w:p>
              </w:tc>
              <w:tc>
                <w:tcPr>
                  <w:tcW w:w="1633" w:type="pct"/>
                  <w:vMerge w:val="continue"/>
                  <w:tcBorders>
                    <w:tl2br w:val="nil"/>
                    <w:tr2bl w:val="nil"/>
                  </w:tcBorders>
                  <w:vAlign w:val="center"/>
                </w:tcPr>
                <w:p w14:paraId="738BB1D7">
                  <w:pPr>
                    <w:adjustRightInd w:val="0"/>
                    <w:snapToGrid w:val="0"/>
                    <w:jc w:val="center"/>
                    <w:rPr>
                      <w:color w:val="auto"/>
                      <w:kern w:val="0"/>
                      <w:szCs w:val="20"/>
                      <w:highlight w:val="none"/>
                    </w:rPr>
                  </w:pPr>
                </w:p>
              </w:tc>
            </w:tr>
            <w:tr w14:paraId="60CE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 w:type="pct"/>
                  <w:tcBorders>
                    <w:tl2br w:val="nil"/>
                    <w:tr2bl w:val="nil"/>
                  </w:tcBorders>
                  <w:vAlign w:val="center"/>
                </w:tcPr>
                <w:p w14:paraId="5A008C64">
                  <w:pPr>
                    <w:adjustRightInd w:val="0"/>
                    <w:snapToGrid w:val="0"/>
                    <w:jc w:val="center"/>
                    <w:rPr>
                      <w:bCs/>
                      <w:color w:val="auto"/>
                      <w:spacing w:val="-10"/>
                      <w:szCs w:val="21"/>
                      <w:highlight w:val="none"/>
                    </w:rPr>
                  </w:pPr>
                  <w:r>
                    <w:rPr>
                      <w:bCs/>
                      <w:color w:val="auto"/>
                      <w:spacing w:val="-10"/>
                      <w:szCs w:val="21"/>
                      <w:highlight w:val="none"/>
                    </w:rPr>
                    <w:t>5</w:t>
                  </w:r>
                </w:p>
              </w:tc>
              <w:tc>
                <w:tcPr>
                  <w:tcW w:w="915" w:type="pct"/>
                  <w:tcBorders>
                    <w:tl2br w:val="nil"/>
                    <w:tr2bl w:val="nil"/>
                  </w:tcBorders>
                  <w:shd w:val="clear" w:color="auto" w:fill="auto"/>
                  <w:vAlign w:val="center"/>
                </w:tcPr>
                <w:p w14:paraId="230E4F77">
                  <w:pPr>
                    <w:adjustRightInd w:val="0"/>
                    <w:snapToGrid w:val="0"/>
                    <w:jc w:val="center"/>
                    <w:rPr>
                      <w:color w:val="auto"/>
                      <w:kern w:val="0"/>
                      <w:szCs w:val="20"/>
                      <w:highlight w:val="none"/>
                    </w:rPr>
                  </w:pPr>
                  <w:r>
                    <w:rPr>
                      <w:color w:val="auto"/>
                      <w:kern w:val="0"/>
                      <w:szCs w:val="20"/>
                      <w:highlight w:val="none"/>
                    </w:rPr>
                    <w:t>氨</w:t>
                  </w:r>
                </w:p>
              </w:tc>
              <w:tc>
                <w:tcPr>
                  <w:tcW w:w="1039" w:type="pct"/>
                  <w:tcBorders>
                    <w:tl2br w:val="nil"/>
                    <w:tr2bl w:val="nil"/>
                  </w:tcBorders>
                  <w:shd w:val="clear" w:color="auto" w:fill="auto"/>
                  <w:vAlign w:val="center"/>
                </w:tcPr>
                <w:p w14:paraId="71430CC7">
                  <w:pPr>
                    <w:adjustRightInd w:val="0"/>
                    <w:snapToGrid w:val="0"/>
                    <w:jc w:val="center"/>
                    <w:rPr>
                      <w:color w:val="auto"/>
                      <w:kern w:val="0"/>
                      <w:szCs w:val="20"/>
                      <w:highlight w:val="none"/>
                    </w:rPr>
                  </w:pPr>
                  <w:r>
                    <w:rPr>
                      <w:color w:val="auto"/>
                      <w:kern w:val="0"/>
                      <w:szCs w:val="20"/>
                      <w:highlight w:val="none"/>
                    </w:rPr>
                    <w:t>0.3</w:t>
                  </w:r>
                </w:p>
              </w:tc>
              <w:tc>
                <w:tcPr>
                  <w:tcW w:w="897" w:type="pct"/>
                  <w:tcBorders>
                    <w:tl2br w:val="nil"/>
                    <w:tr2bl w:val="nil"/>
                  </w:tcBorders>
                  <w:shd w:val="clear" w:color="auto" w:fill="auto"/>
                  <w:vAlign w:val="center"/>
                </w:tcPr>
                <w:p w14:paraId="457706D2">
                  <w:pPr>
                    <w:adjustRightInd w:val="0"/>
                    <w:snapToGrid w:val="0"/>
                    <w:jc w:val="center"/>
                    <w:rPr>
                      <w:color w:val="auto"/>
                      <w:kern w:val="0"/>
                      <w:szCs w:val="20"/>
                      <w:highlight w:val="none"/>
                    </w:rPr>
                  </w:pPr>
                  <w:r>
                    <w:rPr>
                      <w:color w:val="auto"/>
                      <w:kern w:val="0"/>
                      <w:szCs w:val="20"/>
                      <w:highlight w:val="none"/>
                    </w:rPr>
                    <w:t>0.0009</w:t>
                  </w:r>
                </w:p>
              </w:tc>
              <w:tc>
                <w:tcPr>
                  <w:tcW w:w="1633" w:type="pct"/>
                  <w:vMerge w:val="continue"/>
                  <w:tcBorders>
                    <w:tl2br w:val="nil"/>
                    <w:tr2bl w:val="nil"/>
                  </w:tcBorders>
                  <w:shd w:val="clear" w:color="auto" w:fill="auto"/>
                  <w:vAlign w:val="center"/>
                </w:tcPr>
                <w:p w14:paraId="47745205">
                  <w:pPr>
                    <w:adjustRightInd w:val="0"/>
                    <w:snapToGrid w:val="0"/>
                    <w:jc w:val="center"/>
                    <w:rPr>
                      <w:color w:val="auto"/>
                      <w:kern w:val="0"/>
                      <w:szCs w:val="20"/>
                      <w:highlight w:val="none"/>
                    </w:rPr>
                  </w:pPr>
                </w:p>
              </w:tc>
            </w:tr>
            <w:tr w14:paraId="10E96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 w:type="pct"/>
                  <w:tcBorders>
                    <w:tl2br w:val="nil"/>
                    <w:tr2bl w:val="nil"/>
                  </w:tcBorders>
                  <w:shd w:val="clear" w:color="auto" w:fill="auto"/>
                  <w:vAlign w:val="center"/>
                </w:tcPr>
                <w:p w14:paraId="48AA5E07">
                  <w:pPr>
                    <w:adjustRightInd w:val="0"/>
                    <w:snapToGrid w:val="0"/>
                    <w:jc w:val="center"/>
                    <w:rPr>
                      <w:bCs/>
                      <w:color w:val="auto"/>
                      <w:spacing w:val="-10"/>
                      <w:szCs w:val="21"/>
                      <w:highlight w:val="none"/>
                    </w:rPr>
                  </w:pPr>
                  <w:r>
                    <w:rPr>
                      <w:bCs/>
                      <w:color w:val="auto"/>
                      <w:spacing w:val="-10"/>
                      <w:szCs w:val="21"/>
                      <w:highlight w:val="none"/>
                    </w:rPr>
                    <w:t>6</w:t>
                  </w:r>
                </w:p>
              </w:tc>
              <w:tc>
                <w:tcPr>
                  <w:tcW w:w="915" w:type="pct"/>
                  <w:tcBorders>
                    <w:tl2br w:val="nil"/>
                    <w:tr2bl w:val="nil"/>
                  </w:tcBorders>
                  <w:shd w:val="clear" w:color="auto" w:fill="auto"/>
                  <w:vAlign w:val="center"/>
                </w:tcPr>
                <w:p w14:paraId="7F264783">
                  <w:pPr>
                    <w:adjustRightInd w:val="0"/>
                    <w:snapToGrid w:val="0"/>
                    <w:jc w:val="center"/>
                    <w:rPr>
                      <w:color w:val="auto"/>
                      <w:kern w:val="0"/>
                      <w:szCs w:val="20"/>
                      <w:highlight w:val="none"/>
                    </w:rPr>
                  </w:pPr>
                  <w:r>
                    <w:rPr>
                      <w:color w:val="auto"/>
                      <w:kern w:val="0"/>
                      <w:szCs w:val="20"/>
                      <w:highlight w:val="none"/>
                    </w:rPr>
                    <w:t>硫化氢</w:t>
                  </w:r>
                </w:p>
              </w:tc>
              <w:tc>
                <w:tcPr>
                  <w:tcW w:w="1039" w:type="pct"/>
                  <w:tcBorders>
                    <w:tl2br w:val="nil"/>
                    <w:tr2bl w:val="nil"/>
                  </w:tcBorders>
                  <w:shd w:val="clear" w:color="auto" w:fill="auto"/>
                  <w:vAlign w:val="center"/>
                </w:tcPr>
                <w:p w14:paraId="4C550CAA">
                  <w:pPr>
                    <w:adjustRightInd w:val="0"/>
                    <w:snapToGrid w:val="0"/>
                    <w:jc w:val="center"/>
                    <w:rPr>
                      <w:bCs/>
                      <w:color w:val="auto"/>
                      <w:spacing w:val="-10"/>
                      <w:szCs w:val="21"/>
                      <w:highlight w:val="none"/>
                    </w:rPr>
                  </w:pPr>
                  <w:r>
                    <w:rPr>
                      <w:bCs/>
                      <w:color w:val="auto"/>
                      <w:spacing w:val="-10"/>
                      <w:szCs w:val="21"/>
                      <w:highlight w:val="none"/>
                    </w:rPr>
                    <w:t>1.8</w:t>
                  </w:r>
                </w:p>
              </w:tc>
              <w:tc>
                <w:tcPr>
                  <w:tcW w:w="897" w:type="pct"/>
                  <w:tcBorders>
                    <w:tl2br w:val="nil"/>
                    <w:tr2bl w:val="nil"/>
                  </w:tcBorders>
                  <w:shd w:val="clear" w:color="auto" w:fill="auto"/>
                  <w:vAlign w:val="center"/>
                </w:tcPr>
                <w:p w14:paraId="5BBCB77B">
                  <w:pPr>
                    <w:adjustRightInd w:val="0"/>
                    <w:snapToGrid w:val="0"/>
                    <w:jc w:val="center"/>
                    <w:rPr>
                      <w:color w:val="auto"/>
                      <w:kern w:val="0"/>
                      <w:szCs w:val="20"/>
                      <w:highlight w:val="none"/>
                    </w:rPr>
                  </w:pPr>
                  <w:r>
                    <w:rPr>
                      <w:color w:val="auto"/>
                      <w:kern w:val="0"/>
                      <w:szCs w:val="20"/>
                      <w:highlight w:val="none"/>
                    </w:rPr>
                    <w:t>0.006</w:t>
                  </w:r>
                </w:p>
              </w:tc>
              <w:tc>
                <w:tcPr>
                  <w:tcW w:w="1633" w:type="pct"/>
                  <w:vMerge w:val="continue"/>
                  <w:tcBorders>
                    <w:tl2br w:val="nil"/>
                    <w:tr2bl w:val="nil"/>
                  </w:tcBorders>
                  <w:shd w:val="clear" w:color="auto" w:fill="auto"/>
                  <w:vAlign w:val="center"/>
                </w:tcPr>
                <w:p w14:paraId="43140D2E">
                  <w:pPr>
                    <w:adjustRightInd w:val="0"/>
                    <w:snapToGrid w:val="0"/>
                    <w:jc w:val="center"/>
                    <w:rPr>
                      <w:color w:val="auto"/>
                      <w:kern w:val="0"/>
                      <w:szCs w:val="20"/>
                      <w:highlight w:val="none"/>
                    </w:rPr>
                  </w:pPr>
                </w:p>
              </w:tc>
            </w:tr>
            <w:tr w14:paraId="026C9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 w:type="pct"/>
                  <w:tcBorders>
                    <w:tl2br w:val="nil"/>
                    <w:tr2bl w:val="nil"/>
                  </w:tcBorders>
                  <w:shd w:val="clear" w:color="auto" w:fill="auto"/>
                  <w:vAlign w:val="center"/>
                </w:tcPr>
                <w:p w14:paraId="4FF753F3">
                  <w:pPr>
                    <w:adjustRightInd w:val="0"/>
                    <w:snapToGrid w:val="0"/>
                    <w:jc w:val="center"/>
                    <w:rPr>
                      <w:bCs/>
                      <w:color w:val="auto"/>
                      <w:spacing w:val="-10"/>
                      <w:szCs w:val="21"/>
                      <w:highlight w:val="none"/>
                    </w:rPr>
                  </w:pPr>
                  <w:r>
                    <w:rPr>
                      <w:bCs/>
                      <w:color w:val="auto"/>
                      <w:spacing w:val="-10"/>
                      <w:szCs w:val="21"/>
                      <w:highlight w:val="none"/>
                    </w:rPr>
                    <w:t>7</w:t>
                  </w:r>
                </w:p>
              </w:tc>
              <w:tc>
                <w:tcPr>
                  <w:tcW w:w="915" w:type="pct"/>
                  <w:tcBorders>
                    <w:tl2br w:val="nil"/>
                    <w:tr2bl w:val="nil"/>
                  </w:tcBorders>
                  <w:shd w:val="clear" w:color="auto" w:fill="auto"/>
                  <w:vAlign w:val="center"/>
                </w:tcPr>
                <w:p w14:paraId="603F3F1B">
                  <w:pPr>
                    <w:adjustRightInd w:val="0"/>
                    <w:snapToGrid w:val="0"/>
                    <w:jc w:val="center"/>
                    <w:rPr>
                      <w:color w:val="auto"/>
                      <w:kern w:val="0"/>
                      <w:szCs w:val="20"/>
                      <w:highlight w:val="none"/>
                    </w:rPr>
                  </w:pPr>
                  <w:r>
                    <w:rPr>
                      <w:color w:val="auto"/>
                      <w:kern w:val="0"/>
                      <w:szCs w:val="20"/>
                      <w:highlight w:val="none"/>
                    </w:rPr>
                    <w:t>氯化氢</w:t>
                  </w:r>
                </w:p>
              </w:tc>
              <w:tc>
                <w:tcPr>
                  <w:tcW w:w="1039" w:type="pct"/>
                  <w:tcBorders>
                    <w:tl2br w:val="nil"/>
                    <w:tr2bl w:val="nil"/>
                  </w:tcBorders>
                  <w:shd w:val="clear" w:color="auto" w:fill="auto"/>
                  <w:vAlign w:val="center"/>
                </w:tcPr>
                <w:p w14:paraId="3C66E8AC">
                  <w:pPr>
                    <w:adjustRightInd w:val="0"/>
                    <w:snapToGrid w:val="0"/>
                    <w:jc w:val="center"/>
                    <w:rPr>
                      <w:color w:val="auto"/>
                      <w:kern w:val="0"/>
                      <w:szCs w:val="20"/>
                      <w:highlight w:val="none"/>
                    </w:rPr>
                  </w:pPr>
                  <w:r>
                    <w:rPr>
                      <w:color w:val="auto"/>
                      <w:kern w:val="0"/>
                      <w:szCs w:val="20"/>
                      <w:highlight w:val="none"/>
                    </w:rPr>
                    <w:t>25.52</w:t>
                  </w:r>
                </w:p>
              </w:tc>
              <w:tc>
                <w:tcPr>
                  <w:tcW w:w="897" w:type="pct"/>
                  <w:tcBorders>
                    <w:tl2br w:val="nil"/>
                    <w:tr2bl w:val="nil"/>
                  </w:tcBorders>
                  <w:shd w:val="clear" w:color="auto" w:fill="auto"/>
                  <w:vAlign w:val="center"/>
                </w:tcPr>
                <w:p w14:paraId="00EC9184">
                  <w:pPr>
                    <w:adjustRightInd w:val="0"/>
                    <w:snapToGrid w:val="0"/>
                    <w:jc w:val="center"/>
                    <w:rPr>
                      <w:color w:val="auto"/>
                      <w:kern w:val="0"/>
                      <w:szCs w:val="20"/>
                      <w:highlight w:val="none"/>
                    </w:rPr>
                  </w:pPr>
                  <w:r>
                    <w:rPr>
                      <w:color w:val="auto"/>
                      <w:kern w:val="0"/>
                      <w:szCs w:val="20"/>
                      <w:highlight w:val="none"/>
                    </w:rPr>
                    <w:t>0.225</w:t>
                  </w:r>
                </w:p>
              </w:tc>
              <w:tc>
                <w:tcPr>
                  <w:tcW w:w="1633" w:type="pct"/>
                  <w:vMerge w:val="restart"/>
                  <w:tcBorders>
                    <w:tl2br w:val="nil"/>
                    <w:tr2bl w:val="nil"/>
                  </w:tcBorders>
                  <w:shd w:val="clear" w:color="auto" w:fill="auto"/>
                  <w:vAlign w:val="center"/>
                </w:tcPr>
                <w:p w14:paraId="2D5A8E89">
                  <w:pPr>
                    <w:adjustRightInd w:val="0"/>
                    <w:snapToGrid w:val="0"/>
                    <w:jc w:val="center"/>
                    <w:rPr>
                      <w:color w:val="auto"/>
                      <w:kern w:val="0"/>
                      <w:szCs w:val="20"/>
                      <w:highlight w:val="none"/>
                    </w:rPr>
                  </w:pPr>
                  <w:r>
                    <w:rPr>
                      <w:color w:val="auto"/>
                      <w:kern w:val="0"/>
                      <w:szCs w:val="20"/>
                      <w:highlight w:val="none"/>
                    </w:rPr>
                    <w:t>《我国燃油式火化机的大气污染物排放特征》</w:t>
                  </w:r>
                </w:p>
              </w:tc>
            </w:tr>
            <w:tr w14:paraId="5E4C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 w:type="pct"/>
                  <w:tcBorders>
                    <w:tl2br w:val="nil"/>
                    <w:tr2bl w:val="nil"/>
                  </w:tcBorders>
                  <w:shd w:val="clear" w:color="auto" w:fill="auto"/>
                  <w:vAlign w:val="center"/>
                </w:tcPr>
                <w:p w14:paraId="7E4058F3">
                  <w:pPr>
                    <w:adjustRightInd w:val="0"/>
                    <w:snapToGrid w:val="0"/>
                    <w:jc w:val="center"/>
                    <w:rPr>
                      <w:bCs/>
                      <w:color w:val="auto"/>
                      <w:spacing w:val="-10"/>
                      <w:szCs w:val="21"/>
                      <w:highlight w:val="none"/>
                    </w:rPr>
                  </w:pPr>
                  <w:r>
                    <w:rPr>
                      <w:bCs/>
                      <w:color w:val="auto"/>
                      <w:spacing w:val="-10"/>
                      <w:szCs w:val="21"/>
                      <w:highlight w:val="none"/>
                    </w:rPr>
                    <w:t>8</w:t>
                  </w:r>
                </w:p>
              </w:tc>
              <w:tc>
                <w:tcPr>
                  <w:tcW w:w="915" w:type="pct"/>
                  <w:tcBorders>
                    <w:tl2br w:val="nil"/>
                    <w:tr2bl w:val="nil"/>
                  </w:tcBorders>
                  <w:vAlign w:val="center"/>
                </w:tcPr>
                <w:p w14:paraId="6AE8D3EC">
                  <w:pPr>
                    <w:adjustRightInd w:val="0"/>
                    <w:snapToGrid w:val="0"/>
                    <w:jc w:val="center"/>
                    <w:rPr>
                      <w:color w:val="auto"/>
                      <w:kern w:val="0"/>
                      <w:szCs w:val="20"/>
                      <w:highlight w:val="none"/>
                    </w:rPr>
                  </w:pPr>
                  <w:r>
                    <w:rPr>
                      <w:color w:val="auto"/>
                      <w:kern w:val="0"/>
                      <w:szCs w:val="20"/>
                      <w:highlight w:val="none"/>
                    </w:rPr>
                    <w:t>汞</w:t>
                  </w:r>
                </w:p>
              </w:tc>
              <w:tc>
                <w:tcPr>
                  <w:tcW w:w="1039" w:type="pct"/>
                  <w:tcBorders>
                    <w:tl2br w:val="nil"/>
                    <w:tr2bl w:val="nil"/>
                  </w:tcBorders>
                  <w:vAlign w:val="center"/>
                </w:tcPr>
                <w:p w14:paraId="28ED0A6C">
                  <w:pPr>
                    <w:adjustRightInd w:val="0"/>
                    <w:snapToGrid w:val="0"/>
                    <w:jc w:val="center"/>
                    <w:rPr>
                      <w:color w:val="auto"/>
                      <w:kern w:val="0"/>
                      <w:szCs w:val="20"/>
                      <w:highlight w:val="none"/>
                    </w:rPr>
                  </w:pPr>
                  <w:r>
                    <w:rPr>
                      <w:color w:val="auto"/>
                      <w:kern w:val="0"/>
                      <w:szCs w:val="20"/>
                      <w:highlight w:val="none"/>
                    </w:rPr>
                    <w:t>0.0591</w:t>
                  </w:r>
                </w:p>
              </w:tc>
              <w:tc>
                <w:tcPr>
                  <w:tcW w:w="897" w:type="pct"/>
                  <w:tcBorders>
                    <w:tl2br w:val="nil"/>
                    <w:tr2bl w:val="nil"/>
                  </w:tcBorders>
                  <w:vAlign w:val="center"/>
                </w:tcPr>
                <w:p w14:paraId="0778BF5D">
                  <w:pPr>
                    <w:adjustRightInd w:val="0"/>
                    <w:snapToGrid w:val="0"/>
                    <w:jc w:val="center"/>
                    <w:rPr>
                      <w:color w:val="auto"/>
                      <w:kern w:val="0"/>
                      <w:szCs w:val="20"/>
                      <w:highlight w:val="none"/>
                    </w:rPr>
                  </w:pPr>
                  <w:r>
                    <w:rPr>
                      <w:color w:val="auto"/>
                      <w:kern w:val="0"/>
                      <w:szCs w:val="20"/>
                      <w:highlight w:val="none"/>
                    </w:rPr>
                    <w:t>0.0018</w:t>
                  </w:r>
                </w:p>
              </w:tc>
              <w:tc>
                <w:tcPr>
                  <w:tcW w:w="1633" w:type="pct"/>
                  <w:vMerge w:val="continue"/>
                  <w:tcBorders>
                    <w:tl2br w:val="nil"/>
                    <w:tr2bl w:val="nil"/>
                  </w:tcBorders>
                  <w:vAlign w:val="center"/>
                </w:tcPr>
                <w:p w14:paraId="5FE80176">
                  <w:pPr>
                    <w:adjustRightInd w:val="0"/>
                    <w:snapToGrid w:val="0"/>
                    <w:jc w:val="center"/>
                    <w:rPr>
                      <w:color w:val="auto"/>
                      <w:kern w:val="0"/>
                      <w:szCs w:val="20"/>
                      <w:highlight w:val="none"/>
                    </w:rPr>
                  </w:pPr>
                </w:p>
              </w:tc>
            </w:tr>
            <w:tr w14:paraId="1C491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 w:type="pct"/>
                  <w:tcBorders>
                    <w:tl2br w:val="nil"/>
                    <w:tr2bl w:val="nil"/>
                  </w:tcBorders>
                  <w:shd w:val="clear" w:color="auto" w:fill="auto"/>
                  <w:vAlign w:val="center"/>
                </w:tcPr>
                <w:p w14:paraId="7F3FEC29">
                  <w:pPr>
                    <w:adjustRightInd w:val="0"/>
                    <w:snapToGrid w:val="0"/>
                    <w:jc w:val="center"/>
                    <w:rPr>
                      <w:bCs/>
                      <w:color w:val="auto"/>
                      <w:spacing w:val="-10"/>
                      <w:szCs w:val="21"/>
                      <w:highlight w:val="none"/>
                    </w:rPr>
                  </w:pPr>
                  <w:r>
                    <w:rPr>
                      <w:bCs/>
                      <w:color w:val="auto"/>
                      <w:spacing w:val="-10"/>
                      <w:szCs w:val="21"/>
                      <w:highlight w:val="none"/>
                    </w:rPr>
                    <w:t>9</w:t>
                  </w:r>
                </w:p>
              </w:tc>
              <w:tc>
                <w:tcPr>
                  <w:tcW w:w="915" w:type="pct"/>
                  <w:tcBorders>
                    <w:tl2br w:val="nil"/>
                    <w:tr2bl w:val="nil"/>
                  </w:tcBorders>
                  <w:vAlign w:val="center"/>
                </w:tcPr>
                <w:p w14:paraId="61DEE2A4">
                  <w:pPr>
                    <w:adjustRightInd w:val="0"/>
                    <w:snapToGrid w:val="0"/>
                    <w:jc w:val="center"/>
                    <w:rPr>
                      <w:color w:val="auto"/>
                      <w:kern w:val="0"/>
                      <w:szCs w:val="20"/>
                      <w:highlight w:val="none"/>
                    </w:rPr>
                  </w:pPr>
                  <w:r>
                    <w:rPr>
                      <w:color w:val="auto"/>
                      <w:kern w:val="0"/>
                      <w:szCs w:val="20"/>
                      <w:highlight w:val="none"/>
                    </w:rPr>
                    <w:t>二噁英</w:t>
                  </w:r>
                </w:p>
              </w:tc>
              <w:tc>
                <w:tcPr>
                  <w:tcW w:w="1039" w:type="pct"/>
                  <w:tcBorders>
                    <w:tl2br w:val="nil"/>
                    <w:tr2bl w:val="nil"/>
                  </w:tcBorders>
                  <w:vAlign w:val="center"/>
                </w:tcPr>
                <w:p w14:paraId="078A29C0">
                  <w:pPr>
                    <w:adjustRightInd w:val="0"/>
                    <w:snapToGrid w:val="0"/>
                    <w:jc w:val="center"/>
                    <w:rPr>
                      <w:rFonts w:hint="eastAsia" w:eastAsia="宋体"/>
                      <w:color w:val="auto"/>
                      <w:kern w:val="0"/>
                      <w:szCs w:val="20"/>
                      <w:highlight w:val="none"/>
                      <w:lang w:eastAsia="zh-CN"/>
                    </w:rPr>
                  </w:pPr>
                  <w:r>
                    <w:rPr>
                      <w:rFonts w:hint="eastAsia"/>
                      <w:color w:val="auto"/>
                      <w:kern w:val="0"/>
                      <w:szCs w:val="20"/>
                      <w:highlight w:val="none"/>
                    </w:rPr>
                    <w:t>4.1</w:t>
                  </w:r>
                  <w:r>
                    <w:rPr>
                      <w:color w:val="auto"/>
                      <w:kern w:val="0"/>
                      <w:szCs w:val="20"/>
                      <w:highlight w:val="none"/>
                    </w:rPr>
                    <w:t>ng-TEQ/</w:t>
                  </w:r>
                  <w:r>
                    <w:rPr>
                      <w:rFonts w:hint="eastAsia"/>
                      <w:color w:val="auto"/>
                      <w:kern w:val="0"/>
                      <w:szCs w:val="20"/>
                      <w:highlight w:val="none"/>
                      <w:vertAlign w:val="baseline"/>
                      <w:lang w:eastAsia="zh-CN"/>
                    </w:rPr>
                    <w:t>m</w:t>
                  </w:r>
                  <w:r>
                    <w:rPr>
                      <w:rFonts w:hint="eastAsia"/>
                      <w:color w:val="auto"/>
                      <w:kern w:val="0"/>
                      <w:szCs w:val="20"/>
                      <w:highlight w:val="none"/>
                      <w:vertAlign w:val="superscript"/>
                      <w:lang w:eastAsia="zh-CN"/>
                    </w:rPr>
                    <w:t>3</w:t>
                  </w:r>
                </w:p>
              </w:tc>
              <w:tc>
                <w:tcPr>
                  <w:tcW w:w="897" w:type="pct"/>
                  <w:tcBorders>
                    <w:tl2br w:val="nil"/>
                    <w:tr2bl w:val="nil"/>
                  </w:tcBorders>
                  <w:vAlign w:val="center"/>
                </w:tcPr>
                <w:p w14:paraId="55A9A4C6">
                  <w:pPr>
                    <w:adjustRightInd w:val="0"/>
                    <w:snapToGrid w:val="0"/>
                    <w:jc w:val="center"/>
                    <w:rPr>
                      <w:color w:val="auto"/>
                      <w:kern w:val="0"/>
                      <w:szCs w:val="20"/>
                      <w:highlight w:val="none"/>
                    </w:rPr>
                  </w:pPr>
                  <w:r>
                    <w:rPr>
                      <w:rFonts w:hint="eastAsia"/>
                      <w:color w:val="auto"/>
                      <w:kern w:val="0"/>
                      <w:szCs w:val="20"/>
                      <w:highlight w:val="none"/>
                    </w:rPr>
                    <w:t>14.1</w:t>
                  </w:r>
                  <w:r>
                    <w:rPr>
                      <w:color w:val="auto"/>
                      <w:kern w:val="0"/>
                      <w:szCs w:val="20"/>
                      <w:highlight w:val="none"/>
                    </w:rPr>
                    <w:t>ug/h</w:t>
                  </w:r>
                </w:p>
              </w:tc>
              <w:tc>
                <w:tcPr>
                  <w:tcW w:w="1633" w:type="pct"/>
                  <w:tcBorders>
                    <w:tl2br w:val="nil"/>
                    <w:tr2bl w:val="nil"/>
                  </w:tcBorders>
                  <w:vAlign w:val="center"/>
                </w:tcPr>
                <w:p w14:paraId="32872EEF">
                  <w:pPr>
                    <w:adjustRightInd w:val="0"/>
                    <w:snapToGrid w:val="0"/>
                    <w:jc w:val="center"/>
                    <w:rPr>
                      <w:color w:val="auto"/>
                      <w:kern w:val="0"/>
                      <w:szCs w:val="20"/>
                      <w:highlight w:val="none"/>
                    </w:rPr>
                  </w:pPr>
                  <w:r>
                    <w:rPr>
                      <w:color w:val="auto"/>
                      <w:kern w:val="0"/>
                      <w:szCs w:val="20"/>
                      <w:highlight w:val="none"/>
                    </w:rPr>
                    <w:t>《遗体火化二噁英排放调查与减排实践》</w:t>
                  </w:r>
                </w:p>
              </w:tc>
            </w:tr>
          </w:tbl>
          <w:p w14:paraId="4DC4AF39">
            <w:pPr>
              <w:spacing w:line="360" w:lineRule="auto"/>
              <w:jc w:val="center"/>
              <w:rPr>
                <w:b/>
                <w:color w:val="auto"/>
                <w:sz w:val="24"/>
                <w:highlight w:val="none"/>
              </w:rPr>
            </w:pPr>
            <w:r>
              <w:rPr>
                <w:b/>
                <w:color w:val="auto"/>
                <w:spacing w:val="-10"/>
                <w:sz w:val="24"/>
                <w:highlight w:val="none"/>
              </w:rPr>
              <w:t>表4-2 全年遗体火化污染物产生情况</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1"/>
              <w:gridCol w:w="2173"/>
              <w:gridCol w:w="2473"/>
              <w:gridCol w:w="1974"/>
            </w:tblGrid>
            <w:tr w14:paraId="7C72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8" w:type="pct"/>
                  <w:tcBorders>
                    <w:tl2br w:val="nil"/>
                    <w:tr2bl w:val="nil"/>
                  </w:tcBorders>
                  <w:vAlign w:val="center"/>
                </w:tcPr>
                <w:p w14:paraId="3731C9B4">
                  <w:pPr>
                    <w:adjustRightInd w:val="0"/>
                    <w:snapToGrid w:val="0"/>
                    <w:jc w:val="center"/>
                    <w:rPr>
                      <w:b/>
                      <w:color w:val="auto"/>
                      <w:spacing w:val="-10"/>
                      <w:szCs w:val="21"/>
                      <w:highlight w:val="none"/>
                    </w:rPr>
                  </w:pPr>
                  <w:r>
                    <w:rPr>
                      <w:b/>
                      <w:color w:val="auto"/>
                      <w:spacing w:val="-10"/>
                      <w:szCs w:val="21"/>
                      <w:highlight w:val="none"/>
                    </w:rPr>
                    <w:t>序号</w:t>
                  </w:r>
                </w:p>
              </w:tc>
              <w:tc>
                <w:tcPr>
                  <w:tcW w:w="1313" w:type="pct"/>
                  <w:tcBorders>
                    <w:tl2br w:val="nil"/>
                    <w:tr2bl w:val="nil"/>
                  </w:tcBorders>
                  <w:vAlign w:val="center"/>
                </w:tcPr>
                <w:p w14:paraId="7BBBE072">
                  <w:pPr>
                    <w:pStyle w:val="27"/>
                    <w:rPr>
                      <w:b/>
                      <w:bCs/>
                      <w:color w:val="auto"/>
                      <w:highlight w:val="none"/>
                    </w:rPr>
                  </w:pPr>
                  <w:r>
                    <w:rPr>
                      <w:b/>
                      <w:bCs/>
                      <w:color w:val="auto"/>
                      <w:highlight w:val="none"/>
                    </w:rPr>
                    <w:t>污染物名称</w:t>
                  </w:r>
                </w:p>
              </w:tc>
              <w:tc>
                <w:tcPr>
                  <w:tcW w:w="1494" w:type="pct"/>
                  <w:tcBorders>
                    <w:tl2br w:val="nil"/>
                    <w:tr2bl w:val="nil"/>
                  </w:tcBorders>
                  <w:vAlign w:val="center"/>
                </w:tcPr>
                <w:p w14:paraId="607BCA76">
                  <w:pPr>
                    <w:pStyle w:val="27"/>
                    <w:rPr>
                      <w:b/>
                      <w:bCs/>
                      <w:color w:val="auto"/>
                      <w:highlight w:val="none"/>
                    </w:rPr>
                  </w:pPr>
                  <w:r>
                    <w:rPr>
                      <w:b/>
                      <w:bCs/>
                      <w:color w:val="auto"/>
                      <w:highlight w:val="none"/>
                    </w:rPr>
                    <w:t>全年遗体火化时间</w:t>
                  </w:r>
                </w:p>
              </w:tc>
              <w:tc>
                <w:tcPr>
                  <w:tcW w:w="1193" w:type="pct"/>
                  <w:tcBorders>
                    <w:tl2br w:val="nil"/>
                    <w:tr2bl w:val="nil"/>
                  </w:tcBorders>
                  <w:vAlign w:val="center"/>
                </w:tcPr>
                <w:p w14:paraId="0D175413">
                  <w:pPr>
                    <w:adjustRightInd w:val="0"/>
                    <w:snapToGrid w:val="0"/>
                    <w:jc w:val="center"/>
                    <w:rPr>
                      <w:b/>
                      <w:color w:val="auto"/>
                      <w:spacing w:val="-10"/>
                      <w:szCs w:val="21"/>
                      <w:highlight w:val="none"/>
                    </w:rPr>
                  </w:pPr>
                  <w:r>
                    <w:rPr>
                      <w:b/>
                      <w:color w:val="auto"/>
                      <w:spacing w:val="-10"/>
                      <w:szCs w:val="21"/>
                      <w:highlight w:val="none"/>
                    </w:rPr>
                    <w:t>产生量（t/a）</w:t>
                  </w:r>
                </w:p>
              </w:tc>
            </w:tr>
            <w:tr w14:paraId="12D27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8" w:type="pct"/>
                  <w:tcBorders>
                    <w:tl2br w:val="nil"/>
                    <w:tr2bl w:val="nil"/>
                  </w:tcBorders>
                  <w:vAlign w:val="center"/>
                </w:tcPr>
                <w:p w14:paraId="585A026C">
                  <w:pPr>
                    <w:adjustRightInd w:val="0"/>
                    <w:snapToGrid w:val="0"/>
                    <w:jc w:val="center"/>
                    <w:rPr>
                      <w:bCs/>
                      <w:color w:val="auto"/>
                      <w:spacing w:val="-10"/>
                      <w:szCs w:val="21"/>
                      <w:highlight w:val="none"/>
                    </w:rPr>
                  </w:pPr>
                  <w:r>
                    <w:rPr>
                      <w:bCs/>
                      <w:color w:val="auto"/>
                      <w:spacing w:val="-10"/>
                      <w:szCs w:val="21"/>
                      <w:highlight w:val="none"/>
                    </w:rPr>
                    <w:t>1</w:t>
                  </w:r>
                </w:p>
              </w:tc>
              <w:tc>
                <w:tcPr>
                  <w:tcW w:w="2176" w:type="dxa"/>
                  <w:tcBorders>
                    <w:tl2br w:val="nil"/>
                    <w:tr2bl w:val="nil"/>
                  </w:tcBorders>
                  <w:vAlign w:val="center"/>
                </w:tcPr>
                <w:p w14:paraId="6330ADE8">
                  <w:pPr>
                    <w:adjustRightInd w:val="0"/>
                    <w:snapToGrid w:val="0"/>
                    <w:jc w:val="center"/>
                    <w:rPr>
                      <w:color w:val="auto"/>
                      <w:highlight w:val="none"/>
                    </w:rPr>
                  </w:pPr>
                  <w:r>
                    <w:rPr>
                      <w:color w:val="auto"/>
                      <w:kern w:val="0"/>
                      <w:szCs w:val="20"/>
                      <w:highlight w:val="none"/>
                    </w:rPr>
                    <w:t>烟尘</w:t>
                  </w:r>
                </w:p>
              </w:tc>
              <w:tc>
                <w:tcPr>
                  <w:tcW w:w="1494" w:type="pct"/>
                  <w:vMerge w:val="restart"/>
                  <w:tcBorders>
                    <w:tl2br w:val="nil"/>
                    <w:tr2bl w:val="nil"/>
                  </w:tcBorders>
                  <w:vAlign w:val="center"/>
                </w:tcPr>
                <w:p w14:paraId="4C96F69D">
                  <w:pPr>
                    <w:pStyle w:val="27"/>
                    <w:rPr>
                      <w:bCs/>
                      <w:color w:val="auto"/>
                      <w:spacing w:val="-10"/>
                      <w:szCs w:val="21"/>
                      <w:highlight w:val="none"/>
                    </w:rPr>
                  </w:pPr>
                  <w:r>
                    <w:rPr>
                      <w:color w:val="auto"/>
                      <w:highlight w:val="none"/>
                    </w:rPr>
                    <w:t>260h</w:t>
                  </w:r>
                </w:p>
              </w:tc>
              <w:tc>
                <w:tcPr>
                  <w:tcW w:w="1960" w:type="dxa"/>
                  <w:tcBorders>
                    <w:tl2br w:val="nil"/>
                    <w:tr2bl w:val="nil"/>
                  </w:tcBorders>
                  <w:vAlign w:val="center"/>
                </w:tcPr>
                <w:p w14:paraId="38051EE5">
                  <w:pPr>
                    <w:pStyle w:val="27"/>
                    <w:rPr>
                      <w:bCs/>
                      <w:color w:val="auto"/>
                      <w:spacing w:val="-10"/>
                      <w:szCs w:val="21"/>
                      <w:highlight w:val="none"/>
                    </w:rPr>
                  </w:pPr>
                  <w:r>
                    <w:rPr>
                      <w:color w:val="auto"/>
                      <w:highlight w:val="none"/>
                    </w:rPr>
                    <w:t>0.039</w:t>
                  </w:r>
                </w:p>
              </w:tc>
            </w:tr>
            <w:tr w14:paraId="2545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8" w:type="pct"/>
                  <w:tcBorders>
                    <w:tl2br w:val="nil"/>
                    <w:tr2bl w:val="nil"/>
                  </w:tcBorders>
                  <w:vAlign w:val="center"/>
                </w:tcPr>
                <w:p w14:paraId="01FE4E4C">
                  <w:pPr>
                    <w:adjustRightInd w:val="0"/>
                    <w:snapToGrid w:val="0"/>
                    <w:jc w:val="center"/>
                    <w:rPr>
                      <w:bCs/>
                      <w:color w:val="auto"/>
                      <w:spacing w:val="-10"/>
                      <w:szCs w:val="21"/>
                      <w:highlight w:val="none"/>
                    </w:rPr>
                  </w:pPr>
                  <w:r>
                    <w:rPr>
                      <w:bCs/>
                      <w:color w:val="auto"/>
                      <w:spacing w:val="-10"/>
                      <w:szCs w:val="21"/>
                      <w:highlight w:val="none"/>
                    </w:rPr>
                    <w:t>2</w:t>
                  </w:r>
                </w:p>
              </w:tc>
              <w:tc>
                <w:tcPr>
                  <w:tcW w:w="2176" w:type="dxa"/>
                  <w:tcBorders>
                    <w:tl2br w:val="nil"/>
                    <w:tr2bl w:val="nil"/>
                  </w:tcBorders>
                  <w:vAlign w:val="center"/>
                </w:tcPr>
                <w:p w14:paraId="0D78AD82">
                  <w:pPr>
                    <w:adjustRightInd w:val="0"/>
                    <w:snapToGrid w:val="0"/>
                    <w:jc w:val="center"/>
                    <w:rPr>
                      <w:color w:val="auto"/>
                      <w:highlight w:val="none"/>
                    </w:rPr>
                  </w:pPr>
                  <w:r>
                    <w:rPr>
                      <w:color w:val="auto"/>
                      <w:kern w:val="0"/>
                      <w:szCs w:val="20"/>
                      <w:highlight w:val="none"/>
                    </w:rPr>
                    <w:t>二氧化硫</w:t>
                  </w:r>
                </w:p>
              </w:tc>
              <w:tc>
                <w:tcPr>
                  <w:tcW w:w="1494" w:type="pct"/>
                  <w:vMerge w:val="continue"/>
                  <w:tcBorders>
                    <w:tl2br w:val="nil"/>
                    <w:tr2bl w:val="nil"/>
                  </w:tcBorders>
                  <w:vAlign w:val="center"/>
                </w:tcPr>
                <w:p w14:paraId="34649F85">
                  <w:pPr>
                    <w:adjustRightInd w:val="0"/>
                    <w:snapToGrid w:val="0"/>
                    <w:jc w:val="center"/>
                    <w:rPr>
                      <w:bCs/>
                      <w:color w:val="auto"/>
                      <w:spacing w:val="-10"/>
                      <w:szCs w:val="21"/>
                      <w:highlight w:val="none"/>
                    </w:rPr>
                  </w:pPr>
                </w:p>
              </w:tc>
              <w:tc>
                <w:tcPr>
                  <w:tcW w:w="1960" w:type="dxa"/>
                  <w:tcBorders>
                    <w:tl2br w:val="nil"/>
                    <w:tr2bl w:val="nil"/>
                  </w:tcBorders>
                  <w:vAlign w:val="center"/>
                </w:tcPr>
                <w:p w14:paraId="1D5F8DFD">
                  <w:pPr>
                    <w:pStyle w:val="27"/>
                    <w:rPr>
                      <w:bCs/>
                      <w:color w:val="auto"/>
                      <w:spacing w:val="-10"/>
                      <w:szCs w:val="21"/>
                      <w:highlight w:val="none"/>
                    </w:rPr>
                  </w:pPr>
                  <w:r>
                    <w:rPr>
                      <w:color w:val="auto"/>
                      <w:highlight w:val="none"/>
                    </w:rPr>
                    <w:t>0.009</w:t>
                  </w:r>
                </w:p>
              </w:tc>
            </w:tr>
            <w:tr w14:paraId="5697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8" w:type="pct"/>
                  <w:tcBorders>
                    <w:tl2br w:val="nil"/>
                    <w:tr2bl w:val="nil"/>
                  </w:tcBorders>
                  <w:vAlign w:val="center"/>
                </w:tcPr>
                <w:p w14:paraId="0D9676E6">
                  <w:pPr>
                    <w:adjustRightInd w:val="0"/>
                    <w:snapToGrid w:val="0"/>
                    <w:jc w:val="center"/>
                    <w:rPr>
                      <w:bCs/>
                      <w:color w:val="auto"/>
                      <w:spacing w:val="-10"/>
                      <w:szCs w:val="21"/>
                      <w:highlight w:val="none"/>
                    </w:rPr>
                  </w:pPr>
                  <w:r>
                    <w:rPr>
                      <w:bCs/>
                      <w:color w:val="auto"/>
                      <w:spacing w:val="-10"/>
                      <w:szCs w:val="21"/>
                      <w:highlight w:val="none"/>
                    </w:rPr>
                    <w:t>3</w:t>
                  </w:r>
                </w:p>
              </w:tc>
              <w:tc>
                <w:tcPr>
                  <w:tcW w:w="2176" w:type="dxa"/>
                  <w:tcBorders>
                    <w:tl2br w:val="nil"/>
                    <w:tr2bl w:val="nil"/>
                  </w:tcBorders>
                  <w:vAlign w:val="center"/>
                </w:tcPr>
                <w:p w14:paraId="20D3F2FA">
                  <w:pPr>
                    <w:adjustRightInd w:val="0"/>
                    <w:snapToGrid w:val="0"/>
                    <w:jc w:val="center"/>
                    <w:rPr>
                      <w:color w:val="auto"/>
                      <w:highlight w:val="none"/>
                    </w:rPr>
                  </w:pPr>
                  <w:r>
                    <w:rPr>
                      <w:color w:val="auto"/>
                      <w:kern w:val="0"/>
                      <w:szCs w:val="20"/>
                      <w:highlight w:val="none"/>
                    </w:rPr>
                    <w:t>氮氧化物</w:t>
                  </w:r>
                </w:p>
              </w:tc>
              <w:tc>
                <w:tcPr>
                  <w:tcW w:w="1494" w:type="pct"/>
                  <w:vMerge w:val="continue"/>
                  <w:tcBorders>
                    <w:tl2br w:val="nil"/>
                    <w:tr2bl w:val="nil"/>
                  </w:tcBorders>
                  <w:vAlign w:val="center"/>
                </w:tcPr>
                <w:p w14:paraId="7710DA01">
                  <w:pPr>
                    <w:adjustRightInd w:val="0"/>
                    <w:snapToGrid w:val="0"/>
                    <w:jc w:val="center"/>
                    <w:rPr>
                      <w:bCs/>
                      <w:color w:val="auto"/>
                      <w:spacing w:val="-10"/>
                      <w:szCs w:val="21"/>
                      <w:highlight w:val="none"/>
                    </w:rPr>
                  </w:pPr>
                </w:p>
              </w:tc>
              <w:tc>
                <w:tcPr>
                  <w:tcW w:w="1960" w:type="dxa"/>
                  <w:tcBorders>
                    <w:tl2br w:val="nil"/>
                    <w:tr2bl w:val="nil"/>
                  </w:tcBorders>
                  <w:vAlign w:val="center"/>
                </w:tcPr>
                <w:p w14:paraId="25447298">
                  <w:pPr>
                    <w:pStyle w:val="27"/>
                    <w:rPr>
                      <w:bCs/>
                      <w:color w:val="auto"/>
                      <w:spacing w:val="-10"/>
                      <w:szCs w:val="21"/>
                      <w:highlight w:val="none"/>
                    </w:rPr>
                  </w:pPr>
                  <w:r>
                    <w:rPr>
                      <w:color w:val="auto"/>
                      <w:highlight w:val="none"/>
                    </w:rPr>
                    <w:t>0.082</w:t>
                  </w:r>
                </w:p>
              </w:tc>
            </w:tr>
            <w:tr w14:paraId="262DF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8" w:type="pct"/>
                  <w:tcBorders>
                    <w:tl2br w:val="nil"/>
                    <w:tr2bl w:val="nil"/>
                  </w:tcBorders>
                  <w:vAlign w:val="center"/>
                </w:tcPr>
                <w:p w14:paraId="79B25F1A">
                  <w:pPr>
                    <w:adjustRightInd w:val="0"/>
                    <w:snapToGrid w:val="0"/>
                    <w:jc w:val="center"/>
                    <w:rPr>
                      <w:bCs/>
                      <w:color w:val="auto"/>
                      <w:spacing w:val="-10"/>
                      <w:szCs w:val="21"/>
                      <w:highlight w:val="none"/>
                    </w:rPr>
                  </w:pPr>
                  <w:r>
                    <w:rPr>
                      <w:bCs/>
                      <w:color w:val="auto"/>
                      <w:spacing w:val="-10"/>
                      <w:szCs w:val="21"/>
                      <w:highlight w:val="none"/>
                    </w:rPr>
                    <w:t>4</w:t>
                  </w:r>
                </w:p>
              </w:tc>
              <w:tc>
                <w:tcPr>
                  <w:tcW w:w="2176" w:type="dxa"/>
                  <w:tcBorders>
                    <w:tl2br w:val="nil"/>
                    <w:tr2bl w:val="nil"/>
                  </w:tcBorders>
                  <w:vAlign w:val="center"/>
                </w:tcPr>
                <w:p w14:paraId="3E18A346">
                  <w:pPr>
                    <w:adjustRightInd w:val="0"/>
                    <w:snapToGrid w:val="0"/>
                    <w:jc w:val="center"/>
                    <w:rPr>
                      <w:color w:val="auto"/>
                      <w:highlight w:val="none"/>
                    </w:rPr>
                  </w:pPr>
                  <w:r>
                    <w:rPr>
                      <w:color w:val="auto"/>
                      <w:kern w:val="0"/>
                      <w:szCs w:val="20"/>
                      <w:highlight w:val="none"/>
                    </w:rPr>
                    <w:t>一氧化碳</w:t>
                  </w:r>
                </w:p>
              </w:tc>
              <w:tc>
                <w:tcPr>
                  <w:tcW w:w="1494" w:type="pct"/>
                  <w:vMerge w:val="continue"/>
                  <w:tcBorders>
                    <w:tl2br w:val="nil"/>
                    <w:tr2bl w:val="nil"/>
                  </w:tcBorders>
                  <w:vAlign w:val="center"/>
                </w:tcPr>
                <w:p w14:paraId="3209240A">
                  <w:pPr>
                    <w:adjustRightInd w:val="0"/>
                    <w:snapToGrid w:val="0"/>
                    <w:jc w:val="center"/>
                    <w:rPr>
                      <w:bCs/>
                      <w:color w:val="auto"/>
                      <w:spacing w:val="-10"/>
                      <w:szCs w:val="21"/>
                      <w:highlight w:val="none"/>
                    </w:rPr>
                  </w:pPr>
                </w:p>
              </w:tc>
              <w:tc>
                <w:tcPr>
                  <w:tcW w:w="1960" w:type="dxa"/>
                  <w:tcBorders>
                    <w:tl2br w:val="nil"/>
                    <w:tr2bl w:val="nil"/>
                  </w:tcBorders>
                  <w:vAlign w:val="center"/>
                </w:tcPr>
                <w:p w14:paraId="73AF3AB1">
                  <w:pPr>
                    <w:pStyle w:val="27"/>
                    <w:rPr>
                      <w:bCs/>
                      <w:color w:val="auto"/>
                      <w:spacing w:val="-10"/>
                      <w:szCs w:val="21"/>
                      <w:highlight w:val="none"/>
                    </w:rPr>
                  </w:pPr>
                  <w:r>
                    <w:rPr>
                      <w:color w:val="auto"/>
                      <w:highlight w:val="none"/>
                    </w:rPr>
                    <w:t>0.104</w:t>
                  </w:r>
                </w:p>
              </w:tc>
            </w:tr>
            <w:tr w14:paraId="0DC03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8" w:type="pct"/>
                  <w:tcBorders>
                    <w:tl2br w:val="nil"/>
                    <w:tr2bl w:val="nil"/>
                  </w:tcBorders>
                  <w:vAlign w:val="center"/>
                </w:tcPr>
                <w:p w14:paraId="28C08389">
                  <w:pPr>
                    <w:adjustRightInd w:val="0"/>
                    <w:snapToGrid w:val="0"/>
                    <w:jc w:val="center"/>
                    <w:rPr>
                      <w:bCs/>
                      <w:color w:val="auto"/>
                      <w:spacing w:val="-10"/>
                      <w:szCs w:val="21"/>
                      <w:highlight w:val="none"/>
                    </w:rPr>
                  </w:pPr>
                  <w:r>
                    <w:rPr>
                      <w:bCs/>
                      <w:color w:val="auto"/>
                      <w:spacing w:val="-10"/>
                      <w:szCs w:val="21"/>
                      <w:highlight w:val="none"/>
                    </w:rPr>
                    <w:t>5</w:t>
                  </w:r>
                </w:p>
              </w:tc>
              <w:tc>
                <w:tcPr>
                  <w:tcW w:w="2176" w:type="dxa"/>
                  <w:tcBorders>
                    <w:tl2br w:val="nil"/>
                    <w:tr2bl w:val="nil"/>
                  </w:tcBorders>
                  <w:vAlign w:val="center"/>
                </w:tcPr>
                <w:p w14:paraId="503635AC">
                  <w:pPr>
                    <w:adjustRightInd w:val="0"/>
                    <w:snapToGrid w:val="0"/>
                    <w:jc w:val="center"/>
                    <w:rPr>
                      <w:color w:val="auto"/>
                      <w:highlight w:val="none"/>
                    </w:rPr>
                  </w:pPr>
                  <w:r>
                    <w:rPr>
                      <w:color w:val="auto"/>
                      <w:kern w:val="0"/>
                      <w:szCs w:val="20"/>
                      <w:highlight w:val="none"/>
                    </w:rPr>
                    <w:t>氨</w:t>
                  </w:r>
                </w:p>
              </w:tc>
              <w:tc>
                <w:tcPr>
                  <w:tcW w:w="1494" w:type="pct"/>
                  <w:vMerge w:val="continue"/>
                  <w:tcBorders>
                    <w:tl2br w:val="nil"/>
                    <w:tr2bl w:val="nil"/>
                  </w:tcBorders>
                  <w:vAlign w:val="center"/>
                </w:tcPr>
                <w:p w14:paraId="05CC7B0F">
                  <w:pPr>
                    <w:adjustRightInd w:val="0"/>
                    <w:snapToGrid w:val="0"/>
                    <w:jc w:val="center"/>
                    <w:rPr>
                      <w:bCs/>
                      <w:color w:val="auto"/>
                      <w:spacing w:val="-10"/>
                      <w:szCs w:val="21"/>
                      <w:highlight w:val="none"/>
                    </w:rPr>
                  </w:pPr>
                </w:p>
              </w:tc>
              <w:tc>
                <w:tcPr>
                  <w:tcW w:w="1960" w:type="dxa"/>
                  <w:tcBorders>
                    <w:tl2br w:val="nil"/>
                    <w:tr2bl w:val="nil"/>
                  </w:tcBorders>
                  <w:vAlign w:val="center"/>
                </w:tcPr>
                <w:p w14:paraId="40E2AE2C">
                  <w:pPr>
                    <w:pStyle w:val="27"/>
                    <w:rPr>
                      <w:bCs/>
                      <w:color w:val="auto"/>
                      <w:spacing w:val="-10"/>
                      <w:szCs w:val="21"/>
                      <w:highlight w:val="none"/>
                    </w:rPr>
                  </w:pPr>
                  <w:r>
                    <w:rPr>
                      <w:color w:val="auto"/>
                      <w:highlight w:val="none"/>
                    </w:rPr>
                    <w:t>0.0002</w:t>
                  </w:r>
                </w:p>
              </w:tc>
            </w:tr>
            <w:tr w14:paraId="50B4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8" w:type="pct"/>
                  <w:tcBorders>
                    <w:tl2br w:val="nil"/>
                    <w:tr2bl w:val="nil"/>
                  </w:tcBorders>
                  <w:vAlign w:val="center"/>
                </w:tcPr>
                <w:p w14:paraId="333C7D86">
                  <w:pPr>
                    <w:adjustRightInd w:val="0"/>
                    <w:snapToGrid w:val="0"/>
                    <w:jc w:val="center"/>
                    <w:rPr>
                      <w:bCs/>
                      <w:color w:val="auto"/>
                      <w:spacing w:val="-10"/>
                      <w:szCs w:val="21"/>
                      <w:highlight w:val="none"/>
                    </w:rPr>
                  </w:pPr>
                  <w:r>
                    <w:rPr>
                      <w:bCs/>
                      <w:color w:val="auto"/>
                      <w:spacing w:val="-10"/>
                      <w:szCs w:val="21"/>
                      <w:highlight w:val="none"/>
                    </w:rPr>
                    <w:t>6</w:t>
                  </w:r>
                </w:p>
              </w:tc>
              <w:tc>
                <w:tcPr>
                  <w:tcW w:w="2176" w:type="dxa"/>
                  <w:tcBorders>
                    <w:tl2br w:val="nil"/>
                    <w:tr2bl w:val="nil"/>
                  </w:tcBorders>
                  <w:vAlign w:val="center"/>
                </w:tcPr>
                <w:p w14:paraId="3E4DCC5E">
                  <w:pPr>
                    <w:adjustRightInd w:val="0"/>
                    <w:snapToGrid w:val="0"/>
                    <w:jc w:val="center"/>
                    <w:rPr>
                      <w:color w:val="auto"/>
                      <w:highlight w:val="none"/>
                    </w:rPr>
                  </w:pPr>
                  <w:r>
                    <w:rPr>
                      <w:color w:val="auto"/>
                      <w:kern w:val="0"/>
                      <w:szCs w:val="20"/>
                      <w:highlight w:val="none"/>
                    </w:rPr>
                    <w:t>硫化氢</w:t>
                  </w:r>
                </w:p>
              </w:tc>
              <w:tc>
                <w:tcPr>
                  <w:tcW w:w="1494" w:type="pct"/>
                  <w:vMerge w:val="continue"/>
                  <w:tcBorders>
                    <w:tl2br w:val="nil"/>
                    <w:tr2bl w:val="nil"/>
                  </w:tcBorders>
                  <w:vAlign w:val="center"/>
                </w:tcPr>
                <w:p w14:paraId="75995256">
                  <w:pPr>
                    <w:adjustRightInd w:val="0"/>
                    <w:snapToGrid w:val="0"/>
                    <w:jc w:val="center"/>
                    <w:rPr>
                      <w:bCs/>
                      <w:color w:val="auto"/>
                      <w:spacing w:val="-10"/>
                      <w:szCs w:val="21"/>
                      <w:highlight w:val="none"/>
                    </w:rPr>
                  </w:pPr>
                </w:p>
              </w:tc>
              <w:tc>
                <w:tcPr>
                  <w:tcW w:w="1960" w:type="dxa"/>
                  <w:tcBorders>
                    <w:tl2br w:val="nil"/>
                    <w:tr2bl w:val="nil"/>
                  </w:tcBorders>
                  <w:vAlign w:val="center"/>
                </w:tcPr>
                <w:p w14:paraId="2E037BAE">
                  <w:pPr>
                    <w:pStyle w:val="27"/>
                    <w:rPr>
                      <w:bCs/>
                      <w:color w:val="auto"/>
                      <w:spacing w:val="-10"/>
                      <w:szCs w:val="21"/>
                      <w:highlight w:val="none"/>
                    </w:rPr>
                  </w:pPr>
                  <w:r>
                    <w:rPr>
                      <w:color w:val="auto"/>
                      <w:highlight w:val="none"/>
                    </w:rPr>
                    <w:t>0.0016</w:t>
                  </w:r>
                </w:p>
              </w:tc>
            </w:tr>
            <w:tr w14:paraId="3A543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8" w:type="pct"/>
                  <w:tcBorders>
                    <w:tl2br w:val="nil"/>
                    <w:tr2bl w:val="nil"/>
                  </w:tcBorders>
                  <w:vAlign w:val="center"/>
                </w:tcPr>
                <w:p w14:paraId="1FC9C930">
                  <w:pPr>
                    <w:adjustRightInd w:val="0"/>
                    <w:snapToGrid w:val="0"/>
                    <w:jc w:val="center"/>
                    <w:rPr>
                      <w:bCs/>
                      <w:color w:val="auto"/>
                      <w:spacing w:val="-10"/>
                      <w:szCs w:val="21"/>
                      <w:highlight w:val="none"/>
                    </w:rPr>
                  </w:pPr>
                  <w:r>
                    <w:rPr>
                      <w:bCs/>
                      <w:color w:val="auto"/>
                      <w:spacing w:val="-10"/>
                      <w:szCs w:val="21"/>
                      <w:highlight w:val="none"/>
                    </w:rPr>
                    <w:t>7</w:t>
                  </w:r>
                </w:p>
              </w:tc>
              <w:tc>
                <w:tcPr>
                  <w:tcW w:w="2176" w:type="dxa"/>
                  <w:tcBorders>
                    <w:tl2br w:val="nil"/>
                    <w:tr2bl w:val="nil"/>
                  </w:tcBorders>
                  <w:vAlign w:val="center"/>
                </w:tcPr>
                <w:p w14:paraId="4E91EA59">
                  <w:pPr>
                    <w:adjustRightInd w:val="0"/>
                    <w:snapToGrid w:val="0"/>
                    <w:jc w:val="center"/>
                    <w:rPr>
                      <w:color w:val="auto"/>
                      <w:highlight w:val="none"/>
                    </w:rPr>
                  </w:pPr>
                  <w:r>
                    <w:rPr>
                      <w:color w:val="auto"/>
                      <w:kern w:val="0"/>
                      <w:szCs w:val="20"/>
                      <w:highlight w:val="none"/>
                    </w:rPr>
                    <w:t>氯化氢</w:t>
                  </w:r>
                </w:p>
              </w:tc>
              <w:tc>
                <w:tcPr>
                  <w:tcW w:w="1494" w:type="pct"/>
                  <w:vMerge w:val="continue"/>
                  <w:tcBorders>
                    <w:tl2br w:val="nil"/>
                    <w:tr2bl w:val="nil"/>
                  </w:tcBorders>
                  <w:vAlign w:val="center"/>
                </w:tcPr>
                <w:p w14:paraId="3AC3D09A">
                  <w:pPr>
                    <w:adjustRightInd w:val="0"/>
                    <w:snapToGrid w:val="0"/>
                    <w:jc w:val="center"/>
                    <w:rPr>
                      <w:bCs/>
                      <w:color w:val="auto"/>
                      <w:spacing w:val="-10"/>
                      <w:szCs w:val="21"/>
                      <w:highlight w:val="none"/>
                    </w:rPr>
                  </w:pPr>
                </w:p>
              </w:tc>
              <w:tc>
                <w:tcPr>
                  <w:tcW w:w="1976" w:type="dxa"/>
                  <w:tcBorders>
                    <w:tl2br w:val="nil"/>
                    <w:tr2bl w:val="nil"/>
                  </w:tcBorders>
                  <w:vAlign w:val="center"/>
                </w:tcPr>
                <w:p w14:paraId="0242D15A">
                  <w:pPr>
                    <w:pStyle w:val="27"/>
                    <w:rPr>
                      <w:bCs/>
                      <w:color w:val="auto"/>
                      <w:spacing w:val="-10"/>
                      <w:szCs w:val="21"/>
                      <w:highlight w:val="none"/>
                    </w:rPr>
                  </w:pPr>
                  <w:r>
                    <w:rPr>
                      <w:color w:val="auto"/>
                      <w:highlight w:val="none"/>
                    </w:rPr>
                    <w:t>0.059</w:t>
                  </w:r>
                </w:p>
              </w:tc>
            </w:tr>
            <w:tr w14:paraId="4AD08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8" w:type="pct"/>
                  <w:tcBorders>
                    <w:tl2br w:val="nil"/>
                    <w:tr2bl w:val="nil"/>
                  </w:tcBorders>
                  <w:vAlign w:val="center"/>
                </w:tcPr>
                <w:p w14:paraId="6AF5EA8B">
                  <w:pPr>
                    <w:adjustRightInd w:val="0"/>
                    <w:snapToGrid w:val="0"/>
                    <w:jc w:val="center"/>
                    <w:rPr>
                      <w:bCs/>
                      <w:color w:val="auto"/>
                      <w:spacing w:val="-10"/>
                      <w:szCs w:val="21"/>
                      <w:highlight w:val="none"/>
                    </w:rPr>
                  </w:pPr>
                  <w:r>
                    <w:rPr>
                      <w:bCs/>
                      <w:color w:val="auto"/>
                      <w:spacing w:val="-10"/>
                      <w:szCs w:val="21"/>
                      <w:highlight w:val="none"/>
                    </w:rPr>
                    <w:t>8</w:t>
                  </w:r>
                </w:p>
              </w:tc>
              <w:tc>
                <w:tcPr>
                  <w:tcW w:w="2176" w:type="dxa"/>
                  <w:tcBorders>
                    <w:tl2br w:val="nil"/>
                    <w:tr2bl w:val="nil"/>
                  </w:tcBorders>
                  <w:vAlign w:val="center"/>
                </w:tcPr>
                <w:p w14:paraId="00A622A1">
                  <w:pPr>
                    <w:adjustRightInd w:val="0"/>
                    <w:snapToGrid w:val="0"/>
                    <w:jc w:val="center"/>
                    <w:rPr>
                      <w:color w:val="auto"/>
                      <w:highlight w:val="none"/>
                    </w:rPr>
                  </w:pPr>
                  <w:r>
                    <w:rPr>
                      <w:color w:val="auto"/>
                      <w:kern w:val="0"/>
                      <w:szCs w:val="20"/>
                      <w:highlight w:val="none"/>
                    </w:rPr>
                    <w:t>汞</w:t>
                  </w:r>
                </w:p>
              </w:tc>
              <w:tc>
                <w:tcPr>
                  <w:tcW w:w="1494" w:type="pct"/>
                  <w:vMerge w:val="continue"/>
                  <w:tcBorders>
                    <w:tl2br w:val="nil"/>
                    <w:tr2bl w:val="nil"/>
                  </w:tcBorders>
                  <w:vAlign w:val="center"/>
                </w:tcPr>
                <w:p w14:paraId="77FFD88C">
                  <w:pPr>
                    <w:adjustRightInd w:val="0"/>
                    <w:snapToGrid w:val="0"/>
                    <w:jc w:val="center"/>
                    <w:rPr>
                      <w:bCs/>
                      <w:color w:val="auto"/>
                      <w:spacing w:val="-10"/>
                      <w:szCs w:val="21"/>
                      <w:highlight w:val="none"/>
                    </w:rPr>
                  </w:pPr>
                </w:p>
              </w:tc>
              <w:tc>
                <w:tcPr>
                  <w:tcW w:w="1960" w:type="dxa"/>
                  <w:tcBorders>
                    <w:tl2br w:val="nil"/>
                    <w:tr2bl w:val="nil"/>
                  </w:tcBorders>
                  <w:vAlign w:val="center"/>
                </w:tcPr>
                <w:p w14:paraId="1CC685D2">
                  <w:pPr>
                    <w:pStyle w:val="27"/>
                    <w:rPr>
                      <w:bCs/>
                      <w:color w:val="auto"/>
                      <w:spacing w:val="-10"/>
                      <w:szCs w:val="21"/>
                      <w:highlight w:val="none"/>
                    </w:rPr>
                  </w:pPr>
                  <w:r>
                    <w:rPr>
                      <w:color w:val="auto"/>
                      <w:highlight w:val="none"/>
                    </w:rPr>
                    <w:t>0.0005</w:t>
                  </w:r>
                </w:p>
              </w:tc>
            </w:tr>
            <w:tr w14:paraId="4B97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8" w:type="pct"/>
                  <w:tcBorders>
                    <w:tl2br w:val="nil"/>
                    <w:tr2bl w:val="nil"/>
                  </w:tcBorders>
                  <w:vAlign w:val="center"/>
                </w:tcPr>
                <w:p w14:paraId="35613A0C">
                  <w:pPr>
                    <w:adjustRightInd w:val="0"/>
                    <w:snapToGrid w:val="0"/>
                    <w:jc w:val="center"/>
                    <w:rPr>
                      <w:bCs/>
                      <w:color w:val="auto"/>
                      <w:spacing w:val="-10"/>
                      <w:szCs w:val="21"/>
                      <w:highlight w:val="none"/>
                    </w:rPr>
                  </w:pPr>
                  <w:r>
                    <w:rPr>
                      <w:bCs/>
                      <w:color w:val="auto"/>
                      <w:spacing w:val="-10"/>
                      <w:szCs w:val="21"/>
                      <w:highlight w:val="none"/>
                    </w:rPr>
                    <w:t>9</w:t>
                  </w:r>
                </w:p>
              </w:tc>
              <w:tc>
                <w:tcPr>
                  <w:tcW w:w="2176" w:type="dxa"/>
                  <w:tcBorders>
                    <w:tl2br w:val="nil"/>
                    <w:tr2bl w:val="nil"/>
                  </w:tcBorders>
                  <w:vAlign w:val="center"/>
                </w:tcPr>
                <w:p w14:paraId="3E6558B7">
                  <w:pPr>
                    <w:adjustRightInd w:val="0"/>
                    <w:snapToGrid w:val="0"/>
                    <w:jc w:val="center"/>
                    <w:rPr>
                      <w:color w:val="auto"/>
                      <w:highlight w:val="none"/>
                    </w:rPr>
                  </w:pPr>
                  <w:r>
                    <w:rPr>
                      <w:color w:val="auto"/>
                      <w:kern w:val="0"/>
                      <w:szCs w:val="20"/>
                      <w:highlight w:val="none"/>
                    </w:rPr>
                    <w:t>二噁英</w:t>
                  </w:r>
                </w:p>
              </w:tc>
              <w:tc>
                <w:tcPr>
                  <w:tcW w:w="1494" w:type="pct"/>
                  <w:vMerge w:val="continue"/>
                  <w:tcBorders>
                    <w:tl2br w:val="nil"/>
                    <w:tr2bl w:val="nil"/>
                  </w:tcBorders>
                  <w:vAlign w:val="center"/>
                </w:tcPr>
                <w:p w14:paraId="4EEDEB0E">
                  <w:pPr>
                    <w:adjustRightInd w:val="0"/>
                    <w:snapToGrid w:val="0"/>
                    <w:jc w:val="center"/>
                    <w:rPr>
                      <w:bCs/>
                      <w:color w:val="auto"/>
                      <w:spacing w:val="-10"/>
                      <w:szCs w:val="21"/>
                      <w:highlight w:val="none"/>
                    </w:rPr>
                  </w:pPr>
                </w:p>
              </w:tc>
              <w:tc>
                <w:tcPr>
                  <w:tcW w:w="1960" w:type="dxa"/>
                  <w:tcBorders>
                    <w:tl2br w:val="nil"/>
                    <w:tr2bl w:val="nil"/>
                  </w:tcBorders>
                  <w:vAlign w:val="center"/>
                </w:tcPr>
                <w:p w14:paraId="14410F54">
                  <w:pPr>
                    <w:pStyle w:val="27"/>
                    <w:rPr>
                      <w:bCs/>
                      <w:color w:val="auto"/>
                      <w:spacing w:val="-10"/>
                      <w:szCs w:val="21"/>
                      <w:highlight w:val="none"/>
                    </w:rPr>
                  </w:pPr>
                  <w:r>
                    <w:rPr>
                      <w:color w:val="auto"/>
                      <w:highlight w:val="none"/>
                    </w:rPr>
                    <w:t>3.67</w:t>
                  </w:r>
                  <w:r>
                    <w:rPr>
                      <w:rFonts w:hint="eastAsia"/>
                      <w:color w:val="auto"/>
                      <w:highlight w:val="none"/>
                      <w:lang w:eastAsia="zh-CN"/>
                    </w:rPr>
                    <w:t>m</w:t>
                  </w:r>
                  <w:r>
                    <w:rPr>
                      <w:color w:val="auto"/>
                      <w:highlight w:val="none"/>
                    </w:rPr>
                    <w:t>g/a</w:t>
                  </w:r>
                </w:p>
              </w:tc>
            </w:tr>
          </w:tbl>
          <w:p w14:paraId="16E1D5E7">
            <w:pPr>
              <w:spacing w:line="360" w:lineRule="auto"/>
              <w:ind w:firstLine="480" w:firstLineChars="200"/>
              <w:rPr>
                <w:bCs/>
                <w:color w:val="auto"/>
                <w:sz w:val="24"/>
                <w:highlight w:val="none"/>
              </w:rPr>
            </w:pPr>
            <w:r>
              <w:rPr>
                <w:rFonts w:hint="eastAsia"/>
                <w:bCs/>
                <w:color w:val="auto"/>
                <w:sz w:val="24"/>
                <w:highlight w:val="none"/>
              </w:rPr>
              <w:t>本项目</w:t>
            </w:r>
            <w:r>
              <w:rPr>
                <w:bCs/>
                <w:color w:val="auto"/>
                <w:sz w:val="24"/>
                <w:highlight w:val="none"/>
              </w:rPr>
              <w:t>火化机产生的烟气经过</w:t>
            </w:r>
            <w:r>
              <w:rPr>
                <w:rFonts w:hint="eastAsia"/>
                <w:bCs/>
                <w:color w:val="auto"/>
                <w:sz w:val="24"/>
                <w:highlight w:val="none"/>
                <w:lang w:eastAsia="zh-CN"/>
              </w:rPr>
              <w:t>“</w:t>
            </w:r>
            <w:r>
              <w:rPr>
                <w:rFonts w:hint="eastAsia"/>
                <w:bCs/>
                <w:color w:val="auto"/>
                <w:sz w:val="24"/>
                <w:highlight w:val="none"/>
              </w:rPr>
              <w:t>烟气急冷系统+消石灰+</w:t>
            </w:r>
            <w:r>
              <w:rPr>
                <w:rFonts w:hint="eastAsia"/>
                <w:bCs/>
                <w:color w:val="auto"/>
                <w:sz w:val="24"/>
                <w:highlight w:val="none"/>
                <w:lang w:eastAsia="zh-CN"/>
              </w:rPr>
              <w:t>旋风除尘器</w:t>
            </w:r>
            <w:r>
              <w:rPr>
                <w:bCs/>
                <w:color w:val="auto"/>
                <w:sz w:val="24"/>
                <w:highlight w:val="none"/>
              </w:rPr>
              <w:t>+</w:t>
            </w:r>
            <w:r>
              <w:rPr>
                <w:rFonts w:hint="eastAsia"/>
                <w:bCs/>
                <w:color w:val="auto"/>
                <w:sz w:val="24"/>
                <w:highlight w:val="none"/>
                <w:lang w:eastAsia="zh-CN"/>
              </w:rPr>
              <w:t>活性炭喷射装置+布袋除尘器”</w:t>
            </w:r>
            <w:r>
              <w:rPr>
                <w:bCs/>
                <w:color w:val="auto"/>
                <w:sz w:val="24"/>
                <w:highlight w:val="none"/>
              </w:rPr>
              <w:t>处理后，由1</w:t>
            </w:r>
            <w:r>
              <w:rPr>
                <w:rFonts w:hint="eastAsia"/>
                <w:bCs/>
                <w:color w:val="auto"/>
                <w:sz w:val="24"/>
                <w:highlight w:val="none"/>
              </w:rPr>
              <w:t>2</w:t>
            </w:r>
            <w:r>
              <w:rPr>
                <w:rFonts w:hint="eastAsia"/>
                <w:bCs/>
                <w:color w:val="auto"/>
                <w:sz w:val="24"/>
                <w:highlight w:val="none"/>
                <w:lang w:eastAsia="zh-CN"/>
              </w:rPr>
              <w:t>m</w:t>
            </w:r>
            <w:r>
              <w:rPr>
                <w:bCs/>
                <w:color w:val="auto"/>
                <w:sz w:val="24"/>
                <w:highlight w:val="none"/>
              </w:rPr>
              <w:t>高</w:t>
            </w:r>
            <w:r>
              <w:rPr>
                <w:rFonts w:hint="eastAsia"/>
                <w:bCs/>
                <w:color w:val="auto"/>
                <w:sz w:val="24"/>
                <w:highlight w:val="none"/>
              </w:rPr>
              <w:t>烟囱</w:t>
            </w:r>
            <w:r>
              <w:rPr>
                <w:bCs/>
                <w:color w:val="auto"/>
                <w:sz w:val="24"/>
                <w:highlight w:val="none"/>
              </w:rPr>
              <w:t>排放。</w:t>
            </w:r>
            <w:r>
              <w:rPr>
                <w:rFonts w:hint="eastAsia"/>
                <w:bCs/>
                <w:color w:val="auto"/>
                <w:sz w:val="24"/>
                <w:highlight w:val="none"/>
              </w:rPr>
              <w:t>各污染物去除效率综合考虑企业提供的设计参数、《火葬场大气污染物排放标准（征求意见稿）编制说明》、类比同类型火化机以及处理方式的火化场数据。</w:t>
            </w:r>
          </w:p>
          <w:p w14:paraId="33837BB8">
            <w:pPr>
              <w:spacing w:line="360" w:lineRule="auto"/>
              <w:ind w:firstLine="480" w:firstLineChars="200"/>
              <w:rPr>
                <w:bCs/>
                <w:color w:val="auto"/>
                <w:sz w:val="24"/>
                <w:highlight w:val="none"/>
              </w:rPr>
            </w:pPr>
            <w:r>
              <w:rPr>
                <w:rFonts w:hint="eastAsia"/>
                <w:bCs/>
                <w:color w:val="auto"/>
                <w:sz w:val="24"/>
                <w:highlight w:val="none"/>
              </w:rPr>
              <w:t>综上，本项目火化机废气产排污情况见下表。</w:t>
            </w:r>
          </w:p>
          <w:p w14:paraId="51AC5359">
            <w:pPr>
              <w:spacing w:line="360" w:lineRule="auto"/>
              <w:jc w:val="center"/>
              <w:rPr>
                <w:b/>
                <w:color w:val="auto"/>
                <w:sz w:val="24"/>
                <w:highlight w:val="none"/>
              </w:rPr>
            </w:pPr>
            <w:r>
              <w:rPr>
                <w:b/>
                <w:color w:val="auto"/>
                <w:sz w:val="24"/>
                <w:highlight w:val="none"/>
              </w:rPr>
              <w:t>表</w:t>
            </w:r>
            <w:r>
              <w:rPr>
                <w:rFonts w:hint="eastAsia"/>
                <w:b/>
                <w:color w:val="auto"/>
                <w:sz w:val="24"/>
                <w:highlight w:val="none"/>
              </w:rPr>
              <w:t>4</w:t>
            </w:r>
            <w:r>
              <w:rPr>
                <w:b/>
                <w:color w:val="auto"/>
                <w:sz w:val="24"/>
                <w:highlight w:val="none"/>
              </w:rPr>
              <w:t>-</w:t>
            </w:r>
            <w:r>
              <w:rPr>
                <w:rFonts w:hint="eastAsia"/>
                <w:b/>
                <w:color w:val="auto"/>
                <w:sz w:val="24"/>
                <w:highlight w:val="none"/>
              </w:rPr>
              <w:t>3</w:t>
            </w:r>
            <w:r>
              <w:rPr>
                <w:rFonts w:hint="eastAsia"/>
                <w:b/>
                <w:color w:val="auto"/>
                <w:sz w:val="24"/>
                <w:highlight w:val="none"/>
                <w:lang w:val="en-US" w:eastAsia="zh-CN"/>
              </w:rPr>
              <w:t xml:space="preserve"> </w:t>
            </w:r>
            <w:r>
              <w:rPr>
                <w:b/>
                <w:color w:val="auto"/>
                <w:sz w:val="24"/>
                <w:highlight w:val="none"/>
              </w:rPr>
              <w:t>火化</w:t>
            </w:r>
            <w:r>
              <w:rPr>
                <w:rFonts w:hint="eastAsia"/>
                <w:b/>
                <w:color w:val="auto"/>
                <w:sz w:val="24"/>
                <w:highlight w:val="none"/>
              </w:rPr>
              <w:t>机</w:t>
            </w:r>
            <w:r>
              <w:rPr>
                <w:b/>
                <w:color w:val="auto"/>
                <w:sz w:val="24"/>
                <w:highlight w:val="none"/>
              </w:rPr>
              <w:t>废气产排污情况一览表</w:t>
            </w:r>
          </w:p>
          <w:tbl>
            <w:tblPr>
              <w:tblStyle w:val="20"/>
              <w:tblW w:w="8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51"/>
              <w:gridCol w:w="978"/>
              <w:gridCol w:w="539"/>
              <w:gridCol w:w="844"/>
              <w:gridCol w:w="750"/>
              <w:gridCol w:w="792"/>
              <w:gridCol w:w="788"/>
              <w:gridCol w:w="630"/>
              <w:gridCol w:w="743"/>
              <w:gridCol w:w="908"/>
              <w:gridCol w:w="861"/>
            </w:tblGrid>
            <w:tr w14:paraId="1B84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1" w:type="dxa"/>
                  <w:vMerge w:val="restart"/>
                  <w:tcBorders>
                    <w:tl2br w:val="nil"/>
                    <w:tr2bl w:val="nil"/>
                  </w:tcBorders>
                  <w:vAlign w:val="center"/>
                </w:tcPr>
                <w:p w14:paraId="54DBCE19">
                  <w:pPr>
                    <w:jc w:val="center"/>
                    <w:rPr>
                      <w:b/>
                      <w:color w:val="auto"/>
                      <w:szCs w:val="21"/>
                      <w:highlight w:val="none"/>
                    </w:rPr>
                  </w:pPr>
                  <w:r>
                    <w:rPr>
                      <w:b/>
                      <w:color w:val="auto"/>
                      <w:szCs w:val="21"/>
                      <w:highlight w:val="none"/>
                    </w:rPr>
                    <w:t>产污</w:t>
                  </w:r>
                </w:p>
                <w:p w14:paraId="0E866FDF">
                  <w:pPr>
                    <w:jc w:val="center"/>
                    <w:rPr>
                      <w:b/>
                      <w:color w:val="auto"/>
                      <w:szCs w:val="21"/>
                      <w:highlight w:val="none"/>
                    </w:rPr>
                  </w:pPr>
                  <w:r>
                    <w:rPr>
                      <w:b/>
                      <w:color w:val="auto"/>
                      <w:szCs w:val="21"/>
                      <w:highlight w:val="none"/>
                    </w:rPr>
                    <w:t>环节</w:t>
                  </w:r>
                </w:p>
              </w:tc>
              <w:tc>
                <w:tcPr>
                  <w:tcW w:w="978" w:type="dxa"/>
                  <w:vMerge w:val="restart"/>
                  <w:tcBorders>
                    <w:tl2br w:val="nil"/>
                    <w:tr2bl w:val="nil"/>
                  </w:tcBorders>
                  <w:vAlign w:val="center"/>
                </w:tcPr>
                <w:p w14:paraId="518DFFB5">
                  <w:pPr>
                    <w:jc w:val="center"/>
                    <w:rPr>
                      <w:b/>
                      <w:color w:val="auto"/>
                      <w:szCs w:val="21"/>
                      <w:highlight w:val="none"/>
                    </w:rPr>
                  </w:pPr>
                  <w:r>
                    <w:rPr>
                      <w:b/>
                      <w:color w:val="auto"/>
                      <w:szCs w:val="21"/>
                      <w:highlight w:val="none"/>
                    </w:rPr>
                    <w:t>污染因子</w:t>
                  </w:r>
                </w:p>
              </w:tc>
              <w:tc>
                <w:tcPr>
                  <w:tcW w:w="539" w:type="dxa"/>
                  <w:vMerge w:val="restart"/>
                  <w:tcBorders>
                    <w:tl2br w:val="nil"/>
                    <w:tr2bl w:val="nil"/>
                  </w:tcBorders>
                  <w:vAlign w:val="center"/>
                </w:tcPr>
                <w:p w14:paraId="6E64B54E">
                  <w:pPr>
                    <w:jc w:val="center"/>
                    <w:rPr>
                      <w:b/>
                      <w:color w:val="auto"/>
                      <w:szCs w:val="21"/>
                      <w:highlight w:val="none"/>
                    </w:rPr>
                  </w:pPr>
                  <w:r>
                    <w:rPr>
                      <w:b/>
                      <w:color w:val="auto"/>
                      <w:szCs w:val="21"/>
                      <w:highlight w:val="none"/>
                    </w:rPr>
                    <w:t>排放</w:t>
                  </w:r>
                </w:p>
                <w:p w14:paraId="730531D0">
                  <w:pPr>
                    <w:adjustRightInd w:val="0"/>
                    <w:snapToGrid w:val="0"/>
                    <w:jc w:val="center"/>
                    <w:rPr>
                      <w:b/>
                      <w:color w:val="auto"/>
                      <w:szCs w:val="21"/>
                      <w:highlight w:val="none"/>
                    </w:rPr>
                  </w:pPr>
                  <w:r>
                    <w:rPr>
                      <w:b/>
                      <w:color w:val="auto"/>
                      <w:szCs w:val="21"/>
                      <w:highlight w:val="none"/>
                    </w:rPr>
                    <w:t>形式</w:t>
                  </w:r>
                </w:p>
              </w:tc>
              <w:tc>
                <w:tcPr>
                  <w:tcW w:w="2386" w:type="dxa"/>
                  <w:gridSpan w:val="3"/>
                  <w:tcBorders>
                    <w:tl2br w:val="nil"/>
                    <w:tr2bl w:val="nil"/>
                  </w:tcBorders>
                  <w:vAlign w:val="center"/>
                </w:tcPr>
                <w:p w14:paraId="1B515B8D">
                  <w:pPr>
                    <w:jc w:val="center"/>
                    <w:rPr>
                      <w:b/>
                      <w:color w:val="auto"/>
                      <w:szCs w:val="21"/>
                      <w:highlight w:val="none"/>
                    </w:rPr>
                  </w:pPr>
                  <w:r>
                    <w:rPr>
                      <w:b/>
                      <w:color w:val="auto"/>
                      <w:szCs w:val="21"/>
                      <w:highlight w:val="none"/>
                    </w:rPr>
                    <w:t>产生情况</w:t>
                  </w:r>
                </w:p>
              </w:tc>
              <w:tc>
                <w:tcPr>
                  <w:tcW w:w="788" w:type="dxa"/>
                  <w:vMerge w:val="restart"/>
                  <w:tcBorders>
                    <w:tl2br w:val="nil"/>
                    <w:tr2bl w:val="nil"/>
                  </w:tcBorders>
                  <w:vAlign w:val="center"/>
                </w:tcPr>
                <w:p w14:paraId="49B96E42">
                  <w:pPr>
                    <w:jc w:val="center"/>
                    <w:rPr>
                      <w:b/>
                      <w:color w:val="auto"/>
                      <w:szCs w:val="21"/>
                      <w:highlight w:val="none"/>
                    </w:rPr>
                  </w:pPr>
                  <w:r>
                    <w:rPr>
                      <w:b/>
                      <w:color w:val="auto"/>
                      <w:szCs w:val="21"/>
                      <w:highlight w:val="none"/>
                    </w:rPr>
                    <w:t>防治</w:t>
                  </w:r>
                </w:p>
                <w:p w14:paraId="0EA21690">
                  <w:pPr>
                    <w:spacing w:line="0" w:lineRule="atLeast"/>
                    <w:jc w:val="center"/>
                    <w:rPr>
                      <w:b/>
                      <w:color w:val="auto"/>
                      <w:szCs w:val="21"/>
                      <w:highlight w:val="none"/>
                    </w:rPr>
                  </w:pPr>
                  <w:r>
                    <w:rPr>
                      <w:b/>
                      <w:color w:val="auto"/>
                      <w:szCs w:val="21"/>
                      <w:highlight w:val="none"/>
                    </w:rPr>
                    <w:t>措施</w:t>
                  </w:r>
                </w:p>
              </w:tc>
              <w:tc>
                <w:tcPr>
                  <w:tcW w:w="630" w:type="dxa"/>
                  <w:vMerge w:val="restart"/>
                  <w:tcBorders>
                    <w:tl2br w:val="nil"/>
                    <w:tr2bl w:val="nil"/>
                  </w:tcBorders>
                  <w:vAlign w:val="center"/>
                </w:tcPr>
                <w:p w14:paraId="7D86D0BE">
                  <w:pPr>
                    <w:jc w:val="center"/>
                    <w:rPr>
                      <w:b/>
                      <w:color w:val="auto"/>
                      <w:szCs w:val="21"/>
                      <w:highlight w:val="none"/>
                    </w:rPr>
                  </w:pPr>
                  <w:r>
                    <w:rPr>
                      <w:b/>
                      <w:color w:val="auto"/>
                      <w:szCs w:val="21"/>
                      <w:highlight w:val="none"/>
                    </w:rPr>
                    <w:t>去除</w:t>
                  </w:r>
                </w:p>
                <w:p w14:paraId="17F927AB">
                  <w:pPr>
                    <w:jc w:val="center"/>
                    <w:rPr>
                      <w:b/>
                      <w:color w:val="auto"/>
                      <w:szCs w:val="21"/>
                      <w:highlight w:val="none"/>
                    </w:rPr>
                  </w:pPr>
                  <w:r>
                    <w:rPr>
                      <w:b/>
                      <w:color w:val="auto"/>
                      <w:szCs w:val="21"/>
                      <w:highlight w:val="none"/>
                    </w:rPr>
                    <w:t>效率（％）</w:t>
                  </w:r>
                </w:p>
              </w:tc>
              <w:tc>
                <w:tcPr>
                  <w:tcW w:w="2512" w:type="dxa"/>
                  <w:gridSpan w:val="3"/>
                  <w:tcBorders>
                    <w:tl2br w:val="nil"/>
                    <w:tr2bl w:val="nil"/>
                  </w:tcBorders>
                  <w:vAlign w:val="center"/>
                </w:tcPr>
                <w:p w14:paraId="54638D50">
                  <w:pPr>
                    <w:jc w:val="center"/>
                    <w:rPr>
                      <w:b/>
                      <w:color w:val="auto"/>
                      <w:szCs w:val="21"/>
                      <w:highlight w:val="none"/>
                    </w:rPr>
                  </w:pPr>
                  <w:r>
                    <w:rPr>
                      <w:b/>
                      <w:color w:val="auto"/>
                      <w:szCs w:val="21"/>
                      <w:highlight w:val="none"/>
                    </w:rPr>
                    <w:t>排放情况</w:t>
                  </w:r>
                </w:p>
              </w:tc>
            </w:tr>
            <w:tr w14:paraId="445E2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1" w:type="dxa"/>
                  <w:vMerge w:val="continue"/>
                  <w:tcBorders>
                    <w:tl2br w:val="nil"/>
                    <w:tr2bl w:val="nil"/>
                  </w:tcBorders>
                  <w:vAlign w:val="center"/>
                </w:tcPr>
                <w:p w14:paraId="06E550F9">
                  <w:pPr>
                    <w:jc w:val="center"/>
                    <w:rPr>
                      <w:b/>
                      <w:color w:val="auto"/>
                      <w:szCs w:val="21"/>
                      <w:highlight w:val="none"/>
                    </w:rPr>
                  </w:pPr>
                </w:p>
              </w:tc>
              <w:tc>
                <w:tcPr>
                  <w:tcW w:w="978" w:type="dxa"/>
                  <w:vMerge w:val="continue"/>
                  <w:tcBorders>
                    <w:tl2br w:val="nil"/>
                    <w:tr2bl w:val="nil"/>
                  </w:tcBorders>
                  <w:vAlign w:val="center"/>
                </w:tcPr>
                <w:p w14:paraId="097BE6B1">
                  <w:pPr>
                    <w:jc w:val="center"/>
                    <w:rPr>
                      <w:b/>
                      <w:color w:val="auto"/>
                      <w:szCs w:val="21"/>
                      <w:highlight w:val="none"/>
                    </w:rPr>
                  </w:pPr>
                </w:p>
              </w:tc>
              <w:tc>
                <w:tcPr>
                  <w:tcW w:w="539" w:type="dxa"/>
                  <w:vMerge w:val="continue"/>
                  <w:tcBorders>
                    <w:tl2br w:val="nil"/>
                    <w:tr2bl w:val="nil"/>
                  </w:tcBorders>
                  <w:vAlign w:val="center"/>
                </w:tcPr>
                <w:p w14:paraId="76C076BD">
                  <w:pPr>
                    <w:jc w:val="center"/>
                    <w:rPr>
                      <w:b/>
                      <w:color w:val="auto"/>
                      <w:szCs w:val="21"/>
                      <w:highlight w:val="none"/>
                    </w:rPr>
                  </w:pPr>
                </w:p>
              </w:tc>
              <w:tc>
                <w:tcPr>
                  <w:tcW w:w="844" w:type="dxa"/>
                  <w:tcBorders>
                    <w:tl2br w:val="nil"/>
                    <w:tr2bl w:val="nil"/>
                  </w:tcBorders>
                  <w:vAlign w:val="center"/>
                </w:tcPr>
                <w:p w14:paraId="0A28BDBE">
                  <w:pPr>
                    <w:jc w:val="center"/>
                    <w:rPr>
                      <w:b/>
                      <w:color w:val="auto"/>
                      <w:szCs w:val="21"/>
                      <w:highlight w:val="none"/>
                    </w:rPr>
                  </w:pPr>
                  <w:r>
                    <w:rPr>
                      <w:b/>
                      <w:color w:val="auto"/>
                      <w:szCs w:val="21"/>
                      <w:highlight w:val="none"/>
                    </w:rPr>
                    <w:t>浓度</w:t>
                  </w:r>
                  <w:r>
                    <w:rPr>
                      <w:b/>
                      <w:color w:val="auto"/>
                      <w:spacing w:val="-10"/>
                      <w:szCs w:val="21"/>
                      <w:highlight w:val="none"/>
                    </w:rPr>
                    <w:t>（</w:t>
                  </w:r>
                  <w:r>
                    <w:rPr>
                      <w:rFonts w:hint="eastAsia"/>
                      <w:b/>
                      <w:color w:val="auto"/>
                      <w:spacing w:val="-10"/>
                      <w:szCs w:val="21"/>
                      <w:highlight w:val="none"/>
                      <w:lang w:eastAsia="zh-CN"/>
                    </w:rPr>
                    <w:t>m</w:t>
                  </w:r>
                  <w:r>
                    <w:rPr>
                      <w:b/>
                      <w:color w:val="auto"/>
                      <w:spacing w:val="-10"/>
                      <w:szCs w:val="21"/>
                      <w:highlight w:val="none"/>
                    </w:rPr>
                    <w:t>g/</w:t>
                  </w:r>
                  <w:r>
                    <w:rPr>
                      <w:rFonts w:hint="eastAsia"/>
                      <w:b/>
                      <w:color w:val="auto"/>
                      <w:spacing w:val="-10"/>
                      <w:szCs w:val="21"/>
                      <w:highlight w:val="none"/>
                      <w:vertAlign w:val="baseline"/>
                      <w:lang w:eastAsia="zh-CN"/>
                    </w:rPr>
                    <w:t>m</w:t>
                  </w:r>
                  <w:r>
                    <w:rPr>
                      <w:rFonts w:hint="eastAsia"/>
                      <w:b/>
                      <w:color w:val="auto"/>
                      <w:spacing w:val="-10"/>
                      <w:szCs w:val="21"/>
                      <w:highlight w:val="none"/>
                      <w:vertAlign w:val="superscript"/>
                      <w:lang w:eastAsia="zh-CN"/>
                    </w:rPr>
                    <w:t>3</w:t>
                  </w:r>
                  <w:r>
                    <w:rPr>
                      <w:b/>
                      <w:color w:val="auto"/>
                      <w:spacing w:val="-10"/>
                      <w:szCs w:val="21"/>
                      <w:highlight w:val="none"/>
                    </w:rPr>
                    <w:t>）</w:t>
                  </w:r>
                </w:p>
              </w:tc>
              <w:tc>
                <w:tcPr>
                  <w:tcW w:w="750" w:type="dxa"/>
                  <w:tcBorders>
                    <w:tl2br w:val="nil"/>
                    <w:tr2bl w:val="nil"/>
                  </w:tcBorders>
                  <w:vAlign w:val="center"/>
                </w:tcPr>
                <w:p w14:paraId="36BC9D6A">
                  <w:pPr>
                    <w:jc w:val="center"/>
                    <w:rPr>
                      <w:b/>
                      <w:color w:val="auto"/>
                      <w:szCs w:val="21"/>
                      <w:highlight w:val="none"/>
                    </w:rPr>
                  </w:pPr>
                  <w:r>
                    <w:rPr>
                      <w:b/>
                      <w:color w:val="auto"/>
                      <w:szCs w:val="21"/>
                      <w:highlight w:val="none"/>
                    </w:rPr>
                    <w:t>速率</w:t>
                  </w:r>
                  <w:r>
                    <w:rPr>
                      <w:b/>
                      <w:color w:val="auto"/>
                      <w:spacing w:val="-10"/>
                      <w:szCs w:val="21"/>
                      <w:highlight w:val="none"/>
                    </w:rPr>
                    <w:t>（kg/h）</w:t>
                  </w:r>
                </w:p>
              </w:tc>
              <w:tc>
                <w:tcPr>
                  <w:tcW w:w="792" w:type="dxa"/>
                  <w:tcBorders>
                    <w:tl2br w:val="nil"/>
                    <w:tr2bl w:val="nil"/>
                  </w:tcBorders>
                  <w:vAlign w:val="center"/>
                </w:tcPr>
                <w:p w14:paraId="32DC77F4">
                  <w:pPr>
                    <w:jc w:val="center"/>
                    <w:rPr>
                      <w:b/>
                      <w:color w:val="auto"/>
                      <w:szCs w:val="21"/>
                      <w:highlight w:val="none"/>
                    </w:rPr>
                  </w:pPr>
                  <w:r>
                    <w:rPr>
                      <w:b/>
                      <w:color w:val="auto"/>
                      <w:szCs w:val="21"/>
                      <w:highlight w:val="none"/>
                    </w:rPr>
                    <w:t>产生量（t/a）</w:t>
                  </w:r>
                </w:p>
              </w:tc>
              <w:tc>
                <w:tcPr>
                  <w:tcW w:w="788" w:type="dxa"/>
                  <w:vMerge w:val="continue"/>
                  <w:tcBorders>
                    <w:tl2br w:val="nil"/>
                    <w:tr2bl w:val="nil"/>
                  </w:tcBorders>
                  <w:vAlign w:val="center"/>
                </w:tcPr>
                <w:p w14:paraId="57FE48E6">
                  <w:pPr>
                    <w:jc w:val="center"/>
                    <w:rPr>
                      <w:b/>
                      <w:color w:val="auto"/>
                      <w:szCs w:val="21"/>
                      <w:highlight w:val="none"/>
                    </w:rPr>
                  </w:pPr>
                </w:p>
              </w:tc>
              <w:tc>
                <w:tcPr>
                  <w:tcW w:w="630" w:type="dxa"/>
                  <w:vMerge w:val="continue"/>
                  <w:tcBorders>
                    <w:tl2br w:val="nil"/>
                    <w:tr2bl w:val="nil"/>
                  </w:tcBorders>
                  <w:vAlign w:val="center"/>
                </w:tcPr>
                <w:p w14:paraId="1EDFB5EA">
                  <w:pPr>
                    <w:jc w:val="center"/>
                    <w:rPr>
                      <w:b/>
                      <w:color w:val="auto"/>
                      <w:szCs w:val="21"/>
                      <w:highlight w:val="none"/>
                    </w:rPr>
                  </w:pPr>
                </w:p>
              </w:tc>
              <w:tc>
                <w:tcPr>
                  <w:tcW w:w="743" w:type="dxa"/>
                  <w:tcBorders>
                    <w:tl2br w:val="nil"/>
                    <w:tr2bl w:val="nil"/>
                  </w:tcBorders>
                  <w:vAlign w:val="center"/>
                </w:tcPr>
                <w:p w14:paraId="7234C8A3">
                  <w:pPr>
                    <w:jc w:val="center"/>
                    <w:rPr>
                      <w:b/>
                      <w:color w:val="auto"/>
                      <w:szCs w:val="21"/>
                      <w:highlight w:val="none"/>
                    </w:rPr>
                  </w:pPr>
                  <w:r>
                    <w:rPr>
                      <w:b/>
                      <w:color w:val="auto"/>
                      <w:szCs w:val="21"/>
                      <w:highlight w:val="none"/>
                    </w:rPr>
                    <w:t>排放量（t/a）</w:t>
                  </w:r>
                </w:p>
              </w:tc>
              <w:tc>
                <w:tcPr>
                  <w:tcW w:w="908" w:type="dxa"/>
                  <w:tcBorders>
                    <w:tl2br w:val="nil"/>
                    <w:tr2bl w:val="nil"/>
                  </w:tcBorders>
                  <w:vAlign w:val="center"/>
                </w:tcPr>
                <w:p w14:paraId="3BE114B2">
                  <w:pPr>
                    <w:jc w:val="center"/>
                    <w:rPr>
                      <w:b/>
                      <w:color w:val="auto"/>
                      <w:szCs w:val="21"/>
                      <w:highlight w:val="none"/>
                    </w:rPr>
                  </w:pPr>
                  <w:r>
                    <w:rPr>
                      <w:b/>
                      <w:color w:val="auto"/>
                      <w:szCs w:val="21"/>
                      <w:highlight w:val="none"/>
                    </w:rPr>
                    <w:t>浓度（</w:t>
                  </w:r>
                  <w:r>
                    <w:rPr>
                      <w:rFonts w:hint="eastAsia"/>
                      <w:b/>
                      <w:color w:val="auto"/>
                      <w:szCs w:val="21"/>
                      <w:highlight w:val="none"/>
                      <w:lang w:eastAsia="zh-CN"/>
                    </w:rPr>
                    <w:t>m</w:t>
                  </w:r>
                  <w:r>
                    <w:rPr>
                      <w:b/>
                      <w:color w:val="auto"/>
                      <w:szCs w:val="21"/>
                      <w:highlight w:val="none"/>
                    </w:rPr>
                    <w:t>g/</w:t>
                  </w:r>
                  <w:r>
                    <w:rPr>
                      <w:rFonts w:hint="eastAsia"/>
                      <w:b/>
                      <w:color w:val="auto"/>
                      <w:szCs w:val="21"/>
                      <w:highlight w:val="none"/>
                      <w:vertAlign w:val="baseline"/>
                      <w:lang w:eastAsia="zh-CN"/>
                    </w:rPr>
                    <w:t>m</w:t>
                  </w:r>
                  <w:r>
                    <w:rPr>
                      <w:rFonts w:hint="eastAsia"/>
                      <w:b/>
                      <w:color w:val="auto"/>
                      <w:szCs w:val="21"/>
                      <w:highlight w:val="none"/>
                      <w:vertAlign w:val="superscript"/>
                      <w:lang w:eastAsia="zh-CN"/>
                    </w:rPr>
                    <w:t>3</w:t>
                  </w:r>
                  <w:r>
                    <w:rPr>
                      <w:b/>
                      <w:color w:val="auto"/>
                      <w:szCs w:val="21"/>
                      <w:highlight w:val="none"/>
                    </w:rPr>
                    <w:t>）</w:t>
                  </w:r>
                </w:p>
              </w:tc>
              <w:tc>
                <w:tcPr>
                  <w:tcW w:w="861" w:type="dxa"/>
                  <w:tcBorders>
                    <w:tl2br w:val="nil"/>
                    <w:tr2bl w:val="nil"/>
                  </w:tcBorders>
                  <w:vAlign w:val="center"/>
                </w:tcPr>
                <w:p w14:paraId="041701BD">
                  <w:pPr>
                    <w:jc w:val="center"/>
                    <w:rPr>
                      <w:b/>
                      <w:color w:val="auto"/>
                      <w:szCs w:val="21"/>
                      <w:highlight w:val="none"/>
                    </w:rPr>
                  </w:pPr>
                  <w:r>
                    <w:rPr>
                      <w:b/>
                      <w:color w:val="auto"/>
                      <w:szCs w:val="21"/>
                      <w:highlight w:val="none"/>
                    </w:rPr>
                    <w:t>速率（kg/h）</w:t>
                  </w:r>
                </w:p>
              </w:tc>
            </w:tr>
            <w:tr w14:paraId="1042E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1" w:type="dxa"/>
                  <w:vMerge w:val="restart"/>
                  <w:tcBorders>
                    <w:tl2br w:val="nil"/>
                    <w:tr2bl w:val="nil"/>
                  </w:tcBorders>
                  <w:vAlign w:val="center"/>
                </w:tcPr>
                <w:p w14:paraId="65132B5B">
                  <w:pPr>
                    <w:spacing w:line="0" w:lineRule="atLeast"/>
                    <w:jc w:val="center"/>
                    <w:rPr>
                      <w:bCs/>
                      <w:color w:val="auto"/>
                      <w:szCs w:val="21"/>
                      <w:highlight w:val="none"/>
                    </w:rPr>
                  </w:pPr>
                  <w:r>
                    <w:rPr>
                      <w:bCs/>
                      <w:color w:val="auto"/>
                      <w:szCs w:val="21"/>
                      <w:highlight w:val="none"/>
                    </w:rPr>
                    <w:t>火化机</w:t>
                  </w:r>
                </w:p>
              </w:tc>
              <w:tc>
                <w:tcPr>
                  <w:tcW w:w="978" w:type="dxa"/>
                  <w:tcBorders>
                    <w:tl2br w:val="nil"/>
                    <w:tr2bl w:val="nil"/>
                  </w:tcBorders>
                  <w:vAlign w:val="center"/>
                </w:tcPr>
                <w:p w14:paraId="1E5600BB">
                  <w:pPr>
                    <w:adjustRightInd w:val="0"/>
                    <w:snapToGrid w:val="0"/>
                    <w:jc w:val="center"/>
                    <w:rPr>
                      <w:bCs/>
                      <w:color w:val="auto"/>
                      <w:szCs w:val="21"/>
                      <w:highlight w:val="none"/>
                    </w:rPr>
                  </w:pPr>
                  <w:r>
                    <w:rPr>
                      <w:bCs/>
                      <w:color w:val="auto"/>
                      <w:spacing w:val="-10"/>
                      <w:szCs w:val="21"/>
                      <w:highlight w:val="none"/>
                    </w:rPr>
                    <w:t>烟尘</w:t>
                  </w:r>
                </w:p>
              </w:tc>
              <w:tc>
                <w:tcPr>
                  <w:tcW w:w="539" w:type="dxa"/>
                  <w:vMerge w:val="restart"/>
                  <w:tcBorders>
                    <w:tl2br w:val="nil"/>
                    <w:tr2bl w:val="nil"/>
                  </w:tcBorders>
                  <w:vAlign w:val="center"/>
                </w:tcPr>
                <w:p w14:paraId="6867C154">
                  <w:pPr>
                    <w:adjustRightInd w:val="0"/>
                    <w:snapToGrid w:val="0"/>
                    <w:jc w:val="center"/>
                    <w:rPr>
                      <w:rFonts w:hint="eastAsia" w:eastAsia="宋体"/>
                      <w:bCs/>
                      <w:color w:val="auto"/>
                      <w:spacing w:val="-10"/>
                      <w:szCs w:val="21"/>
                      <w:highlight w:val="none"/>
                      <w:lang w:eastAsia="zh-CN"/>
                    </w:rPr>
                  </w:pPr>
                  <w:r>
                    <w:rPr>
                      <w:bCs/>
                      <w:color w:val="auto"/>
                      <w:spacing w:val="-10"/>
                      <w:szCs w:val="21"/>
                      <w:highlight w:val="none"/>
                    </w:rPr>
                    <w:t>有组织</w:t>
                  </w:r>
                  <w:r>
                    <w:rPr>
                      <w:rFonts w:hint="eastAsia"/>
                      <w:bCs/>
                      <w:color w:val="auto"/>
                      <w:spacing w:val="-10"/>
                      <w:szCs w:val="21"/>
                      <w:highlight w:val="none"/>
                      <w:lang w:eastAsia="zh-CN"/>
                    </w:rPr>
                    <w:t>排放</w:t>
                  </w:r>
                </w:p>
              </w:tc>
              <w:tc>
                <w:tcPr>
                  <w:tcW w:w="844" w:type="dxa"/>
                  <w:tcBorders>
                    <w:tl2br w:val="nil"/>
                    <w:tr2bl w:val="nil"/>
                  </w:tcBorders>
                  <w:shd w:val="clear" w:color="auto" w:fill="auto"/>
                  <w:vAlign w:val="center"/>
                </w:tcPr>
                <w:p w14:paraId="610C38B3">
                  <w:pPr>
                    <w:pStyle w:val="27"/>
                    <w:rPr>
                      <w:color w:val="auto"/>
                      <w:highlight w:val="none"/>
                    </w:rPr>
                  </w:pPr>
                  <w:r>
                    <w:rPr>
                      <w:color w:val="auto"/>
                      <w:highlight w:val="none"/>
                    </w:rPr>
                    <w:t>141</w:t>
                  </w:r>
                </w:p>
              </w:tc>
              <w:tc>
                <w:tcPr>
                  <w:tcW w:w="750" w:type="dxa"/>
                  <w:tcBorders>
                    <w:tl2br w:val="nil"/>
                    <w:tr2bl w:val="nil"/>
                  </w:tcBorders>
                  <w:shd w:val="clear" w:color="auto" w:fill="auto"/>
                  <w:vAlign w:val="center"/>
                </w:tcPr>
                <w:p w14:paraId="61021BFD">
                  <w:pPr>
                    <w:pStyle w:val="27"/>
                    <w:rPr>
                      <w:color w:val="auto"/>
                      <w:highlight w:val="none"/>
                    </w:rPr>
                  </w:pPr>
                  <w:r>
                    <w:rPr>
                      <w:color w:val="auto"/>
                      <w:highlight w:val="none"/>
                    </w:rPr>
                    <w:t>0.151</w:t>
                  </w:r>
                </w:p>
              </w:tc>
              <w:tc>
                <w:tcPr>
                  <w:tcW w:w="792" w:type="dxa"/>
                  <w:tcBorders>
                    <w:tl2br w:val="nil"/>
                    <w:tr2bl w:val="nil"/>
                  </w:tcBorders>
                  <w:shd w:val="clear" w:color="auto" w:fill="auto"/>
                  <w:vAlign w:val="center"/>
                </w:tcPr>
                <w:p w14:paraId="1157317E">
                  <w:pPr>
                    <w:pStyle w:val="27"/>
                    <w:rPr>
                      <w:color w:val="auto"/>
                      <w:highlight w:val="none"/>
                    </w:rPr>
                  </w:pPr>
                  <w:r>
                    <w:rPr>
                      <w:color w:val="auto"/>
                      <w:highlight w:val="none"/>
                    </w:rPr>
                    <w:t>0.039</w:t>
                  </w:r>
                </w:p>
              </w:tc>
              <w:tc>
                <w:tcPr>
                  <w:tcW w:w="788" w:type="dxa"/>
                  <w:vMerge w:val="restart"/>
                  <w:tcBorders>
                    <w:tl2br w:val="nil"/>
                    <w:tr2bl w:val="nil"/>
                  </w:tcBorders>
                  <w:vAlign w:val="center"/>
                </w:tcPr>
                <w:p w14:paraId="2877D409">
                  <w:pPr>
                    <w:spacing w:line="0" w:lineRule="atLeast"/>
                    <w:jc w:val="center"/>
                    <w:rPr>
                      <w:rFonts w:hint="eastAsia" w:eastAsia="宋体"/>
                      <w:bCs/>
                      <w:color w:val="auto"/>
                      <w:szCs w:val="21"/>
                      <w:highlight w:val="none"/>
                      <w:lang w:eastAsia="zh-CN"/>
                    </w:rPr>
                  </w:pPr>
                  <w:r>
                    <w:rPr>
                      <w:rFonts w:hint="eastAsia"/>
                      <w:color w:val="auto"/>
                      <w:szCs w:val="21"/>
                      <w:highlight w:val="none"/>
                    </w:rPr>
                    <w:t>烟气急冷系统+消石灰+</w:t>
                  </w:r>
                  <w:r>
                    <w:rPr>
                      <w:rFonts w:hint="eastAsia"/>
                      <w:color w:val="auto"/>
                      <w:szCs w:val="21"/>
                      <w:highlight w:val="none"/>
                      <w:lang w:eastAsia="zh-CN"/>
                    </w:rPr>
                    <w:t>旋风除尘器</w:t>
                  </w:r>
                  <w:r>
                    <w:rPr>
                      <w:color w:val="auto"/>
                      <w:szCs w:val="21"/>
                      <w:highlight w:val="none"/>
                    </w:rPr>
                    <w:t>+</w:t>
                  </w:r>
                  <w:r>
                    <w:rPr>
                      <w:rFonts w:hint="eastAsia"/>
                      <w:color w:val="auto"/>
                      <w:szCs w:val="21"/>
                      <w:highlight w:val="none"/>
                      <w:lang w:eastAsia="zh-CN"/>
                    </w:rPr>
                    <w:t>活性炭喷射装置+布袋除尘器</w:t>
                  </w:r>
                  <w:r>
                    <w:rPr>
                      <w:color w:val="auto"/>
                      <w:szCs w:val="21"/>
                      <w:highlight w:val="none"/>
                    </w:rPr>
                    <w:t>+1根12</w:t>
                  </w:r>
                  <w:r>
                    <w:rPr>
                      <w:rFonts w:hint="eastAsia"/>
                      <w:color w:val="auto"/>
                      <w:szCs w:val="21"/>
                      <w:highlight w:val="none"/>
                      <w:lang w:eastAsia="zh-CN"/>
                    </w:rPr>
                    <w:t>m</w:t>
                  </w:r>
                  <w:r>
                    <w:rPr>
                      <w:color w:val="auto"/>
                      <w:szCs w:val="21"/>
                      <w:highlight w:val="none"/>
                    </w:rPr>
                    <w:t>高的排气筒排放</w:t>
                  </w:r>
                  <w:r>
                    <w:rPr>
                      <w:rFonts w:hint="eastAsia"/>
                      <w:color w:val="auto"/>
                      <w:szCs w:val="21"/>
                      <w:highlight w:val="none"/>
                      <w:lang w:eastAsia="zh-CN"/>
                    </w:rPr>
                    <w:t>。</w:t>
                  </w:r>
                </w:p>
              </w:tc>
              <w:tc>
                <w:tcPr>
                  <w:tcW w:w="630" w:type="dxa"/>
                  <w:tcBorders>
                    <w:tl2br w:val="nil"/>
                    <w:tr2bl w:val="nil"/>
                  </w:tcBorders>
                  <w:vAlign w:val="center"/>
                </w:tcPr>
                <w:p w14:paraId="0D68ED84">
                  <w:pPr>
                    <w:pStyle w:val="27"/>
                    <w:rPr>
                      <w:color w:val="auto"/>
                      <w:highlight w:val="none"/>
                    </w:rPr>
                  </w:pPr>
                  <w:r>
                    <w:rPr>
                      <w:rFonts w:hint="eastAsia"/>
                      <w:color w:val="auto"/>
                      <w:highlight w:val="none"/>
                    </w:rPr>
                    <w:t>95</w:t>
                  </w:r>
                </w:p>
              </w:tc>
              <w:tc>
                <w:tcPr>
                  <w:tcW w:w="743" w:type="dxa"/>
                  <w:tcBorders>
                    <w:tl2br w:val="nil"/>
                    <w:tr2bl w:val="nil"/>
                  </w:tcBorders>
                  <w:shd w:val="clear" w:color="auto" w:fill="auto"/>
                  <w:vAlign w:val="center"/>
                </w:tcPr>
                <w:p w14:paraId="72902E04">
                  <w:pPr>
                    <w:pStyle w:val="27"/>
                    <w:rPr>
                      <w:color w:val="auto"/>
                      <w:highlight w:val="none"/>
                    </w:rPr>
                  </w:pPr>
                  <w:r>
                    <w:rPr>
                      <w:rFonts w:hint="eastAsia"/>
                      <w:color w:val="auto"/>
                      <w:highlight w:val="none"/>
                    </w:rPr>
                    <w:t>0.0020</w:t>
                  </w:r>
                </w:p>
              </w:tc>
              <w:tc>
                <w:tcPr>
                  <w:tcW w:w="908" w:type="dxa"/>
                  <w:tcBorders>
                    <w:tl2br w:val="nil"/>
                    <w:tr2bl w:val="nil"/>
                  </w:tcBorders>
                  <w:shd w:val="clear" w:color="auto" w:fill="auto"/>
                  <w:vAlign w:val="center"/>
                </w:tcPr>
                <w:p w14:paraId="1569C7D7">
                  <w:pPr>
                    <w:pStyle w:val="27"/>
                    <w:rPr>
                      <w:color w:val="auto"/>
                      <w:highlight w:val="none"/>
                    </w:rPr>
                  </w:pPr>
                  <w:r>
                    <w:rPr>
                      <w:color w:val="auto"/>
                      <w:highlight w:val="none"/>
                    </w:rPr>
                    <w:t>7.05</w:t>
                  </w:r>
                </w:p>
              </w:tc>
              <w:tc>
                <w:tcPr>
                  <w:tcW w:w="861" w:type="dxa"/>
                  <w:tcBorders>
                    <w:tl2br w:val="nil"/>
                    <w:tr2bl w:val="nil"/>
                  </w:tcBorders>
                  <w:shd w:val="clear" w:color="auto" w:fill="auto"/>
                  <w:vAlign w:val="center"/>
                </w:tcPr>
                <w:p w14:paraId="5A96DEFD">
                  <w:pPr>
                    <w:pStyle w:val="27"/>
                    <w:rPr>
                      <w:color w:val="auto"/>
                      <w:highlight w:val="none"/>
                    </w:rPr>
                  </w:pPr>
                  <w:r>
                    <w:rPr>
                      <w:color w:val="auto"/>
                      <w:highlight w:val="none"/>
                    </w:rPr>
                    <w:t>0.01</w:t>
                  </w:r>
                </w:p>
              </w:tc>
            </w:tr>
            <w:tr w14:paraId="5412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1" w:type="dxa"/>
                  <w:vMerge w:val="continue"/>
                  <w:tcBorders>
                    <w:tl2br w:val="nil"/>
                    <w:tr2bl w:val="nil"/>
                  </w:tcBorders>
                  <w:vAlign w:val="center"/>
                </w:tcPr>
                <w:p w14:paraId="5C2E9C96">
                  <w:pPr>
                    <w:spacing w:line="0" w:lineRule="atLeast"/>
                    <w:jc w:val="center"/>
                    <w:rPr>
                      <w:bCs/>
                      <w:color w:val="auto"/>
                      <w:szCs w:val="21"/>
                      <w:highlight w:val="none"/>
                    </w:rPr>
                  </w:pPr>
                </w:p>
              </w:tc>
              <w:tc>
                <w:tcPr>
                  <w:tcW w:w="978" w:type="dxa"/>
                  <w:tcBorders>
                    <w:tl2br w:val="nil"/>
                    <w:tr2bl w:val="nil"/>
                  </w:tcBorders>
                  <w:vAlign w:val="center"/>
                </w:tcPr>
                <w:p w14:paraId="39D3A72D">
                  <w:pPr>
                    <w:adjustRightInd w:val="0"/>
                    <w:snapToGrid w:val="0"/>
                    <w:jc w:val="center"/>
                    <w:rPr>
                      <w:bCs/>
                      <w:color w:val="auto"/>
                      <w:szCs w:val="21"/>
                      <w:highlight w:val="none"/>
                    </w:rPr>
                  </w:pPr>
                  <w:r>
                    <w:rPr>
                      <w:bCs/>
                      <w:color w:val="auto"/>
                      <w:spacing w:val="-10"/>
                      <w:szCs w:val="21"/>
                      <w:highlight w:val="none"/>
                    </w:rPr>
                    <w:t>二氧化硫</w:t>
                  </w:r>
                </w:p>
              </w:tc>
              <w:tc>
                <w:tcPr>
                  <w:tcW w:w="539" w:type="dxa"/>
                  <w:vMerge w:val="continue"/>
                  <w:tcBorders>
                    <w:tl2br w:val="nil"/>
                    <w:tr2bl w:val="nil"/>
                  </w:tcBorders>
                  <w:vAlign w:val="center"/>
                </w:tcPr>
                <w:p w14:paraId="1F1B1806">
                  <w:pPr>
                    <w:adjustRightInd w:val="0"/>
                    <w:snapToGrid w:val="0"/>
                    <w:jc w:val="center"/>
                    <w:rPr>
                      <w:bCs/>
                      <w:color w:val="auto"/>
                      <w:spacing w:val="-10"/>
                      <w:szCs w:val="21"/>
                      <w:highlight w:val="none"/>
                    </w:rPr>
                  </w:pPr>
                </w:p>
              </w:tc>
              <w:tc>
                <w:tcPr>
                  <w:tcW w:w="844" w:type="dxa"/>
                  <w:tcBorders>
                    <w:tl2br w:val="nil"/>
                    <w:tr2bl w:val="nil"/>
                  </w:tcBorders>
                  <w:shd w:val="clear" w:color="auto" w:fill="auto"/>
                  <w:vAlign w:val="center"/>
                </w:tcPr>
                <w:p w14:paraId="095B60C2">
                  <w:pPr>
                    <w:pStyle w:val="27"/>
                    <w:rPr>
                      <w:color w:val="auto"/>
                      <w:highlight w:val="none"/>
                    </w:rPr>
                  </w:pPr>
                  <w:r>
                    <w:rPr>
                      <w:color w:val="auto"/>
                      <w:highlight w:val="none"/>
                    </w:rPr>
                    <w:t>10.9</w:t>
                  </w:r>
                </w:p>
              </w:tc>
              <w:tc>
                <w:tcPr>
                  <w:tcW w:w="750" w:type="dxa"/>
                  <w:tcBorders>
                    <w:tl2br w:val="nil"/>
                    <w:tr2bl w:val="nil"/>
                  </w:tcBorders>
                  <w:shd w:val="clear" w:color="auto" w:fill="auto"/>
                  <w:vAlign w:val="center"/>
                </w:tcPr>
                <w:p w14:paraId="728C463E">
                  <w:pPr>
                    <w:pStyle w:val="27"/>
                    <w:rPr>
                      <w:color w:val="auto"/>
                      <w:highlight w:val="none"/>
                    </w:rPr>
                  </w:pPr>
                  <w:r>
                    <w:rPr>
                      <w:color w:val="auto"/>
                      <w:highlight w:val="none"/>
                    </w:rPr>
                    <w:t>0.034</w:t>
                  </w:r>
                </w:p>
              </w:tc>
              <w:tc>
                <w:tcPr>
                  <w:tcW w:w="792" w:type="dxa"/>
                  <w:tcBorders>
                    <w:tl2br w:val="nil"/>
                    <w:tr2bl w:val="nil"/>
                  </w:tcBorders>
                  <w:shd w:val="clear" w:color="auto" w:fill="auto"/>
                  <w:vAlign w:val="center"/>
                </w:tcPr>
                <w:p w14:paraId="343478FD">
                  <w:pPr>
                    <w:pStyle w:val="27"/>
                    <w:rPr>
                      <w:color w:val="auto"/>
                      <w:highlight w:val="none"/>
                    </w:rPr>
                  </w:pPr>
                  <w:r>
                    <w:rPr>
                      <w:color w:val="auto"/>
                      <w:highlight w:val="none"/>
                    </w:rPr>
                    <w:t>0.009</w:t>
                  </w:r>
                </w:p>
              </w:tc>
              <w:tc>
                <w:tcPr>
                  <w:tcW w:w="788" w:type="dxa"/>
                  <w:vMerge w:val="continue"/>
                  <w:tcBorders>
                    <w:tl2br w:val="nil"/>
                    <w:tr2bl w:val="nil"/>
                  </w:tcBorders>
                  <w:vAlign w:val="center"/>
                </w:tcPr>
                <w:p w14:paraId="5DF2B927">
                  <w:pPr>
                    <w:spacing w:line="0" w:lineRule="atLeast"/>
                    <w:jc w:val="center"/>
                    <w:rPr>
                      <w:bCs/>
                      <w:color w:val="auto"/>
                      <w:szCs w:val="21"/>
                      <w:highlight w:val="none"/>
                    </w:rPr>
                  </w:pPr>
                </w:p>
              </w:tc>
              <w:tc>
                <w:tcPr>
                  <w:tcW w:w="630" w:type="dxa"/>
                  <w:tcBorders>
                    <w:tl2br w:val="nil"/>
                    <w:tr2bl w:val="nil"/>
                  </w:tcBorders>
                  <w:vAlign w:val="center"/>
                </w:tcPr>
                <w:p w14:paraId="04E54E3A">
                  <w:pPr>
                    <w:pStyle w:val="27"/>
                    <w:rPr>
                      <w:color w:val="auto"/>
                      <w:highlight w:val="none"/>
                    </w:rPr>
                  </w:pPr>
                  <w:r>
                    <w:rPr>
                      <w:rFonts w:hint="eastAsia"/>
                      <w:color w:val="auto"/>
                      <w:highlight w:val="none"/>
                    </w:rPr>
                    <w:t>80</w:t>
                  </w:r>
                </w:p>
              </w:tc>
              <w:tc>
                <w:tcPr>
                  <w:tcW w:w="743" w:type="dxa"/>
                  <w:tcBorders>
                    <w:tl2br w:val="nil"/>
                    <w:tr2bl w:val="nil"/>
                  </w:tcBorders>
                  <w:shd w:val="clear" w:color="auto" w:fill="auto"/>
                  <w:vAlign w:val="center"/>
                </w:tcPr>
                <w:p w14:paraId="5F34B0F2">
                  <w:pPr>
                    <w:pStyle w:val="27"/>
                    <w:rPr>
                      <w:color w:val="auto"/>
                      <w:highlight w:val="none"/>
                    </w:rPr>
                  </w:pPr>
                  <w:r>
                    <w:rPr>
                      <w:rFonts w:hint="eastAsia"/>
                      <w:color w:val="auto"/>
                      <w:highlight w:val="none"/>
                    </w:rPr>
                    <w:t>0.0018</w:t>
                  </w:r>
                </w:p>
              </w:tc>
              <w:tc>
                <w:tcPr>
                  <w:tcW w:w="908" w:type="dxa"/>
                  <w:tcBorders>
                    <w:tl2br w:val="nil"/>
                    <w:tr2bl w:val="nil"/>
                  </w:tcBorders>
                  <w:shd w:val="clear" w:color="auto" w:fill="auto"/>
                  <w:vAlign w:val="center"/>
                </w:tcPr>
                <w:p w14:paraId="1CCDBDDE">
                  <w:pPr>
                    <w:pStyle w:val="27"/>
                    <w:rPr>
                      <w:color w:val="auto"/>
                      <w:highlight w:val="none"/>
                    </w:rPr>
                  </w:pPr>
                  <w:r>
                    <w:rPr>
                      <w:color w:val="auto"/>
                      <w:highlight w:val="none"/>
                    </w:rPr>
                    <w:t>2.18</w:t>
                  </w:r>
                </w:p>
              </w:tc>
              <w:tc>
                <w:tcPr>
                  <w:tcW w:w="861" w:type="dxa"/>
                  <w:tcBorders>
                    <w:tl2br w:val="nil"/>
                    <w:tr2bl w:val="nil"/>
                  </w:tcBorders>
                  <w:shd w:val="clear" w:color="auto" w:fill="auto"/>
                  <w:vAlign w:val="center"/>
                </w:tcPr>
                <w:p w14:paraId="4A4E0C8A">
                  <w:pPr>
                    <w:pStyle w:val="27"/>
                    <w:rPr>
                      <w:color w:val="auto"/>
                      <w:highlight w:val="none"/>
                    </w:rPr>
                  </w:pPr>
                  <w:r>
                    <w:rPr>
                      <w:color w:val="auto"/>
                      <w:highlight w:val="none"/>
                    </w:rPr>
                    <w:t>0.01</w:t>
                  </w:r>
                </w:p>
              </w:tc>
            </w:tr>
            <w:tr w14:paraId="00575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1" w:type="dxa"/>
                  <w:vMerge w:val="continue"/>
                  <w:tcBorders>
                    <w:tl2br w:val="nil"/>
                    <w:tr2bl w:val="nil"/>
                  </w:tcBorders>
                  <w:vAlign w:val="center"/>
                </w:tcPr>
                <w:p w14:paraId="22ECDB63">
                  <w:pPr>
                    <w:spacing w:line="0" w:lineRule="atLeast"/>
                    <w:jc w:val="center"/>
                    <w:rPr>
                      <w:bCs/>
                      <w:color w:val="auto"/>
                      <w:szCs w:val="21"/>
                      <w:highlight w:val="none"/>
                    </w:rPr>
                  </w:pPr>
                </w:p>
              </w:tc>
              <w:tc>
                <w:tcPr>
                  <w:tcW w:w="978" w:type="dxa"/>
                  <w:tcBorders>
                    <w:tl2br w:val="nil"/>
                    <w:tr2bl w:val="nil"/>
                  </w:tcBorders>
                  <w:vAlign w:val="center"/>
                </w:tcPr>
                <w:p w14:paraId="77C50D12">
                  <w:pPr>
                    <w:adjustRightInd w:val="0"/>
                    <w:snapToGrid w:val="0"/>
                    <w:jc w:val="center"/>
                    <w:rPr>
                      <w:bCs/>
                      <w:color w:val="auto"/>
                      <w:szCs w:val="21"/>
                      <w:highlight w:val="none"/>
                    </w:rPr>
                  </w:pPr>
                  <w:r>
                    <w:rPr>
                      <w:bCs/>
                      <w:color w:val="auto"/>
                      <w:spacing w:val="-10"/>
                      <w:szCs w:val="21"/>
                      <w:highlight w:val="none"/>
                    </w:rPr>
                    <w:t>氮氧化物</w:t>
                  </w:r>
                </w:p>
              </w:tc>
              <w:tc>
                <w:tcPr>
                  <w:tcW w:w="539" w:type="dxa"/>
                  <w:vMerge w:val="continue"/>
                  <w:tcBorders>
                    <w:tl2br w:val="nil"/>
                    <w:tr2bl w:val="nil"/>
                  </w:tcBorders>
                  <w:vAlign w:val="center"/>
                </w:tcPr>
                <w:p w14:paraId="2886C042">
                  <w:pPr>
                    <w:adjustRightInd w:val="0"/>
                    <w:snapToGrid w:val="0"/>
                    <w:jc w:val="center"/>
                    <w:rPr>
                      <w:bCs/>
                      <w:color w:val="auto"/>
                      <w:spacing w:val="-10"/>
                      <w:szCs w:val="21"/>
                      <w:highlight w:val="none"/>
                    </w:rPr>
                  </w:pPr>
                </w:p>
              </w:tc>
              <w:tc>
                <w:tcPr>
                  <w:tcW w:w="844" w:type="dxa"/>
                  <w:tcBorders>
                    <w:tl2br w:val="nil"/>
                    <w:tr2bl w:val="nil"/>
                  </w:tcBorders>
                  <w:shd w:val="clear" w:color="auto" w:fill="auto"/>
                  <w:vAlign w:val="center"/>
                </w:tcPr>
                <w:p w14:paraId="2B5C06F8">
                  <w:pPr>
                    <w:pStyle w:val="27"/>
                    <w:rPr>
                      <w:color w:val="auto"/>
                      <w:highlight w:val="none"/>
                    </w:rPr>
                  </w:pPr>
                  <w:r>
                    <w:rPr>
                      <w:color w:val="auto"/>
                      <w:highlight w:val="none"/>
                    </w:rPr>
                    <w:t>101.4</w:t>
                  </w:r>
                </w:p>
              </w:tc>
              <w:tc>
                <w:tcPr>
                  <w:tcW w:w="750" w:type="dxa"/>
                  <w:tcBorders>
                    <w:tl2br w:val="nil"/>
                    <w:tr2bl w:val="nil"/>
                  </w:tcBorders>
                  <w:shd w:val="clear" w:color="auto" w:fill="auto"/>
                  <w:vAlign w:val="center"/>
                </w:tcPr>
                <w:p w14:paraId="1243BCB3">
                  <w:pPr>
                    <w:pStyle w:val="27"/>
                    <w:rPr>
                      <w:color w:val="auto"/>
                      <w:highlight w:val="none"/>
                    </w:rPr>
                  </w:pPr>
                  <w:r>
                    <w:rPr>
                      <w:color w:val="auto"/>
                      <w:highlight w:val="none"/>
                    </w:rPr>
                    <w:t>0.317</w:t>
                  </w:r>
                </w:p>
              </w:tc>
              <w:tc>
                <w:tcPr>
                  <w:tcW w:w="792" w:type="dxa"/>
                  <w:tcBorders>
                    <w:tl2br w:val="nil"/>
                    <w:tr2bl w:val="nil"/>
                  </w:tcBorders>
                  <w:shd w:val="clear" w:color="auto" w:fill="auto"/>
                  <w:vAlign w:val="center"/>
                </w:tcPr>
                <w:p w14:paraId="5959EED9">
                  <w:pPr>
                    <w:pStyle w:val="27"/>
                    <w:rPr>
                      <w:color w:val="auto"/>
                      <w:highlight w:val="none"/>
                    </w:rPr>
                  </w:pPr>
                  <w:r>
                    <w:rPr>
                      <w:color w:val="auto"/>
                      <w:highlight w:val="none"/>
                    </w:rPr>
                    <w:t>0.082</w:t>
                  </w:r>
                </w:p>
              </w:tc>
              <w:tc>
                <w:tcPr>
                  <w:tcW w:w="788" w:type="dxa"/>
                  <w:vMerge w:val="continue"/>
                  <w:tcBorders>
                    <w:tl2br w:val="nil"/>
                    <w:tr2bl w:val="nil"/>
                  </w:tcBorders>
                  <w:vAlign w:val="center"/>
                </w:tcPr>
                <w:p w14:paraId="3055D59A">
                  <w:pPr>
                    <w:spacing w:line="0" w:lineRule="atLeast"/>
                    <w:jc w:val="center"/>
                    <w:rPr>
                      <w:bCs/>
                      <w:color w:val="auto"/>
                      <w:szCs w:val="21"/>
                      <w:highlight w:val="none"/>
                    </w:rPr>
                  </w:pPr>
                </w:p>
              </w:tc>
              <w:tc>
                <w:tcPr>
                  <w:tcW w:w="630" w:type="dxa"/>
                  <w:tcBorders>
                    <w:tl2br w:val="nil"/>
                    <w:tr2bl w:val="nil"/>
                  </w:tcBorders>
                  <w:vAlign w:val="center"/>
                </w:tcPr>
                <w:p w14:paraId="48A67EA6">
                  <w:pPr>
                    <w:pStyle w:val="27"/>
                    <w:rPr>
                      <w:color w:val="auto"/>
                      <w:highlight w:val="none"/>
                    </w:rPr>
                  </w:pPr>
                  <w:r>
                    <w:rPr>
                      <w:rFonts w:hint="eastAsia"/>
                      <w:color w:val="auto"/>
                      <w:highlight w:val="none"/>
                      <w:lang w:val="en-US" w:eastAsia="zh-CN"/>
                    </w:rPr>
                    <w:t>0</w:t>
                  </w:r>
                </w:p>
              </w:tc>
              <w:tc>
                <w:tcPr>
                  <w:tcW w:w="743" w:type="dxa"/>
                  <w:tcBorders>
                    <w:tl2br w:val="nil"/>
                    <w:tr2bl w:val="nil"/>
                  </w:tcBorders>
                  <w:shd w:val="clear" w:color="auto" w:fill="auto"/>
                  <w:vAlign w:val="center"/>
                </w:tcPr>
                <w:p w14:paraId="6FD4D4FB">
                  <w:pPr>
                    <w:pStyle w:val="27"/>
                    <w:bidi w:val="0"/>
                    <w:rPr>
                      <w:color w:val="auto"/>
                      <w:highlight w:val="none"/>
                    </w:rPr>
                  </w:pPr>
                  <w:r>
                    <w:rPr>
                      <w:rFonts w:hint="eastAsia"/>
                      <w:color w:val="auto"/>
                      <w:highlight w:val="none"/>
                      <w:lang w:val="en-US" w:eastAsia="zh-CN"/>
                    </w:rPr>
                    <w:t>0.0824</w:t>
                  </w:r>
                </w:p>
              </w:tc>
              <w:tc>
                <w:tcPr>
                  <w:tcW w:w="908" w:type="dxa"/>
                  <w:tcBorders>
                    <w:tl2br w:val="nil"/>
                    <w:tr2bl w:val="nil"/>
                  </w:tcBorders>
                  <w:shd w:val="clear" w:color="auto" w:fill="auto"/>
                  <w:vAlign w:val="center"/>
                </w:tcPr>
                <w:p w14:paraId="615A117B">
                  <w:pPr>
                    <w:pStyle w:val="27"/>
                    <w:bidi w:val="0"/>
                    <w:rPr>
                      <w:color w:val="auto"/>
                      <w:highlight w:val="none"/>
                    </w:rPr>
                  </w:pPr>
                  <w:r>
                    <w:rPr>
                      <w:rFonts w:hint="default"/>
                      <w:color w:val="auto"/>
                      <w:highlight w:val="none"/>
                      <w:lang w:val="en-US" w:eastAsia="zh-CN"/>
                    </w:rPr>
                    <w:t>101.40</w:t>
                  </w:r>
                </w:p>
              </w:tc>
              <w:tc>
                <w:tcPr>
                  <w:tcW w:w="861" w:type="dxa"/>
                  <w:tcBorders>
                    <w:tl2br w:val="nil"/>
                    <w:tr2bl w:val="nil"/>
                  </w:tcBorders>
                  <w:shd w:val="clear" w:color="auto" w:fill="auto"/>
                  <w:vAlign w:val="center"/>
                </w:tcPr>
                <w:p w14:paraId="65355881">
                  <w:pPr>
                    <w:pStyle w:val="27"/>
                    <w:bidi w:val="0"/>
                    <w:rPr>
                      <w:color w:val="auto"/>
                      <w:highlight w:val="none"/>
                    </w:rPr>
                  </w:pPr>
                  <w:r>
                    <w:rPr>
                      <w:rFonts w:hint="default"/>
                      <w:color w:val="auto"/>
                      <w:highlight w:val="none"/>
                      <w:lang w:val="en-US" w:eastAsia="zh-CN"/>
                    </w:rPr>
                    <w:t>0.32</w:t>
                  </w:r>
                </w:p>
              </w:tc>
            </w:tr>
            <w:tr w14:paraId="44120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1" w:type="dxa"/>
                  <w:vMerge w:val="continue"/>
                  <w:tcBorders>
                    <w:tl2br w:val="nil"/>
                    <w:tr2bl w:val="nil"/>
                  </w:tcBorders>
                  <w:vAlign w:val="center"/>
                </w:tcPr>
                <w:p w14:paraId="29738579">
                  <w:pPr>
                    <w:spacing w:line="0" w:lineRule="atLeast"/>
                    <w:jc w:val="center"/>
                    <w:rPr>
                      <w:color w:val="auto"/>
                      <w:szCs w:val="21"/>
                      <w:highlight w:val="none"/>
                    </w:rPr>
                  </w:pPr>
                </w:p>
              </w:tc>
              <w:tc>
                <w:tcPr>
                  <w:tcW w:w="978" w:type="dxa"/>
                  <w:tcBorders>
                    <w:tl2br w:val="nil"/>
                    <w:tr2bl w:val="nil"/>
                  </w:tcBorders>
                  <w:vAlign w:val="center"/>
                </w:tcPr>
                <w:p w14:paraId="66D75E31">
                  <w:pPr>
                    <w:adjustRightInd w:val="0"/>
                    <w:snapToGrid w:val="0"/>
                    <w:jc w:val="center"/>
                    <w:rPr>
                      <w:color w:val="auto"/>
                      <w:szCs w:val="21"/>
                      <w:highlight w:val="none"/>
                    </w:rPr>
                  </w:pPr>
                  <w:r>
                    <w:rPr>
                      <w:bCs/>
                      <w:color w:val="auto"/>
                      <w:spacing w:val="-10"/>
                      <w:szCs w:val="21"/>
                      <w:highlight w:val="none"/>
                    </w:rPr>
                    <w:t>一氧化碳</w:t>
                  </w:r>
                </w:p>
              </w:tc>
              <w:tc>
                <w:tcPr>
                  <w:tcW w:w="539" w:type="dxa"/>
                  <w:vMerge w:val="continue"/>
                  <w:tcBorders>
                    <w:tl2br w:val="nil"/>
                    <w:tr2bl w:val="nil"/>
                  </w:tcBorders>
                  <w:vAlign w:val="center"/>
                </w:tcPr>
                <w:p w14:paraId="7265538B">
                  <w:pPr>
                    <w:adjustRightInd w:val="0"/>
                    <w:snapToGrid w:val="0"/>
                    <w:jc w:val="center"/>
                    <w:rPr>
                      <w:bCs/>
                      <w:color w:val="auto"/>
                      <w:spacing w:val="-10"/>
                      <w:szCs w:val="21"/>
                      <w:highlight w:val="none"/>
                    </w:rPr>
                  </w:pPr>
                </w:p>
              </w:tc>
              <w:tc>
                <w:tcPr>
                  <w:tcW w:w="844" w:type="dxa"/>
                  <w:tcBorders>
                    <w:tl2br w:val="nil"/>
                    <w:tr2bl w:val="nil"/>
                  </w:tcBorders>
                  <w:shd w:val="clear" w:color="auto" w:fill="auto"/>
                  <w:vAlign w:val="center"/>
                </w:tcPr>
                <w:p w14:paraId="2F37BDB1">
                  <w:pPr>
                    <w:pStyle w:val="27"/>
                    <w:rPr>
                      <w:color w:val="auto"/>
                      <w:highlight w:val="none"/>
                    </w:rPr>
                  </w:pPr>
                  <w:r>
                    <w:rPr>
                      <w:color w:val="auto"/>
                      <w:highlight w:val="none"/>
                    </w:rPr>
                    <w:t>128</w:t>
                  </w:r>
                </w:p>
              </w:tc>
              <w:tc>
                <w:tcPr>
                  <w:tcW w:w="750" w:type="dxa"/>
                  <w:tcBorders>
                    <w:tl2br w:val="nil"/>
                    <w:tr2bl w:val="nil"/>
                  </w:tcBorders>
                  <w:shd w:val="clear" w:color="auto" w:fill="auto"/>
                  <w:vAlign w:val="center"/>
                </w:tcPr>
                <w:p w14:paraId="2C8183EA">
                  <w:pPr>
                    <w:pStyle w:val="27"/>
                    <w:rPr>
                      <w:color w:val="auto"/>
                      <w:highlight w:val="none"/>
                    </w:rPr>
                  </w:pPr>
                  <w:r>
                    <w:rPr>
                      <w:color w:val="auto"/>
                      <w:highlight w:val="none"/>
                    </w:rPr>
                    <w:t>0.4</w:t>
                  </w:r>
                </w:p>
              </w:tc>
              <w:tc>
                <w:tcPr>
                  <w:tcW w:w="792" w:type="dxa"/>
                  <w:tcBorders>
                    <w:tl2br w:val="nil"/>
                    <w:tr2bl w:val="nil"/>
                  </w:tcBorders>
                  <w:shd w:val="clear" w:color="auto" w:fill="auto"/>
                  <w:vAlign w:val="center"/>
                </w:tcPr>
                <w:p w14:paraId="26C102F5">
                  <w:pPr>
                    <w:pStyle w:val="27"/>
                    <w:rPr>
                      <w:color w:val="auto"/>
                      <w:highlight w:val="none"/>
                    </w:rPr>
                  </w:pPr>
                  <w:r>
                    <w:rPr>
                      <w:color w:val="auto"/>
                      <w:highlight w:val="none"/>
                    </w:rPr>
                    <w:t>0.104</w:t>
                  </w:r>
                </w:p>
              </w:tc>
              <w:tc>
                <w:tcPr>
                  <w:tcW w:w="788" w:type="dxa"/>
                  <w:vMerge w:val="continue"/>
                  <w:tcBorders>
                    <w:tl2br w:val="nil"/>
                    <w:tr2bl w:val="nil"/>
                  </w:tcBorders>
                  <w:vAlign w:val="center"/>
                </w:tcPr>
                <w:p w14:paraId="763732E6">
                  <w:pPr>
                    <w:spacing w:line="0" w:lineRule="atLeast"/>
                    <w:jc w:val="center"/>
                    <w:rPr>
                      <w:bCs/>
                      <w:color w:val="auto"/>
                      <w:szCs w:val="21"/>
                      <w:highlight w:val="none"/>
                    </w:rPr>
                  </w:pPr>
                </w:p>
              </w:tc>
              <w:tc>
                <w:tcPr>
                  <w:tcW w:w="630" w:type="dxa"/>
                  <w:tcBorders>
                    <w:tl2br w:val="nil"/>
                    <w:tr2bl w:val="nil"/>
                  </w:tcBorders>
                  <w:vAlign w:val="center"/>
                </w:tcPr>
                <w:p w14:paraId="0791227F">
                  <w:pPr>
                    <w:pStyle w:val="27"/>
                    <w:rPr>
                      <w:color w:val="auto"/>
                      <w:highlight w:val="none"/>
                    </w:rPr>
                  </w:pPr>
                  <w:r>
                    <w:rPr>
                      <w:rFonts w:hint="eastAsia"/>
                      <w:color w:val="auto"/>
                      <w:highlight w:val="none"/>
                      <w:lang w:val="en-US" w:eastAsia="zh-CN"/>
                    </w:rPr>
                    <w:t>0</w:t>
                  </w:r>
                </w:p>
              </w:tc>
              <w:tc>
                <w:tcPr>
                  <w:tcW w:w="743" w:type="dxa"/>
                  <w:tcBorders>
                    <w:tl2br w:val="nil"/>
                    <w:tr2bl w:val="nil"/>
                  </w:tcBorders>
                  <w:shd w:val="clear" w:color="auto" w:fill="auto"/>
                  <w:vAlign w:val="center"/>
                </w:tcPr>
                <w:p w14:paraId="40F9148C">
                  <w:pPr>
                    <w:pStyle w:val="27"/>
                    <w:bidi w:val="0"/>
                    <w:rPr>
                      <w:color w:val="auto"/>
                      <w:highlight w:val="none"/>
                    </w:rPr>
                  </w:pPr>
                  <w:r>
                    <w:rPr>
                      <w:rFonts w:hint="eastAsia"/>
                      <w:color w:val="auto"/>
                      <w:highlight w:val="none"/>
                      <w:lang w:val="en-US" w:eastAsia="zh-CN"/>
                    </w:rPr>
                    <w:t>0.1040</w:t>
                  </w:r>
                </w:p>
              </w:tc>
              <w:tc>
                <w:tcPr>
                  <w:tcW w:w="908" w:type="dxa"/>
                  <w:tcBorders>
                    <w:tl2br w:val="nil"/>
                    <w:tr2bl w:val="nil"/>
                  </w:tcBorders>
                  <w:shd w:val="clear" w:color="auto" w:fill="auto"/>
                  <w:vAlign w:val="center"/>
                </w:tcPr>
                <w:p w14:paraId="1C357D80">
                  <w:pPr>
                    <w:pStyle w:val="27"/>
                    <w:bidi w:val="0"/>
                    <w:rPr>
                      <w:color w:val="auto"/>
                      <w:highlight w:val="none"/>
                    </w:rPr>
                  </w:pPr>
                  <w:r>
                    <w:rPr>
                      <w:rFonts w:hint="default"/>
                      <w:color w:val="auto"/>
                      <w:highlight w:val="none"/>
                      <w:lang w:val="en-US" w:eastAsia="zh-CN"/>
                    </w:rPr>
                    <w:t>128.00</w:t>
                  </w:r>
                </w:p>
              </w:tc>
              <w:tc>
                <w:tcPr>
                  <w:tcW w:w="861" w:type="dxa"/>
                  <w:tcBorders>
                    <w:tl2br w:val="nil"/>
                    <w:tr2bl w:val="nil"/>
                  </w:tcBorders>
                  <w:shd w:val="clear" w:color="auto" w:fill="auto"/>
                  <w:vAlign w:val="center"/>
                </w:tcPr>
                <w:p w14:paraId="3D3E42C2">
                  <w:pPr>
                    <w:pStyle w:val="27"/>
                    <w:bidi w:val="0"/>
                    <w:rPr>
                      <w:color w:val="auto"/>
                      <w:highlight w:val="none"/>
                    </w:rPr>
                  </w:pPr>
                  <w:r>
                    <w:rPr>
                      <w:rFonts w:hint="default"/>
                      <w:color w:val="auto"/>
                      <w:highlight w:val="none"/>
                      <w:lang w:val="en-US" w:eastAsia="zh-CN"/>
                    </w:rPr>
                    <w:t>0.40</w:t>
                  </w:r>
                </w:p>
              </w:tc>
            </w:tr>
            <w:tr w14:paraId="25152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1" w:type="dxa"/>
                  <w:vMerge w:val="continue"/>
                  <w:tcBorders>
                    <w:tl2br w:val="nil"/>
                    <w:tr2bl w:val="nil"/>
                  </w:tcBorders>
                  <w:vAlign w:val="center"/>
                </w:tcPr>
                <w:p w14:paraId="485CCFE3">
                  <w:pPr>
                    <w:spacing w:line="0" w:lineRule="atLeast"/>
                    <w:jc w:val="center"/>
                    <w:rPr>
                      <w:color w:val="auto"/>
                      <w:szCs w:val="21"/>
                      <w:highlight w:val="none"/>
                    </w:rPr>
                  </w:pPr>
                </w:p>
              </w:tc>
              <w:tc>
                <w:tcPr>
                  <w:tcW w:w="978" w:type="dxa"/>
                  <w:tcBorders>
                    <w:tl2br w:val="nil"/>
                    <w:tr2bl w:val="nil"/>
                  </w:tcBorders>
                  <w:shd w:val="clear" w:color="auto" w:fill="auto"/>
                  <w:vAlign w:val="center"/>
                </w:tcPr>
                <w:p w14:paraId="68C34A44">
                  <w:pPr>
                    <w:adjustRightInd w:val="0"/>
                    <w:snapToGrid w:val="0"/>
                    <w:jc w:val="center"/>
                    <w:rPr>
                      <w:bCs/>
                      <w:color w:val="auto"/>
                      <w:spacing w:val="-10"/>
                      <w:szCs w:val="21"/>
                      <w:highlight w:val="none"/>
                    </w:rPr>
                  </w:pPr>
                  <w:r>
                    <w:rPr>
                      <w:bCs/>
                      <w:color w:val="auto"/>
                      <w:spacing w:val="-10"/>
                      <w:szCs w:val="21"/>
                      <w:highlight w:val="none"/>
                    </w:rPr>
                    <w:t>氨</w:t>
                  </w:r>
                </w:p>
              </w:tc>
              <w:tc>
                <w:tcPr>
                  <w:tcW w:w="539" w:type="dxa"/>
                  <w:vMerge w:val="continue"/>
                  <w:tcBorders>
                    <w:tl2br w:val="nil"/>
                    <w:tr2bl w:val="nil"/>
                  </w:tcBorders>
                  <w:shd w:val="clear" w:color="auto" w:fill="auto"/>
                  <w:vAlign w:val="center"/>
                </w:tcPr>
                <w:p w14:paraId="43C1E6E4">
                  <w:pPr>
                    <w:adjustRightInd w:val="0"/>
                    <w:snapToGrid w:val="0"/>
                    <w:jc w:val="center"/>
                    <w:rPr>
                      <w:bCs/>
                      <w:color w:val="auto"/>
                      <w:spacing w:val="-10"/>
                      <w:szCs w:val="21"/>
                      <w:highlight w:val="none"/>
                    </w:rPr>
                  </w:pPr>
                </w:p>
              </w:tc>
              <w:tc>
                <w:tcPr>
                  <w:tcW w:w="844" w:type="dxa"/>
                  <w:tcBorders>
                    <w:tl2br w:val="nil"/>
                    <w:tr2bl w:val="nil"/>
                  </w:tcBorders>
                  <w:shd w:val="clear" w:color="auto" w:fill="auto"/>
                  <w:vAlign w:val="center"/>
                </w:tcPr>
                <w:p w14:paraId="6EB7B83E">
                  <w:pPr>
                    <w:pStyle w:val="27"/>
                    <w:rPr>
                      <w:color w:val="auto"/>
                      <w:highlight w:val="none"/>
                    </w:rPr>
                  </w:pPr>
                  <w:r>
                    <w:rPr>
                      <w:color w:val="auto"/>
                      <w:highlight w:val="none"/>
                    </w:rPr>
                    <w:t>0.3</w:t>
                  </w:r>
                </w:p>
              </w:tc>
              <w:tc>
                <w:tcPr>
                  <w:tcW w:w="750" w:type="dxa"/>
                  <w:tcBorders>
                    <w:tl2br w:val="nil"/>
                    <w:tr2bl w:val="nil"/>
                  </w:tcBorders>
                  <w:shd w:val="clear" w:color="auto" w:fill="auto"/>
                  <w:vAlign w:val="center"/>
                </w:tcPr>
                <w:p w14:paraId="74D580B2">
                  <w:pPr>
                    <w:pStyle w:val="27"/>
                    <w:rPr>
                      <w:color w:val="auto"/>
                      <w:highlight w:val="none"/>
                    </w:rPr>
                  </w:pPr>
                  <w:r>
                    <w:rPr>
                      <w:color w:val="auto"/>
                      <w:highlight w:val="none"/>
                    </w:rPr>
                    <w:t>0.0009</w:t>
                  </w:r>
                </w:p>
              </w:tc>
              <w:tc>
                <w:tcPr>
                  <w:tcW w:w="792" w:type="dxa"/>
                  <w:tcBorders>
                    <w:tl2br w:val="nil"/>
                    <w:tr2bl w:val="nil"/>
                  </w:tcBorders>
                  <w:shd w:val="clear" w:color="auto" w:fill="auto"/>
                  <w:vAlign w:val="center"/>
                </w:tcPr>
                <w:p w14:paraId="450DA092">
                  <w:pPr>
                    <w:pStyle w:val="27"/>
                    <w:rPr>
                      <w:color w:val="auto"/>
                      <w:highlight w:val="none"/>
                    </w:rPr>
                  </w:pPr>
                  <w:r>
                    <w:rPr>
                      <w:color w:val="auto"/>
                      <w:highlight w:val="none"/>
                    </w:rPr>
                    <w:t>0.0002</w:t>
                  </w:r>
                </w:p>
              </w:tc>
              <w:tc>
                <w:tcPr>
                  <w:tcW w:w="788" w:type="dxa"/>
                  <w:vMerge w:val="continue"/>
                  <w:tcBorders>
                    <w:tl2br w:val="nil"/>
                    <w:tr2bl w:val="nil"/>
                  </w:tcBorders>
                  <w:shd w:val="clear" w:color="auto" w:fill="auto"/>
                  <w:vAlign w:val="center"/>
                </w:tcPr>
                <w:p w14:paraId="77BA92A1">
                  <w:pPr>
                    <w:spacing w:line="0" w:lineRule="atLeast"/>
                    <w:jc w:val="center"/>
                    <w:rPr>
                      <w:bCs/>
                      <w:color w:val="auto"/>
                      <w:szCs w:val="21"/>
                      <w:highlight w:val="none"/>
                    </w:rPr>
                  </w:pPr>
                </w:p>
              </w:tc>
              <w:tc>
                <w:tcPr>
                  <w:tcW w:w="630" w:type="dxa"/>
                  <w:tcBorders>
                    <w:tl2br w:val="nil"/>
                    <w:tr2bl w:val="nil"/>
                  </w:tcBorders>
                  <w:shd w:val="clear" w:color="auto" w:fill="auto"/>
                  <w:vAlign w:val="center"/>
                </w:tcPr>
                <w:p w14:paraId="682130D3">
                  <w:pPr>
                    <w:spacing w:line="0" w:lineRule="atLeast"/>
                    <w:jc w:val="center"/>
                    <w:rPr>
                      <w:bCs/>
                      <w:color w:val="auto"/>
                      <w:szCs w:val="21"/>
                      <w:highlight w:val="none"/>
                    </w:rPr>
                  </w:pPr>
                  <w:r>
                    <w:rPr>
                      <w:rFonts w:hint="eastAsia"/>
                      <w:bCs/>
                      <w:color w:val="auto"/>
                      <w:szCs w:val="21"/>
                      <w:highlight w:val="none"/>
                    </w:rPr>
                    <w:t>60</w:t>
                  </w:r>
                </w:p>
              </w:tc>
              <w:tc>
                <w:tcPr>
                  <w:tcW w:w="743" w:type="dxa"/>
                  <w:tcBorders>
                    <w:tl2br w:val="nil"/>
                    <w:tr2bl w:val="nil"/>
                  </w:tcBorders>
                  <w:shd w:val="clear" w:color="auto" w:fill="auto"/>
                  <w:vAlign w:val="center"/>
                </w:tcPr>
                <w:p w14:paraId="188232A6">
                  <w:pPr>
                    <w:pStyle w:val="27"/>
                    <w:rPr>
                      <w:color w:val="auto"/>
                      <w:highlight w:val="none"/>
                    </w:rPr>
                  </w:pPr>
                  <w:r>
                    <w:rPr>
                      <w:rFonts w:hint="eastAsia"/>
                      <w:color w:val="auto"/>
                      <w:highlight w:val="none"/>
                    </w:rPr>
                    <w:t>0.0001</w:t>
                  </w:r>
                </w:p>
              </w:tc>
              <w:tc>
                <w:tcPr>
                  <w:tcW w:w="908" w:type="dxa"/>
                  <w:tcBorders>
                    <w:tl2br w:val="nil"/>
                    <w:tr2bl w:val="nil"/>
                  </w:tcBorders>
                  <w:shd w:val="clear" w:color="auto" w:fill="auto"/>
                  <w:vAlign w:val="center"/>
                </w:tcPr>
                <w:p w14:paraId="166EF79E">
                  <w:pPr>
                    <w:pStyle w:val="27"/>
                    <w:rPr>
                      <w:color w:val="auto"/>
                      <w:highlight w:val="none"/>
                    </w:rPr>
                  </w:pPr>
                  <w:r>
                    <w:rPr>
                      <w:color w:val="auto"/>
                      <w:highlight w:val="none"/>
                    </w:rPr>
                    <w:t>0.12</w:t>
                  </w:r>
                </w:p>
              </w:tc>
              <w:tc>
                <w:tcPr>
                  <w:tcW w:w="861" w:type="dxa"/>
                  <w:tcBorders>
                    <w:tl2br w:val="nil"/>
                    <w:tr2bl w:val="nil"/>
                  </w:tcBorders>
                  <w:shd w:val="clear" w:color="auto" w:fill="auto"/>
                  <w:vAlign w:val="center"/>
                </w:tcPr>
                <w:p w14:paraId="78FEA240">
                  <w:pPr>
                    <w:pStyle w:val="27"/>
                    <w:rPr>
                      <w:color w:val="auto"/>
                      <w:highlight w:val="none"/>
                    </w:rPr>
                  </w:pPr>
                  <w:r>
                    <w:rPr>
                      <w:color w:val="auto"/>
                      <w:highlight w:val="none"/>
                    </w:rPr>
                    <w:t>0.0004</w:t>
                  </w:r>
                </w:p>
              </w:tc>
            </w:tr>
            <w:tr w14:paraId="57797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1" w:type="dxa"/>
                  <w:vMerge w:val="continue"/>
                  <w:tcBorders>
                    <w:tl2br w:val="nil"/>
                    <w:tr2bl w:val="nil"/>
                  </w:tcBorders>
                  <w:vAlign w:val="center"/>
                </w:tcPr>
                <w:p w14:paraId="67B7EA41">
                  <w:pPr>
                    <w:spacing w:line="0" w:lineRule="atLeast"/>
                    <w:jc w:val="center"/>
                    <w:rPr>
                      <w:color w:val="auto"/>
                      <w:szCs w:val="21"/>
                      <w:highlight w:val="none"/>
                    </w:rPr>
                  </w:pPr>
                </w:p>
              </w:tc>
              <w:tc>
                <w:tcPr>
                  <w:tcW w:w="978" w:type="dxa"/>
                  <w:tcBorders>
                    <w:tl2br w:val="nil"/>
                    <w:tr2bl w:val="nil"/>
                  </w:tcBorders>
                  <w:shd w:val="clear" w:color="auto" w:fill="auto"/>
                  <w:vAlign w:val="center"/>
                </w:tcPr>
                <w:p w14:paraId="00C39DA2">
                  <w:pPr>
                    <w:adjustRightInd w:val="0"/>
                    <w:snapToGrid w:val="0"/>
                    <w:jc w:val="center"/>
                    <w:rPr>
                      <w:bCs/>
                      <w:color w:val="auto"/>
                      <w:spacing w:val="-10"/>
                      <w:szCs w:val="21"/>
                      <w:highlight w:val="none"/>
                    </w:rPr>
                  </w:pPr>
                  <w:r>
                    <w:rPr>
                      <w:bCs/>
                      <w:color w:val="auto"/>
                      <w:spacing w:val="-10"/>
                      <w:szCs w:val="21"/>
                      <w:highlight w:val="none"/>
                    </w:rPr>
                    <w:t>硫化氢</w:t>
                  </w:r>
                </w:p>
              </w:tc>
              <w:tc>
                <w:tcPr>
                  <w:tcW w:w="539" w:type="dxa"/>
                  <w:vMerge w:val="continue"/>
                  <w:tcBorders>
                    <w:tl2br w:val="nil"/>
                    <w:tr2bl w:val="nil"/>
                  </w:tcBorders>
                  <w:vAlign w:val="center"/>
                </w:tcPr>
                <w:p w14:paraId="5183AE70">
                  <w:pPr>
                    <w:adjustRightInd w:val="0"/>
                    <w:snapToGrid w:val="0"/>
                    <w:jc w:val="center"/>
                    <w:rPr>
                      <w:bCs/>
                      <w:color w:val="auto"/>
                      <w:spacing w:val="-10"/>
                      <w:szCs w:val="21"/>
                      <w:highlight w:val="none"/>
                    </w:rPr>
                  </w:pPr>
                </w:p>
              </w:tc>
              <w:tc>
                <w:tcPr>
                  <w:tcW w:w="844" w:type="dxa"/>
                  <w:tcBorders>
                    <w:tl2br w:val="nil"/>
                    <w:tr2bl w:val="nil"/>
                  </w:tcBorders>
                  <w:shd w:val="clear" w:color="auto" w:fill="auto"/>
                  <w:vAlign w:val="center"/>
                </w:tcPr>
                <w:p w14:paraId="22CC8E3E">
                  <w:pPr>
                    <w:pStyle w:val="27"/>
                    <w:rPr>
                      <w:color w:val="auto"/>
                      <w:highlight w:val="none"/>
                    </w:rPr>
                  </w:pPr>
                  <w:r>
                    <w:rPr>
                      <w:color w:val="auto"/>
                      <w:highlight w:val="none"/>
                    </w:rPr>
                    <w:t>1.8</w:t>
                  </w:r>
                </w:p>
              </w:tc>
              <w:tc>
                <w:tcPr>
                  <w:tcW w:w="750" w:type="dxa"/>
                  <w:tcBorders>
                    <w:tl2br w:val="nil"/>
                    <w:tr2bl w:val="nil"/>
                  </w:tcBorders>
                  <w:shd w:val="clear" w:color="auto" w:fill="auto"/>
                  <w:vAlign w:val="center"/>
                </w:tcPr>
                <w:p w14:paraId="79AA0A40">
                  <w:pPr>
                    <w:pStyle w:val="27"/>
                    <w:rPr>
                      <w:color w:val="auto"/>
                      <w:highlight w:val="none"/>
                    </w:rPr>
                  </w:pPr>
                  <w:r>
                    <w:rPr>
                      <w:color w:val="auto"/>
                      <w:highlight w:val="none"/>
                    </w:rPr>
                    <w:t>0.006</w:t>
                  </w:r>
                </w:p>
              </w:tc>
              <w:tc>
                <w:tcPr>
                  <w:tcW w:w="792" w:type="dxa"/>
                  <w:tcBorders>
                    <w:tl2br w:val="nil"/>
                    <w:tr2bl w:val="nil"/>
                  </w:tcBorders>
                  <w:shd w:val="clear" w:color="auto" w:fill="auto"/>
                  <w:vAlign w:val="center"/>
                </w:tcPr>
                <w:p w14:paraId="32ECFAB0">
                  <w:pPr>
                    <w:pStyle w:val="27"/>
                    <w:rPr>
                      <w:color w:val="auto"/>
                      <w:highlight w:val="none"/>
                    </w:rPr>
                  </w:pPr>
                  <w:r>
                    <w:rPr>
                      <w:color w:val="auto"/>
                      <w:highlight w:val="none"/>
                    </w:rPr>
                    <w:t>0.0016</w:t>
                  </w:r>
                </w:p>
              </w:tc>
              <w:tc>
                <w:tcPr>
                  <w:tcW w:w="788" w:type="dxa"/>
                  <w:vMerge w:val="continue"/>
                  <w:tcBorders>
                    <w:tl2br w:val="nil"/>
                    <w:tr2bl w:val="nil"/>
                  </w:tcBorders>
                  <w:vAlign w:val="center"/>
                </w:tcPr>
                <w:p w14:paraId="17963039">
                  <w:pPr>
                    <w:spacing w:line="0" w:lineRule="atLeast"/>
                    <w:jc w:val="center"/>
                    <w:rPr>
                      <w:bCs/>
                      <w:color w:val="auto"/>
                      <w:szCs w:val="21"/>
                      <w:highlight w:val="none"/>
                    </w:rPr>
                  </w:pPr>
                </w:p>
              </w:tc>
              <w:tc>
                <w:tcPr>
                  <w:tcW w:w="630" w:type="dxa"/>
                  <w:tcBorders>
                    <w:tl2br w:val="nil"/>
                    <w:tr2bl w:val="nil"/>
                  </w:tcBorders>
                  <w:vAlign w:val="center"/>
                </w:tcPr>
                <w:p w14:paraId="57E43198">
                  <w:pPr>
                    <w:pStyle w:val="27"/>
                    <w:rPr>
                      <w:color w:val="auto"/>
                      <w:highlight w:val="none"/>
                    </w:rPr>
                  </w:pPr>
                  <w:r>
                    <w:rPr>
                      <w:rFonts w:hint="eastAsia"/>
                      <w:color w:val="auto"/>
                      <w:highlight w:val="none"/>
                    </w:rPr>
                    <w:t>60</w:t>
                  </w:r>
                </w:p>
              </w:tc>
              <w:tc>
                <w:tcPr>
                  <w:tcW w:w="743" w:type="dxa"/>
                  <w:tcBorders>
                    <w:tl2br w:val="nil"/>
                    <w:tr2bl w:val="nil"/>
                  </w:tcBorders>
                  <w:shd w:val="clear" w:color="auto" w:fill="auto"/>
                  <w:vAlign w:val="center"/>
                </w:tcPr>
                <w:p w14:paraId="250901C0">
                  <w:pPr>
                    <w:pStyle w:val="27"/>
                    <w:rPr>
                      <w:color w:val="auto"/>
                      <w:highlight w:val="none"/>
                    </w:rPr>
                  </w:pPr>
                  <w:r>
                    <w:rPr>
                      <w:rFonts w:hint="eastAsia"/>
                      <w:color w:val="auto"/>
                      <w:highlight w:val="none"/>
                    </w:rPr>
                    <w:t>0.0006</w:t>
                  </w:r>
                </w:p>
              </w:tc>
              <w:tc>
                <w:tcPr>
                  <w:tcW w:w="908" w:type="dxa"/>
                  <w:tcBorders>
                    <w:tl2br w:val="nil"/>
                    <w:tr2bl w:val="nil"/>
                  </w:tcBorders>
                  <w:shd w:val="clear" w:color="auto" w:fill="auto"/>
                  <w:vAlign w:val="center"/>
                </w:tcPr>
                <w:p w14:paraId="064320F0">
                  <w:pPr>
                    <w:pStyle w:val="27"/>
                    <w:rPr>
                      <w:color w:val="auto"/>
                      <w:highlight w:val="none"/>
                    </w:rPr>
                  </w:pPr>
                  <w:r>
                    <w:rPr>
                      <w:color w:val="auto"/>
                      <w:highlight w:val="none"/>
                    </w:rPr>
                    <w:t>0.72</w:t>
                  </w:r>
                </w:p>
              </w:tc>
              <w:tc>
                <w:tcPr>
                  <w:tcW w:w="861" w:type="dxa"/>
                  <w:tcBorders>
                    <w:tl2br w:val="nil"/>
                    <w:tr2bl w:val="nil"/>
                  </w:tcBorders>
                  <w:shd w:val="clear" w:color="auto" w:fill="auto"/>
                  <w:vAlign w:val="center"/>
                </w:tcPr>
                <w:p w14:paraId="64BD3EC5">
                  <w:pPr>
                    <w:pStyle w:val="27"/>
                    <w:rPr>
                      <w:color w:val="auto"/>
                      <w:highlight w:val="none"/>
                    </w:rPr>
                  </w:pPr>
                  <w:r>
                    <w:rPr>
                      <w:color w:val="auto"/>
                      <w:highlight w:val="none"/>
                    </w:rPr>
                    <w:t>0.002</w:t>
                  </w:r>
                </w:p>
              </w:tc>
            </w:tr>
            <w:tr w14:paraId="460E8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1" w:type="dxa"/>
                  <w:vMerge w:val="continue"/>
                  <w:tcBorders>
                    <w:tl2br w:val="nil"/>
                    <w:tr2bl w:val="nil"/>
                  </w:tcBorders>
                  <w:vAlign w:val="center"/>
                </w:tcPr>
                <w:p w14:paraId="3E303282">
                  <w:pPr>
                    <w:spacing w:line="0" w:lineRule="atLeast"/>
                    <w:jc w:val="center"/>
                    <w:rPr>
                      <w:color w:val="auto"/>
                      <w:szCs w:val="21"/>
                      <w:highlight w:val="none"/>
                    </w:rPr>
                  </w:pPr>
                </w:p>
              </w:tc>
              <w:tc>
                <w:tcPr>
                  <w:tcW w:w="978" w:type="dxa"/>
                  <w:tcBorders>
                    <w:tl2br w:val="nil"/>
                    <w:tr2bl w:val="nil"/>
                  </w:tcBorders>
                  <w:vAlign w:val="center"/>
                </w:tcPr>
                <w:p w14:paraId="5CC98818">
                  <w:pPr>
                    <w:adjustRightInd w:val="0"/>
                    <w:snapToGrid w:val="0"/>
                    <w:jc w:val="center"/>
                    <w:rPr>
                      <w:color w:val="auto"/>
                      <w:szCs w:val="21"/>
                      <w:highlight w:val="none"/>
                    </w:rPr>
                  </w:pPr>
                  <w:r>
                    <w:rPr>
                      <w:bCs/>
                      <w:color w:val="auto"/>
                      <w:spacing w:val="-10"/>
                      <w:szCs w:val="21"/>
                      <w:highlight w:val="none"/>
                    </w:rPr>
                    <w:t>氯化氢</w:t>
                  </w:r>
                </w:p>
              </w:tc>
              <w:tc>
                <w:tcPr>
                  <w:tcW w:w="539" w:type="dxa"/>
                  <w:vMerge w:val="continue"/>
                  <w:tcBorders>
                    <w:tl2br w:val="nil"/>
                    <w:tr2bl w:val="nil"/>
                  </w:tcBorders>
                  <w:vAlign w:val="center"/>
                </w:tcPr>
                <w:p w14:paraId="1568A108">
                  <w:pPr>
                    <w:adjustRightInd w:val="0"/>
                    <w:snapToGrid w:val="0"/>
                    <w:jc w:val="center"/>
                    <w:rPr>
                      <w:bCs/>
                      <w:color w:val="auto"/>
                      <w:spacing w:val="-10"/>
                      <w:szCs w:val="21"/>
                      <w:highlight w:val="none"/>
                    </w:rPr>
                  </w:pPr>
                </w:p>
              </w:tc>
              <w:tc>
                <w:tcPr>
                  <w:tcW w:w="844" w:type="dxa"/>
                  <w:tcBorders>
                    <w:tl2br w:val="nil"/>
                    <w:tr2bl w:val="nil"/>
                  </w:tcBorders>
                  <w:shd w:val="clear" w:color="auto" w:fill="auto"/>
                  <w:vAlign w:val="center"/>
                </w:tcPr>
                <w:p w14:paraId="7964D1E1">
                  <w:pPr>
                    <w:pStyle w:val="27"/>
                    <w:rPr>
                      <w:color w:val="auto"/>
                      <w:highlight w:val="none"/>
                    </w:rPr>
                  </w:pPr>
                  <w:r>
                    <w:rPr>
                      <w:color w:val="auto"/>
                      <w:highlight w:val="none"/>
                    </w:rPr>
                    <w:t>25.52</w:t>
                  </w:r>
                </w:p>
              </w:tc>
              <w:tc>
                <w:tcPr>
                  <w:tcW w:w="750" w:type="dxa"/>
                  <w:tcBorders>
                    <w:tl2br w:val="nil"/>
                    <w:tr2bl w:val="nil"/>
                  </w:tcBorders>
                  <w:shd w:val="clear" w:color="auto" w:fill="auto"/>
                  <w:vAlign w:val="center"/>
                </w:tcPr>
                <w:p w14:paraId="734D66A4">
                  <w:pPr>
                    <w:pStyle w:val="27"/>
                    <w:rPr>
                      <w:color w:val="auto"/>
                      <w:highlight w:val="none"/>
                    </w:rPr>
                  </w:pPr>
                  <w:r>
                    <w:rPr>
                      <w:color w:val="auto"/>
                      <w:highlight w:val="none"/>
                    </w:rPr>
                    <w:t>0.225</w:t>
                  </w:r>
                </w:p>
              </w:tc>
              <w:tc>
                <w:tcPr>
                  <w:tcW w:w="792" w:type="dxa"/>
                  <w:tcBorders>
                    <w:tl2br w:val="nil"/>
                    <w:tr2bl w:val="nil"/>
                  </w:tcBorders>
                  <w:shd w:val="clear" w:color="auto" w:fill="auto"/>
                  <w:vAlign w:val="center"/>
                </w:tcPr>
                <w:p w14:paraId="19C31455">
                  <w:pPr>
                    <w:pStyle w:val="27"/>
                    <w:rPr>
                      <w:color w:val="auto"/>
                      <w:highlight w:val="none"/>
                    </w:rPr>
                  </w:pPr>
                  <w:r>
                    <w:rPr>
                      <w:color w:val="auto"/>
                      <w:highlight w:val="none"/>
                    </w:rPr>
                    <w:t>0.059</w:t>
                  </w:r>
                </w:p>
              </w:tc>
              <w:tc>
                <w:tcPr>
                  <w:tcW w:w="788" w:type="dxa"/>
                  <w:vMerge w:val="continue"/>
                  <w:tcBorders>
                    <w:tl2br w:val="nil"/>
                    <w:tr2bl w:val="nil"/>
                  </w:tcBorders>
                  <w:vAlign w:val="center"/>
                </w:tcPr>
                <w:p w14:paraId="6FCF9E98">
                  <w:pPr>
                    <w:spacing w:line="0" w:lineRule="atLeast"/>
                    <w:jc w:val="center"/>
                    <w:rPr>
                      <w:bCs/>
                      <w:color w:val="auto"/>
                      <w:szCs w:val="21"/>
                      <w:highlight w:val="none"/>
                    </w:rPr>
                  </w:pPr>
                </w:p>
              </w:tc>
              <w:tc>
                <w:tcPr>
                  <w:tcW w:w="630" w:type="dxa"/>
                  <w:tcBorders>
                    <w:tl2br w:val="nil"/>
                    <w:tr2bl w:val="nil"/>
                  </w:tcBorders>
                  <w:vAlign w:val="center"/>
                </w:tcPr>
                <w:p w14:paraId="372F83D0">
                  <w:pPr>
                    <w:pStyle w:val="27"/>
                    <w:rPr>
                      <w:color w:val="auto"/>
                      <w:highlight w:val="none"/>
                    </w:rPr>
                  </w:pPr>
                  <w:r>
                    <w:rPr>
                      <w:rFonts w:hint="eastAsia"/>
                      <w:color w:val="auto"/>
                      <w:highlight w:val="none"/>
                    </w:rPr>
                    <w:t>60</w:t>
                  </w:r>
                </w:p>
              </w:tc>
              <w:tc>
                <w:tcPr>
                  <w:tcW w:w="743" w:type="dxa"/>
                  <w:tcBorders>
                    <w:tl2br w:val="nil"/>
                    <w:tr2bl w:val="nil"/>
                  </w:tcBorders>
                  <w:shd w:val="clear" w:color="auto" w:fill="auto"/>
                  <w:vAlign w:val="center"/>
                </w:tcPr>
                <w:p w14:paraId="626E6E9F">
                  <w:pPr>
                    <w:pStyle w:val="27"/>
                    <w:rPr>
                      <w:color w:val="auto"/>
                      <w:highlight w:val="none"/>
                    </w:rPr>
                  </w:pPr>
                  <w:r>
                    <w:rPr>
                      <w:rFonts w:hint="eastAsia"/>
                      <w:color w:val="auto"/>
                      <w:highlight w:val="none"/>
                    </w:rPr>
                    <w:t>0.0234</w:t>
                  </w:r>
                </w:p>
              </w:tc>
              <w:tc>
                <w:tcPr>
                  <w:tcW w:w="908" w:type="dxa"/>
                  <w:tcBorders>
                    <w:tl2br w:val="nil"/>
                    <w:tr2bl w:val="nil"/>
                  </w:tcBorders>
                  <w:shd w:val="clear" w:color="auto" w:fill="auto"/>
                  <w:vAlign w:val="center"/>
                </w:tcPr>
                <w:p w14:paraId="6F61BE7D">
                  <w:pPr>
                    <w:pStyle w:val="27"/>
                    <w:rPr>
                      <w:color w:val="auto"/>
                      <w:highlight w:val="none"/>
                    </w:rPr>
                  </w:pPr>
                  <w:r>
                    <w:rPr>
                      <w:color w:val="auto"/>
                      <w:highlight w:val="none"/>
                    </w:rPr>
                    <w:t>10.21</w:t>
                  </w:r>
                </w:p>
              </w:tc>
              <w:tc>
                <w:tcPr>
                  <w:tcW w:w="861" w:type="dxa"/>
                  <w:tcBorders>
                    <w:tl2br w:val="nil"/>
                    <w:tr2bl w:val="nil"/>
                  </w:tcBorders>
                  <w:shd w:val="clear" w:color="auto" w:fill="auto"/>
                  <w:vAlign w:val="center"/>
                </w:tcPr>
                <w:p w14:paraId="3411E39F">
                  <w:pPr>
                    <w:pStyle w:val="27"/>
                    <w:rPr>
                      <w:color w:val="auto"/>
                      <w:highlight w:val="none"/>
                    </w:rPr>
                  </w:pPr>
                  <w:r>
                    <w:rPr>
                      <w:color w:val="auto"/>
                      <w:highlight w:val="none"/>
                    </w:rPr>
                    <w:t>0.09</w:t>
                  </w:r>
                </w:p>
              </w:tc>
            </w:tr>
            <w:tr w14:paraId="12B38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1" w:type="dxa"/>
                  <w:vMerge w:val="continue"/>
                  <w:tcBorders>
                    <w:tl2br w:val="nil"/>
                    <w:tr2bl w:val="nil"/>
                  </w:tcBorders>
                  <w:vAlign w:val="center"/>
                </w:tcPr>
                <w:p w14:paraId="05B2FCAF">
                  <w:pPr>
                    <w:spacing w:line="0" w:lineRule="atLeast"/>
                    <w:jc w:val="center"/>
                    <w:rPr>
                      <w:color w:val="auto"/>
                      <w:szCs w:val="21"/>
                      <w:highlight w:val="none"/>
                    </w:rPr>
                  </w:pPr>
                </w:p>
              </w:tc>
              <w:tc>
                <w:tcPr>
                  <w:tcW w:w="978" w:type="dxa"/>
                  <w:tcBorders>
                    <w:tl2br w:val="nil"/>
                    <w:tr2bl w:val="nil"/>
                  </w:tcBorders>
                  <w:vAlign w:val="center"/>
                </w:tcPr>
                <w:p w14:paraId="7A1CDEE7">
                  <w:pPr>
                    <w:adjustRightInd w:val="0"/>
                    <w:snapToGrid w:val="0"/>
                    <w:jc w:val="center"/>
                    <w:rPr>
                      <w:color w:val="auto"/>
                      <w:szCs w:val="21"/>
                      <w:highlight w:val="none"/>
                    </w:rPr>
                  </w:pPr>
                  <w:r>
                    <w:rPr>
                      <w:bCs/>
                      <w:color w:val="auto"/>
                      <w:spacing w:val="-10"/>
                      <w:szCs w:val="21"/>
                      <w:highlight w:val="none"/>
                    </w:rPr>
                    <w:t>汞</w:t>
                  </w:r>
                </w:p>
              </w:tc>
              <w:tc>
                <w:tcPr>
                  <w:tcW w:w="539" w:type="dxa"/>
                  <w:vMerge w:val="continue"/>
                  <w:tcBorders>
                    <w:tl2br w:val="nil"/>
                    <w:tr2bl w:val="nil"/>
                  </w:tcBorders>
                  <w:vAlign w:val="center"/>
                </w:tcPr>
                <w:p w14:paraId="5F3EDD56">
                  <w:pPr>
                    <w:adjustRightInd w:val="0"/>
                    <w:snapToGrid w:val="0"/>
                    <w:jc w:val="center"/>
                    <w:rPr>
                      <w:bCs/>
                      <w:color w:val="auto"/>
                      <w:spacing w:val="-10"/>
                      <w:szCs w:val="21"/>
                      <w:highlight w:val="none"/>
                    </w:rPr>
                  </w:pPr>
                </w:p>
              </w:tc>
              <w:tc>
                <w:tcPr>
                  <w:tcW w:w="844" w:type="dxa"/>
                  <w:tcBorders>
                    <w:tl2br w:val="nil"/>
                    <w:tr2bl w:val="nil"/>
                  </w:tcBorders>
                  <w:shd w:val="clear" w:color="auto" w:fill="auto"/>
                  <w:vAlign w:val="center"/>
                </w:tcPr>
                <w:p w14:paraId="0AF5A523">
                  <w:pPr>
                    <w:pStyle w:val="27"/>
                    <w:rPr>
                      <w:color w:val="auto"/>
                      <w:highlight w:val="none"/>
                    </w:rPr>
                  </w:pPr>
                  <w:r>
                    <w:rPr>
                      <w:color w:val="auto"/>
                      <w:highlight w:val="none"/>
                    </w:rPr>
                    <w:t>0.0591</w:t>
                  </w:r>
                </w:p>
              </w:tc>
              <w:tc>
                <w:tcPr>
                  <w:tcW w:w="750" w:type="dxa"/>
                  <w:tcBorders>
                    <w:tl2br w:val="nil"/>
                    <w:tr2bl w:val="nil"/>
                  </w:tcBorders>
                  <w:shd w:val="clear" w:color="auto" w:fill="auto"/>
                  <w:vAlign w:val="center"/>
                </w:tcPr>
                <w:p w14:paraId="1B59CC84">
                  <w:pPr>
                    <w:pStyle w:val="27"/>
                    <w:rPr>
                      <w:color w:val="auto"/>
                      <w:highlight w:val="none"/>
                    </w:rPr>
                  </w:pPr>
                  <w:r>
                    <w:rPr>
                      <w:color w:val="auto"/>
                      <w:highlight w:val="none"/>
                    </w:rPr>
                    <w:t>0.0018</w:t>
                  </w:r>
                </w:p>
              </w:tc>
              <w:tc>
                <w:tcPr>
                  <w:tcW w:w="792" w:type="dxa"/>
                  <w:tcBorders>
                    <w:tl2br w:val="nil"/>
                    <w:tr2bl w:val="nil"/>
                  </w:tcBorders>
                  <w:shd w:val="clear" w:color="auto" w:fill="auto"/>
                  <w:vAlign w:val="center"/>
                </w:tcPr>
                <w:p w14:paraId="7636D6A4">
                  <w:pPr>
                    <w:pStyle w:val="27"/>
                    <w:rPr>
                      <w:color w:val="auto"/>
                      <w:highlight w:val="none"/>
                    </w:rPr>
                  </w:pPr>
                  <w:r>
                    <w:rPr>
                      <w:color w:val="auto"/>
                      <w:highlight w:val="none"/>
                    </w:rPr>
                    <w:t>0.0005</w:t>
                  </w:r>
                </w:p>
              </w:tc>
              <w:tc>
                <w:tcPr>
                  <w:tcW w:w="788" w:type="dxa"/>
                  <w:vMerge w:val="continue"/>
                  <w:tcBorders>
                    <w:tl2br w:val="nil"/>
                    <w:tr2bl w:val="nil"/>
                  </w:tcBorders>
                  <w:vAlign w:val="center"/>
                </w:tcPr>
                <w:p w14:paraId="7315A8E3">
                  <w:pPr>
                    <w:spacing w:line="0" w:lineRule="atLeast"/>
                    <w:jc w:val="center"/>
                    <w:rPr>
                      <w:bCs/>
                      <w:color w:val="auto"/>
                      <w:szCs w:val="21"/>
                      <w:highlight w:val="none"/>
                    </w:rPr>
                  </w:pPr>
                </w:p>
              </w:tc>
              <w:tc>
                <w:tcPr>
                  <w:tcW w:w="630" w:type="dxa"/>
                  <w:tcBorders>
                    <w:tl2br w:val="nil"/>
                    <w:tr2bl w:val="nil"/>
                  </w:tcBorders>
                  <w:vAlign w:val="center"/>
                </w:tcPr>
                <w:p w14:paraId="1DF7714D">
                  <w:pPr>
                    <w:pStyle w:val="27"/>
                    <w:rPr>
                      <w:color w:val="auto"/>
                      <w:highlight w:val="none"/>
                    </w:rPr>
                  </w:pPr>
                  <w:r>
                    <w:rPr>
                      <w:rFonts w:hint="eastAsia"/>
                      <w:color w:val="auto"/>
                      <w:highlight w:val="none"/>
                    </w:rPr>
                    <w:t>60</w:t>
                  </w:r>
                </w:p>
              </w:tc>
              <w:tc>
                <w:tcPr>
                  <w:tcW w:w="743" w:type="dxa"/>
                  <w:tcBorders>
                    <w:tl2br w:val="nil"/>
                    <w:tr2bl w:val="nil"/>
                  </w:tcBorders>
                  <w:shd w:val="clear" w:color="auto" w:fill="auto"/>
                  <w:vAlign w:val="center"/>
                </w:tcPr>
                <w:p w14:paraId="11159C6F">
                  <w:pPr>
                    <w:pStyle w:val="27"/>
                    <w:rPr>
                      <w:color w:val="auto"/>
                      <w:highlight w:val="none"/>
                    </w:rPr>
                  </w:pPr>
                  <w:r>
                    <w:rPr>
                      <w:rFonts w:hint="eastAsia"/>
                      <w:color w:val="auto"/>
                      <w:highlight w:val="none"/>
                    </w:rPr>
                    <w:t>0.0002</w:t>
                  </w:r>
                </w:p>
              </w:tc>
              <w:tc>
                <w:tcPr>
                  <w:tcW w:w="908" w:type="dxa"/>
                  <w:tcBorders>
                    <w:tl2br w:val="nil"/>
                    <w:tr2bl w:val="nil"/>
                  </w:tcBorders>
                  <w:shd w:val="clear" w:color="auto" w:fill="auto"/>
                  <w:vAlign w:val="center"/>
                </w:tcPr>
                <w:p w14:paraId="79B37061">
                  <w:pPr>
                    <w:pStyle w:val="27"/>
                    <w:rPr>
                      <w:color w:val="auto"/>
                      <w:highlight w:val="none"/>
                    </w:rPr>
                  </w:pPr>
                  <w:r>
                    <w:rPr>
                      <w:color w:val="auto"/>
                      <w:highlight w:val="none"/>
                    </w:rPr>
                    <w:t>0.02</w:t>
                  </w:r>
                </w:p>
              </w:tc>
              <w:tc>
                <w:tcPr>
                  <w:tcW w:w="861" w:type="dxa"/>
                  <w:tcBorders>
                    <w:tl2br w:val="nil"/>
                    <w:tr2bl w:val="nil"/>
                  </w:tcBorders>
                  <w:shd w:val="clear" w:color="auto" w:fill="auto"/>
                  <w:vAlign w:val="center"/>
                </w:tcPr>
                <w:p w14:paraId="58CDF7C9">
                  <w:pPr>
                    <w:pStyle w:val="27"/>
                    <w:rPr>
                      <w:color w:val="auto"/>
                      <w:highlight w:val="none"/>
                    </w:rPr>
                  </w:pPr>
                  <w:r>
                    <w:rPr>
                      <w:color w:val="auto"/>
                      <w:highlight w:val="none"/>
                    </w:rPr>
                    <w:t>0.001</w:t>
                  </w:r>
                </w:p>
              </w:tc>
            </w:tr>
            <w:tr w14:paraId="1F535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1" w:type="dxa"/>
                  <w:vMerge w:val="continue"/>
                  <w:tcBorders>
                    <w:tl2br w:val="nil"/>
                    <w:tr2bl w:val="nil"/>
                  </w:tcBorders>
                  <w:vAlign w:val="center"/>
                </w:tcPr>
                <w:p w14:paraId="5E811E1B">
                  <w:pPr>
                    <w:spacing w:line="0" w:lineRule="atLeast"/>
                    <w:jc w:val="center"/>
                    <w:rPr>
                      <w:color w:val="auto"/>
                      <w:szCs w:val="21"/>
                      <w:highlight w:val="none"/>
                    </w:rPr>
                  </w:pPr>
                </w:p>
              </w:tc>
              <w:tc>
                <w:tcPr>
                  <w:tcW w:w="978" w:type="dxa"/>
                  <w:tcBorders>
                    <w:tl2br w:val="nil"/>
                    <w:tr2bl w:val="nil"/>
                  </w:tcBorders>
                  <w:vAlign w:val="center"/>
                </w:tcPr>
                <w:p w14:paraId="11314F47">
                  <w:pPr>
                    <w:adjustRightInd w:val="0"/>
                    <w:snapToGrid w:val="0"/>
                    <w:jc w:val="center"/>
                    <w:rPr>
                      <w:color w:val="auto"/>
                      <w:szCs w:val="21"/>
                      <w:highlight w:val="none"/>
                    </w:rPr>
                  </w:pPr>
                  <w:r>
                    <w:rPr>
                      <w:bCs/>
                      <w:color w:val="auto"/>
                      <w:spacing w:val="-10"/>
                      <w:szCs w:val="21"/>
                      <w:highlight w:val="none"/>
                    </w:rPr>
                    <w:t>二噁英</w:t>
                  </w:r>
                </w:p>
              </w:tc>
              <w:tc>
                <w:tcPr>
                  <w:tcW w:w="539" w:type="dxa"/>
                  <w:vMerge w:val="continue"/>
                  <w:tcBorders>
                    <w:tl2br w:val="nil"/>
                    <w:tr2bl w:val="nil"/>
                  </w:tcBorders>
                  <w:vAlign w:val="center"/>
                </w:tcPr>
                <w:p w14:paraId="5079B6BB">
                  <w:pPr>
                    <w:adjustRightInd w:val="0"/>
                    <w:snapToGrid w:val="0"/>
                    <w:jc w:val="center"/>
                    <w:rPr>
                      <w:bCs/>
                      <w:color w:val="auto"/>
                      <w:spacing w:val="-10"/>
                      <w:szCs w:val="21"/>
                      <w:highlight w:val="none"/>
                    </w:rPr>
                  </w:pPr>
                </w:p>
              </w:tc>
              <w:tc>
                <w:tcPr>
                  <w:tcW w:w="844" w:type="dxa"/>
                  <w:tcBorders>
                    <w:tl2br w:val="nil"/>
                    <w:tr2bl w:val="nil"/>
                  </w:tcBorders>
                  <w:shd w:val="clear" w:color="auto" w:fill="auto"/>
                  <w:vAlign w:val="center"/>
                </w:tcPr>
                <w:p w14:paraId="3A4FF3F8">
                  <w:pPr>
                    <w:pStyle w:val="27"/>
                    <w:rPr>
                      <w:rFonts w:hint="eastAsia" w:eastAsia="宋体"/>
                      <w:color w:val="auto"/>
                      <w:highlight w:val="none"/>
                      <w:lang w:eastAsia="zh-CN"/>
                    </w:rPr>
                  </w:pPr>
                  <w:r>
                    <w:rPr>
                      <w:color w:val="auto"/>
                      <w:highlight w:val="none"/>
                    </w:rPr>
                    <w:t>4.1ng-TEQ/</w:t>
                  </w:r>
                  <w:r>
                    <w:rPr>
                      <w:rFonts w:hint="eastAsia"/>
                      <w:color w:val="auto"/>
                      <w:highlight w:val="none"/>
                      <w:vertAlign w:val="baseline"/>
                      <w:lang w:eastAsia="zh-CN"/>
                    </w:rPr>
                    <w:t>m</w:t>
                  </w:r>
                  <w:r>
                    <w:rPr>
                      <w:rFonts w:hint="eastAsia"/>
                      <w:color w:val="auto"/>
                      <w:highlight w:val="none"/>
                      <w:vertAlign w:val="superscript"/>
                      <w:lang w:eastAsia="zh-CN"/>
                    </w:rPr>
                    <w:t>3</w:t>
                  </w:r>
                </w:p>
              </w:tc>
              <w:tc>
                <w:tcPr>
                  <w:tcW w:w="750" w:type="dxa"/>
                  <w:tcBorders>
                    <w:tl2br w:val="nil"/>
                    <w:tr2bl w:val="nil"/>
                  </w:tcBorders>
                  <w:shd w:val="clear" w:color="auto" w:fill="auto"/>
                  <w:vAlign w:val="center"/>
                </w:tcPr>
                <w:p w14:paraId="6145EA68">
                  <w:pPr>
                    <w:pStyle w:val="27"/>
                    <w:rPr>
                      <w:color w:val="auto"/>
                      <w:highlight w:val="none"/>
                    </w:rPr>
                  </w:pPr>
                  <w:r>
                    <w:rPr>
                      <w:color w:val="auto"/>
                      <w:highlight w:val="none"/>
                    </w:rPr>
                    <w:t>14.1ug/h</w:t>
                  </w:r>
                </w:p>
              </w:tc>
              <w:tc>
                <w:tcPr>
                  <w:tcW w:w="792" w:type="dxa"/>
                  <w:tcBorders>
                    <w:tl2br w:val="nil"/>
                    <w:tr2bl w:val="nil"/>
                  </w:tcBorders>
                  <w:shd w:val="clear" w:color="auto" w:fill="auto"/>
                  <w:vAlign w:val="center"/>
                </w:tcPr>
                <w:p w14:paraId="43384E12">
                  <w:pPr>
                    <w:pStyle w:val="27"/>
                    <w:rPr>
                      <w:color w:val="auto"/>
                      <w:highlight w:val="none"/>
                    </w:rPr>
                  </w:pPr>
                  <w:r>
                    <w:rPr>
                      <w:color w:val="auto"/>
                      <w:highlight w:val="none"/>
                    </w:rPr>
                    <w:t>3.67</w:t>
                  </w:r>
                  <w:r>
                    <w:rPr>
                      <w:rFonts w:hint="eastAsia"/>
                      <w:color w:val="auto"/>
                      <w:highlight w:val="none"/>
                      <w:lang w:eastAsia="zh-CN"/>
                    </w:rPr>
                    <w:t>m</w:t>
                  </w:r>
                  <w:r>
                    <w:rPr>
                      <w:color w:val="auto"/>
                      <w:highlight w:val="none"/>
                    </w:rPr>
                    <w:t>g/a</w:t>
                  </w:r>
                </w:p>
              </w:tc>
              <w:tc>
                <w:tcPr>
                  <w:tcW w:w="788" w:type="dxa"/>
                  <w:vMerge w:val="continue"/>
                  <w:tcBorders>
                    <w:tl2br w:val="nil"/>
                    <w:tr2bl w:val="nil"/>
                  </w:tcBorders>
                  <w:vAlign w:val="center"/>
                </w:tcPr>
                <w:p w14:paraId="3A3074F4">
                  <w:pPr>
                    <w:spacing w:line="0" w:lineRule="atLeast"/>
                    <w:jc w:val="center"/>
                    <w:rPr>
                      <w:bCs/>
                      <w:color w:val="auto"/>
                      <w:szCs w:val="21"/>
                      <w:highlight w:val="none"/>
                    </w:rPr>
                  </w:pPr>
                </w:p>
              </w:tc>
              <w:tc>
                <w:tcPr>
                  <w:tcW w:w="630" w:type="dxa"/>
                  <w:tcBorders>
                    <w:tl2br w:val="nil"/>
                    <w:tr2bl w:val="nil"/>
                  </w:tcBorders>
                  <w:vAlign w:val="center"/>
                </w:tcPr>
                <w:p w14:paraId="790C2877">
                  <w:pPr>
                    <w:pStyle w:val="27"/>
                    <w:rPr>
                      <w:color w:val="auto"/>
                      <w:highlight w:val="none"/>
                    </w:rPr>
                  </w:pPr>
                  <w:r>
                    <w:rPr>
                      <w:rFonts w:hint="eastAsia"/>
                      <w:color w:val="auto"/>
                      <w:highlight w:val="none"/>
                    </w:rPr>
                    <w:t>89.2</w:t>
                  </w:r>
                </w:p>
              </w:tc>
              <w:tc>
                <w:tcPr>
                  <w:tcW w:w="743" w:type="dxa"/>
                  <w:tcBorders>
                    <w:tl2br w:val="nil"/>
                    <w:tr2bl w:val="nil"/>
                  </w:tcBorders>
                  <w:shd w:val="clear" w:color="auto" w:fill="auto"/>
                  <w:vAlign w:val="center"/>
                </w:tcPr>
                <w:p w14:paraId="16054E1F">
                  <w:pPr>
                    <w:pStyle w:val="27"/>
                    <w:rPr>
                      <w:color w:val="auto"/>
                      <w:highlight w:val="none"/>
                    </w:rPr>
                  </w:pPr>
                  <w:r>
                    <w:rPr>
                      <w:rFonts w:hint="eastAsia"/>
                      <w:color w:val="auto"/>
                      <w:highlight w:val="none"/>
                    </w:rPr>
                    <w:t>0.3959</w:t>
                  </w:r>
                  <w:r>
                    <w:rPr>
                      <w:rFonts w:hint="eastAsia"/>
                      <w:color w:val="auto"/>
                      <w:highlight w:val="none"/>
                      <w:lang w:eastAsia="zh-CN"/>
                    </w:rPr>
                    <w:t>m</w:t>
                  </w:r>
                  <w:r>
                    <w:rPr>
                      <w:rFonts w:hint="eastAsia"/>
                      <w:color w:val="auto"/>
                      <w:highlight w:val="none"/>
                    </w:rPr>
                    <w:t>g/a</w:t>
                  </w:r>
                </w:p>
              </w:tc>
              <w:tc>
                <w:tcPr>
                  <w:tcW w:w="908" w:type="dxa"/>
                  <w:tcBorders>
                    <w:tl2br w:val="nil"/>
                    <w:tr2bl w:val="nil"/>
                  </w:tcBorders>
                  <w:shd w:val="clear" w:color="auto" w:fill="auto"/>
                  <w:vAlign w:val="center"/>
                </w:tcPr>
                <w:p w14:paraId="3ED243A0">
                  <w:pPr>
                    <w:pStyle w:val="27"/>
                    <w:rPr>
                      <w:rFonts w:hint="eastAsia" w:eastAsia="宋体"/>
                      <w:color w:val="auto"/>
                      <w:highlight w:val="none"/>
                      <w:lang w:eastAsia="zh-CN"/>
                    </w:rPr>
                  </w:pPr>
                  <w:r>
                    <w:rPr>
                      <w:color w:val="auto"/>
                      <w:highlight w:val="none"/>
                    </w:rPr>
                    <w:t>0.44ng-TEQ/</w:t>
                  </w:r>
                  <w:r>
                    <w:rPr>
                      <w:rFonts w:hint="eastAsia"/>
                      <w:color w:val="auto"/>
                      <w:highlight w:val="none"/>
                      <w:vertAlign w:val="baseline"/>
                      <w:lang w:eastAsia="zh-CN"/>
                    </w:rPr>
                    <w:t>m</w:t>
                  </w:r>
                  <w:r>
                    <w:rPr>
                      <w:rFonts w:hint="eastAsia"/>
                      <w:color w:val="auto"/>
                      <w:highlight w:val="none"/>
                      <w:vertAlign w:val="superscript"/>
                      <w:lang w:eastAsia="zh-CN"/>
                    </w:rPr>
                    <w:t>3</w:t>
                  </w:r>
                </w:p>
              </w:tc>
              <w:tc>
                <w:tcPr>
                  <w:tcW w:w="861" w:type="dxa"/>
                  <w:tcBorders>
                    <w:tl2br w:val="nil"/>
                    <w:tr2bl w:val="nil"/>
                  </w:tcBorders>
                  <w:shd w:val="clear" w:color="auto" w:fill="auto"/>
                  <w:vAlign w:val="center"/>
                </w:tcPr>
                <w:p w14:paraId="76439FCC">
                  <w:pPr>
                    <w:pStyle w:val="27"/>
                    <w:rPr>
                      <w:color w:val="auto"/>
                      <w:highlight w:val="none"/>
                    </w:rPr>
                  </w:pPr>
                  <w:r>
                    <w:rPr>
                      <w:color w:val="auto"/>
                      <w:highlight w:val="none"/>
                    </w:rPr>
                    <w:t>1.52ug/h</w:t>
                  </w:r>
                </w:p>
              </w:tc>
            </w:tr>
            <w:tr w14:paraId="7DCC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284" w:type="dxa"/>
                  <w:gridSpan w:val="11"/>
                  <w:tcBorders>
                    <w:tl2br w:val="nil"/>
                    <w:tr2bl w:val="nil"/>
                  </w:tcBorders>
                  <w:vAlign w:val="center"/>
                </w:tcPr>
                <w:p w14:paraId="3419F41F">
                  <w:pPr>
                    <w:pStyle w:val="27"/>
                    <w:jc w:val="both"/>
                    <w:rPr>
                      <w:color w:val="auto"/>
                      <w:highlight w:val="none"/>
                    </w:rPr>
                  </w:pPr>
                  <w:r>
                    <w:rPr>
                      <w:rFonts w:hint="eastAsia"/>
                      <w:color w:val="auto"/>
                      <w:highlight w:val="none"/>
                    </w:rPr>
                    <w:t>备注：1.各污染物去除效率综合考虑企业提供的设计参数、《火葬场大气污染物排放标准（征求意见稿）编制说明》、类比同类型火化机以及处理方式的火化场数据。</w:t>
                  </w:r>
                </w:p>
                <w:p w14:paraId="673E4738">
                  <w:pPr>
                    <w:pStyle w:val="27"/>
                    <w:jc w:val="both"/>
                    <w:rPr>
                      <w:color w:val="auto"/>
                      <w:highlight w:val="none"/>
                    </w:rPr>
                  </w:pPr>
                  <w:r>
                    <w:rPr>
                      <w:rFonts w:hint="eastAsia"/>
                      <w:color w:val="auto"/>
                      <w:highlight w:val="none"/>
                    </w:rPr>
                    <w:t>2.根据《火化过程中二噁英类污染物减排技术研究》，采用</w:t>
                  </w:r>
                  <w:r>
                    <w:rPr>
                      <w:rFonts w:hint="eastAsia"/>
                      <w:color w:val="auto"/>
                      <w:highlight w:val="none"/>
                      <w:lang w:eastAsia="zh-CN"/>
                    </w:rPr>
                    <w:t>“</w:t>
                  </w:r>
                  <w:r>
                    <w:rPr>
                      <w:rFonts w:hint="eastAsia"/>
                      <w:color w:val="auto"/>
                      <w:highlight w:val="none"/>
                    </w:rPr>
                    <w:t>热交换器+</w:t>
                  </w:r>
                  <w:r>
                    <w:rPr>
                      <w:rFonts w:hint="eastAsia"/>
                      <w:color w:val="auto"/>
                      <w:highlight w:val="none"/>
                      <w:lang w:eastAsia="zh-CN"/>
                    </w:rPr>
                    <w:t>活性炭喷射装置+布袋除尘器”技术，</w:t>
                  </w:r>
                  <w:r>
                    <w:rPr>
                      <w:rFonts w:hint="eastAsia"/>
                      <w:color w:val="auto"/>
                      <w:highlight w:val="none"/>
                    </w:rPr>
                    <w:t>对二噁英的去除效率达</w:t>
                  </w:r>
                  <w:r>
                    <w:rPr>
                      <w:rFonts w:hint="eastAsia"/>
                      <w:color w:val="auto"/>
                      <w:highlight w:val="none"/>
                      <w:lang w:eastAsia="zh-CN"/>
                    </w:rPr>
                    <w:t>到了</w:t>
                  </w:r>
                  <w:r>
                    <w:rPr>
                      <w:rFonts w:hint="eastAsia"/>
                      <w:color w:val="auto"/>
                      <w:highlight w:val="none"/>
                    </w:rPr>
                    <w:t>89.2%。</w:t>
                  </w:r>
                </w:p>
              </w:tc>
            </w:tr>
          </w:tbl>
          <w:p w14:paraId="269DF02A">
            <w:pPr>
              <w:adjustRightInd w:val="0"/>
              <w:snapToGrid w:val="0"/>
              <w:spacing w:line="360" w:lineRule="auto"/>
              <w:ind w:firstLine="440" w:firstLineChars="200"/>
              <w:rPr>
                <w:bCs/>
                <w:color w:val="auto"/>
                <w:spacing w:val="-10"/>
                <w:sz w:val="24"/>
                <w:highlight w:val="none"/>
              </w:rPr>
            </w:pPr>
            <w:r>
              <w:rPr>
                <w:bCs/>
                <w:color w:val="auto"/>
                <w:spacing w:val="-10"/>
                <w:sz w:val="24"/>
                <w:highlight w:val="none"/>
              </w:rPr>
              <w:t>（2）焚烧炉废气</w:t>
            </w:r>
          </w:p>
          <w:p w14:paraId="3CBE8630">
            <w:pPr>
              <w:spacing w:line="360" w:lineRule="auto"/>
              <w:ind w:firstLine="480" w:firstLineChars="200"/>
              <w:rPr>
                <w:rFonts w:hint="eastAsia"/>
                <w:bCs/>
                <w:color w:val="auto"/>
                <w:sz w:val="24"/>
                <w:highlight w:val="none"/>
              </w:rPr>
            </w:pPr>
            <w:r>
              <w:rPr>
                <w:rFonts w:hint="eastAsia"/>
                <w:bCs/>
                <w:color w:val="auto"/>
                <w:sz w:val="24"/>
                <w:highlight w:val="none"/>
              </w:rPr>
              <w:t>本项目设置1台遗物祭品焚烧炉，主要焚烧逝者衣物等</w:t>
            </w:r>
            <w:r>
              <w:rPr>
                <w:rFonts w:hint="eastAsia"/>
                <w:bCs/>
                <w:color w:val="auto"/>
                <w:sz w:val="24"/>
                <w:highlight w:val="none"/>
                <w:lang w:eastAsia="zh-CN"/>
              </w:rPr>
              <w:t>遗物</w:t>
            </w:r>
            <w:r>
              <w:rPr>
                <w:rFonts w:hint="eastAsia"/>
                <w:bCs/>
                <w:color w:val="auto"/>
                <w:sz w:val="24"/>
                <w:highlight w:val="none"/>
              </w:rPr>
              <w:t>和祭奠用品。项目年火化遗体约260具，每具遗体产生的遗物按10kg计，则全年焚烧量约2.6t，焚烧炉焚烧时间130h/a。</w:t>
            </w:r>
          </w:p>
          <w:p w14:paraId="740C4F0F">
            <w:pPr>
              <w:spacing w:line="360" w:lineRule="auto"/>
              <w:ind w:firstLine="480" w:firstLineChars="200"/>
              <w:rPr>
                <w:rFonts w:hint="eastAsia"/>
                <w:bCs/>
                <w:color w:val="auto"/>
                <w:sz w:val="24"/>
                <w:highlight w:val="none"/>
              </w:rPr>
            </w:pPr>
            <w:r>
              <w:rPr>
                <w:rFonts w:hint="eastAsia"/>
                <w:bCs/>
                <w:color w:val="auto"/>
                <w:sz w:val="24"/>
                <w:highlight w:val="none"/>
              </w:rPr>
              <w:t>本项目遗物祭品焚烧废气源强参考2020年6月《靖远县殡仪馆建设项目竣工环境保护验收监测报告表》中焚烧炉排放浓度，验收监测期间工况正常。本项目焚烧炉与参考项目焚烧炉运行参数以及废气治理措施类似，靖远县殡仪馆年火化数量与本项目相近，废气治理措施为</w:t>
            </w:r>
            <w:r>
              <w:rPr>
                <w:rFonts w:hint="eastAsia"/>
                <w:bCs/>
                <w:color w:val="auto"/>
                <w:sz w:val="24"/>
                <w:highlight w:val="none"/>
                <w:lang w:eastAsia="zh-CN"/>
              </w:rPr>
              <w:t>“</w:t>
            </w:r>
            <w:r>
              <w:rPr>
                <w:rFonts w:hint="eastAsia"/>
                <w:bCs/>
                <w:color w:val="auto"/>
                <w:sz w:val="24"/>
                <w:highlight w:val="none"/>
              </w:rPr>
              <w:t>急冷+消石灰+</w:t>
            </w:r>
            <w:r>
              <w:rPr>
                <w:rFonts w:hint="eastAsia"/>
                <w:bCs/>
                <w:color w:val="auto"/>
                <w:sz w:val="24"/>
                <w:highlight w:val="none"/>
                <w:lang w:eastAsia="zh-CN"/>
              </w:rPr>
              <w:t>旋风除尘器</w:t>
            </w:r>
            <w:r>
              <w:rPr>
                <w:rFonts w:hint="eastAsia"/>
                <w:bCs/>
                <w:color w:val="auto"/>
                <w:sz w:val="24"/>
                <w:highlight w:val="none"/>
              </w:rPr>
              <w:t>+活性炭喷射装置+布袋除尘器+12</w:t>
            </w:r>
            <w:r>
              <w:rPr>
                <w:rFonts w:hint="eastAsia"/>
                <w:bCs/>
                <w:color w:val="auto"/>
                <w:sz w:val="24"/>
                <w:highlight w:val="none"/>
                <w:lang w:eastAsia="zh-CN"/>
              </w:rPr>
              <w:t>m</w:t>
            </w:r>
            <w:r>
              <w:rPr>
                <w:rFonts w:hint="eastAsia"/>
                <w:bCs/>
                <w:color w:val="auto"/>
                <w:sz w:val="24"/>
                <w:highlight w:val="none"/>
              </w:rPr>
              <w:t>排气筒</w:t>
            </w:r>
            <w:r>
              <w:rPr>
                <w:rFonts w:hint="eastAsia"/>
                <w:bCs/>
                <w:color w:val="auto"/>
                <w:sz w:val="24"/>
                <w:highlight w:val="none"/>
                <w:lang w:eastAsia="zh-CN"/>
              </w:rPr>
              <w:t>”</w:t>
            </w:r>
            <w:r>
              <w:rPr>
                <w:rFonts w:hint="eastAsia"/>
                <w:bCs/>
                <w:color w:val="auto"/>
                <w:sz w:val="24"/>
                <w:highlight w:val="none"/>
              </w:rPr>
              <w:t>，风量6000N</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rFonts w:hint="eastAsia"/>
                <w:bCs/>
                <w:color w:val="auto"/>
                <w:sz w:val="24"/>
                <w:highlight w:val="none"/>
              </w:rPr>
              <w:t>/h，因此参考可行。本项目遗物</w:t>
            </w:r>
            <w:r>
              <w:rPr>
                <w:rFonts w:hint="eastAsia"/>
                <w:bCs/>
                <w:color w:val="auto"/>
                <w:sz w:val="24"/>
                <w:highlight w:val="none"/>
                <w:lang w:eastAsia="zh-CN"/>
              </w:rPr>
              <w:t>和</w:t>
            </w:r>
            <w:r>
              <w:rPr>
                <w:rFonts w:hint="eastAsia"/>
                <w:bCs/>
                <w:color w:val="auto"/>
                <w:sz w:val="24"/>
                <w:highlight w:val="none"/>
              </w:rPr>
              <w:t>祭品焚烧</w:t>
            </w:r>
            <w:r>
              <w:rPr>
                <w:rFonts w:hint="eastAsia"/>
                <w:bCs/>
                <w:color w:val="auto"/>
                <w:sz w:val="24"/>
                <w:highlight w:val="none"/>
                <w:lang w:eastAsia="zh-CN"/>
              </w:rPr>
              <w:t>等</w:t>
            </w:r>
            <w:r>
              <w:rPr>
                <w:rFonts w:hint="eastAsia"/>
                <w:bCs/>
                <w:color w:val="auto"/>
                <w:sz w:val="24"/>
                <w:highlight w:val="none"/>
              </w:rPr>
              <w:t>各类污染物排放情况见表4-4。</w:t>
            </w:r>
          </w:p>
          <w:p w14:paraId="4D4E73F4">
            <w:pPr>
              <w:snapToGrid w:val="0"/>
              <w:spacing w:line="360" w:lineRule="auto"/>
              <w:jc w:val="center"/>
              <w:rPr>
                <w:b/>
                <w:color w:val="auto"/>
                <w:sz w:val="24"/>
                <w:highlight w:val="none"/>
              </w:rPr>
            </w:pPr>
            <w:r>
              <w:rPr>
                <w:b/>
                <w:color w:val="auto"/>
                <w:sz w:val="24"/>
                <w:highlight w:val="none"/>
              </w:rPr>
              <w:t>表4-</w:t>
            </w:r>
            <w:r>
              <w:rPr>
                <w:rFonts w:hint="eastAsia"/>
                <w:b/>
                <w:color w:val="auto"/>
                <w:sz w:val="24"/>
                <w:highlight w:val="none"/>
              </w:rPr>
              <w:t>4</w:t>
            </w:r>
            <w:r>
              <w:rPr>
                <w:b/>
                <w:color w:val="auto"/>
                <w:sz w:val="24"/>
                <w:highlight w:val="none"/>
              </w:rPr>
              <w:t xml:space="preserve"> 遗物</w:t>
            </w:r>
            <w:r>
              <w:rPr>
                <w:rFonts w:hint="eastAsia"/>
                <w:b/>
                <w:color w:val="auto"/>
                <w:sz w:val="24"/>
                <w:highlight w:val="none"/>
                <w:lang w:eastAsia="zh-CN"/>
              </w:rPr>
              <w:t>和</w:t>
            </w:r>
            <w:r>
              <w:rPr>
                <w:b/>
                <w:color w:val="auto"/>
                <w:sz w:val="24"/>
                <w:highlight w:val="none"/>
              </w:rPr>
              <w:t>祭品焚烧废气排放情况</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1"/>
              <w:gridCol w:w="2138"/>
              <w:gridCol w:w="2354"/>
              <w:gridCol w:w="2137"/>
            </w:tblGrid>
            <w:tr w14:paraId="0D9E3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2" w:type="pct"/>
                  <w:tcBorders>
                    <w:tl2br w:val="nil"/>
                    <w:tr2bl w:val="nil"/>
                  </w:tcBorders>
                  <w:vAlign w:val="center"/>
                </w:tcPr>
                <w:p w14:paraId="0D6EDB6B">
                  <w:pPr>
                    <w:pStyle w:val="27"/>
                    <w:rPr>
                      <w:b/>
                      <w:bCs/>
                      <w:color w:val="auto"/>
                      <w:highlight w:val="none"/>
                    </w:rPr>
                  </w:pPr>
                  <w:r>
                    <w:rPr>
                      <w:b/>
                      <w:bCs/>
                      <w:color w:val="auto"/>
                      <w:highlight w:val="none"/>
                    </w:rPr>
                    <w:t>序号</w:t>
                  </w:r>
                </w:p>
              </w:tc>
              <w:tc>
                <w:tcPr>
                  <w:tcW w:w="1293" w:type="pct"/>
                  <w:tcBorders>
                    <w:tl2br w:val="nil"/>
                    <w:tr2bl w:val="nil"/>
                  </w:tcBorders>
                  <w:vAlign w:val="center"/>
                </w:tcPr>
                <w:p w14:paraId="369644E1">
                  <w:pPr>
                    <w:pStyle w:val="27"/>
                    <w:rPr>
                      <w:b/>
                      <w:bCs/>
                      <w:color w:val="auto"/>
                      <w:highlight w:val="none"/>
                    </w:rPr>
                  </w:pPr>
                  <w:r>
                    <w:rPr>
                      <w:b/>
                      <w:bCs/>
                      <w:color w:val="auto"/>
                      <w:highlight w:val="none"/>
                    </w:rPr>
                    <w:t>污染物名称</w:t>
                  </w:r>
                </w:p>
              </w:tc>
              <w:tc>
                <w:tcPr>
                  <w:tcW w:w="1423" w:type="pct"/>
                  <w:tcBorders>
                    <w:tl2br w:val="nil"/>
                    <w:tr2bl w:val="nil"/>
                  </w:tcBorders>
                  <w:vAlign w:val="center"/>
                </w:tcPr>
                <w:p w14:paraId="7A5BC28E">
                  <w:pPr>
                    <w:pStyle w:val="27"/>
                    <w:rPr>
                      <w:b/>
                      <w:bCs/>
                      <w:color w:val="auto"/>
                      <w:highlight w:val="none"/>
                    </w:rPr>
                  </w:pPr>
                  <w:r>
                    <w:rPr>
                      <w:b/>
                      <w:bCs/>
                      <w:color w:val="auto"/>
                      <w:highlight w:val="none"/>
                    </w:rPr>
                    <w:t>排放浓度（</w:t>
                  </w:r>
                  <w:r>
                    <w:rPr>
                      <w:rFonts w:hint="eastAsia"/>
                      <w:b/>
                      <w:bCs/>
                      <w:color w:val="auto"/>
                      <w:highlight w:val="none"/>
                      <w:lang w:eastAsia="zh-CN"/>
                    </w:rPr>
                    <w:t>m</w:t>
                  </w:r>
                  <w:r>
                    <w:rPr>
                      <w:b/>
                      <w:bCs/>
                      <w:color w:val="auto"/>
                      <w:highlight w:val="none"/>
                    </w:rPr>
                    <w:t>g/</w:t>
                  </w:r>
                  <w:r>
                    <w:rPr>
                      <w:rFonts w:hint="eastAsia"/>
                      <w:b/>
                      <w:bCs/>
                      <w:color w:val="auto"/>
                      <w:highlight w:val="none"/>
                      <w:vertAlign w:val="baseline"/>
                      <w:lang w:eastAsia="zh-CN"/>
                    </w:rPr>
                    <w:t>m</w:t>
                  </w:r>
                  <w:r>
                    <w:rPr>
                      <w:rFonts w:hint="eastAsia"/>
                      <w:b/>
                      <w:bCs/>
                      <w:color w:val="auto"/>
                      <w:highlight w:val="none"/>
                      <w:vertAlign w:val="superscript"/>
                      <w:lang w:eastAsia="zh-CN"/>
                    </w:rPr>
                    <w:t>3</w:t>
                  </w:r>
                  <w:r>
                    <w:rPr>
                      <w:b/>
                      <w:bCs/>
                      <w:color w:val="auto"/>
                      <w:highlight w:val="none"/>
                    </w:rPr>
                    <w:t>）</w:t>
                  </w:r>
                </w:p>
              </w:tc>
              <w:tc>
                <w:tcPr>
                  <w:tcW w:w="1290" w:type="pct"/>
                  <w:tcBorders>
                    <w:tl2br w:val="nil"/>
                    <w:tr2bl w:val="nil"/>
                  </w:tcBorders>
                  <w:vAlign w:val="center"/>
                </w:tcPr>
                <w:p w14:paraId="61A1A373">
                  <w:pPr>
                    <w:pStyle w:val="27"/>
                    <w:rPr>
                      <w:b/>
                      <w:bCs/>
                      <w:color w:val="auto"/>
                      <w:highlight w:val="none"/>
                    </w:rPr>
                  </w:pPr>
                  <w:r>
                    <w:rPr>
                      <w:b/>
                      <w:bCs/>
                      <w:color w:val="auto"/>
                      <w:highlight w:val="none"/>
                    </w:rPr>
                    <w:t>排放速率（kg/h）</w:t>
                  </w:r>
                </w:p>
              </w:tc>
            </w:tr>
            <w:tr w14:paraId="35EA3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2" w:type="pct"/>
                  <w:tcBorders>
                    <w:tl2br w:val="nil"/>
                    <w:tr2bl w:val="nil"/>
                  </w:tcBorders>
                  <w:vAlign w:val="center"/>
                </w:tcPr>
                <w:p w14:paraId="2A20ECF4">
                  <w:pPr>
                    <w:pStyle w:val="27"/>
                    <w:rPr>
                      <w:color w:val="auto"/>
                      <w:highlight w:val="none"/>
                    </w:rPr>
                  </w:pPr>
                  <w:r>
                    <w:rPr>
                      <w:color w:val="auto"/>
                      <w:highlight w:val="none"/>
                    </w:rPr>
                    <w:t>1</w:t>
                  </w:r>
                </w:p>
              </w:tc>
              <w:tc>
                <w:tcPr>
                  <w:tcW w:w="1293" w:type="pct"/>
                  <w:tcBorders>
                    <w:tl2br w:val="nil"/>
                    <w:tr2bl w:val="nil"/>
                  </w:tcBorders>
                  <w:vAlign w:val="center"/>
                </w:tcPr>
                <w:p w14:paraId="34CE239E">
                  <w:pPr>
                    <w:pStyle w:val="27"/>
                    <w:rPr>
                      <w:color w:val="auto"/>
                      <w:highlight w:val="none"/>
                    </w:rPr>
                  </w:pPr>
                  <w:r>
                    <w:rPr>
                      <w:color w:val="auto"/>
                      <w:highlight w:val="none"/>
                    </w:rPr>
                    <w:t>烟尘</w:t>
                  </w:r>
                </w:p>
              </w:tc>
              <w:tc>
                <w:tcPr>
                  <w:tcW w:w="1423" w:type="pct"/>
                  <w:tcBorders>
                    <w:tl2br w:val="nil"/>
                    <w:tr2bl w:val="nil"/>
                  </w:tcBorders>
                  <w:vAlign w:val="center"/>
                </w:tcPr>
                <w:p w14:paraId="4DA251E5">
                  <w:pPr>
                    <w:pStyle w:val="27"/>
                    <w:rPr>
                      <w:color w:val="auto"/>
                      <w:highlight w:val="none"/>
                    </w:rPr>
                  </w:pPr>
                  <w:r>
                    <w:rPr>
                      <w:color w:val="auto"/>
                      <w:highlight w:val="none"/>
                    </w:rPr>
                    <w:t>＜20</w:t>
                  </w:r>
                </w:p>
              </w:tc>
              <w:tc>
                <w:tcPr>
                  <w:tcW w:w="1290" w:type="pct"/>
                  <w:tcBorders>
                    <w:tl2br w:val="nil"/>
                    <w:tr2bl w:val="nil"/>
                  </w:tcBorders>
                  <w:vAlign w:val="center"/>
                </w:tcPr>
                <w:p w14:paraId="6C58E561">
                  <w:pPr>
                    <w:pStyle w:val="27"/>
                    <w:rPr>
                      <w:color w:val="auto"/>
                      <w:highlight w:val="none"/>
                    </w:rPr>
                  </w:pPr>
                  <w:r>
                    <w:rPr>
                      <w:color w:val="auto"/>
                      <w:highlight w:val="none"/>
                    </w:rPr>
                    <w:t>0.13</w:t>
                  </w:r>
                </w:p>
              </w:tc>
            </w:tr>
            <w:tr w14:paraId="7147B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2" w:type="pct"/>
                  <w:tcBorders>
                    <w:tl2br w:val="nil"/>
                    <w:tr2bl w:val="nil"/>
                  </w:tcBorders>
                  <w:vAlign w:val="center"/>
                </w:tcPr>
                <w:p w14:paraId="3868A918">
                  <w:pPr>
                    <w:pStyle w:val="27"/>
                    <w:rPr>
                      <w:color w:val="auto"/>
                      <w:highlight w:val="none"/>
                    </w:rPr>
                  </w:pPr>
                  <w:r>
                    <w:rPr>
                      <w:color w:val="auto"/>
                      <w:highlight w:val="none"/>
                    </w:rPr>
                    <w:t>2</w:t>
                  </w:r>
                </w:p>
              </w:tc>
              <w:tc>
                <w:tcPr>
                  <w:tcW w:w="1293" w:type="pct"/>
                  <w:tcBorders>
                    <w:tl2br w:val="nil"/>
                    <w:tr2bl w:val="nil"/>
                  </w:tcBorders>
                  <w:vAlign w:val="center"/>
                </w:tcPr>
                <w:p w14:paraId="30F4CA60">
                  <w:pPr>
                    <w:pStyle w:val="27"/>
                    <w:rPr>
                      <w:color w:val="auto"/>
                      <w:highlight w:val="none"/>
                    </w:rPr>
                  </w:pPr>
                  <w:r>
                    <w:rPr>
                      <w:color w:val="auto"/>
                      <w:highlight w:val="none"/>
                    </w:rPr>
                    <w:t>二氧化硫</w:t>
                  </w:r>
                </w:p>
              </w:tc>
              <w:tc>
                <w:tcPr>
                  <w:tcW w:w="1423" w:type="pct"/>
                  <w:tcBorders>
                    <w:tl2br w:val="nil"/>
                    <w:tr2bl w:val="nil"/>
                  </w:tcBorders>
                  <w:vAlign w:val="center"/>
                </w:tcPr>
                <w:p w14:paraId="15DCBB0F">
                  <w:pPr>
                    <w:pStyle w:val="27"/>
                    <w:rPr>
                      <w:color w:val="auto"/>
                      <w:highlight w:val="none"/>
                    </w:rPr>
                  </w:pPr>
                  <w:r>
                    <w:rPr>
                      <w:color w:val="auto"/>
                      <w:highlight w:val="none"/>
                    </w:rPr>
                    <w:t>22</w:t>
                  </w:r>
                </w:p>
              </w:tc>
              <w:tc>
                <w:tcPr>
                  <w:tcW w:w="1290" w:type="pct"/>
                  <w:tcBorders>
                    <w:tl2br w:val="nil"/>
                    <w:tr2bl w:val="nil"/>
                  </w:tcBorders>
                  <w:vAlign w:val="center"/>
                </w:tcPr>
                <w:p w14:paraId="4897044B">
                  <w:pPr>
                    <w:pStyle w:val="27"/>
                    <w:rPr>
                      <w:color w:val="auto"/>
                      <w:highlight w:val="none"/>
                    </w:rPr>
                  </w:pPr>
                  <w:r>
                    <w:rPr>
                      <w:color w:val="auto"/>
                      <w:highlight w:val="none"/>
                    </w:rPr>
                    <w:t>0.081</w:t>
                  </w:r>
                </w:p>
              </w:tc>
            </w:tr>
            <w:tr w14:paraId="01DD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2" w:type="pct"/>
                  <w:tcBorders>
                    <w:tl2br w:val="nil"/>
                    <w:tr2bl w:val="nil"/>
                  </w:tcBorders>
                  <w:vAlign w:val="center"/>
                </w:tcPr>
                <w:p w14:paraId="7E8DE9DC">
                  <w:pPr>
                    <w:pStyle w:val="27"/>
                    <w:rPr>
                      <w:color w:val="auto"/>
                      <w:highlight w:val="none"/>
                    </w:rPr>
                  </w:pPr>
                  <w:r>
                    <w:rPr>
                      <w:color w:val="auto"/>
                      <w:highlight w:val="none"/>
                    </w:rPr>
                    <w:t>3</w:t>
                  </w:r>
                </w:p>
              </w:tc>
              <w:tc>
                <w:tcPr>
                  <w:tcW w:w="1293" w:type="pct"/>
                  <w:tcBorders>
                    <w:tl2br w:val="nil"/>
                    <w:tr2bl w:val="nil"/>
                  </w:tcBorders>
                  <w:vAlign w:val="center"/>
                </w:tcPr>
                <w:p w14:paraId="407F0A64">
                  <w:pPr>
                    <w:pStyle w:val="27"/>
                    <w:rPr>
                      <w:color w:val="auto"/>
                      <w:highlight w:val="none"/>
                    </w:rPr>
                  </w:pPr>
                  <w:r>
                    <w:rPr>
                      <w:color w:val="auto"/>
                      <w:highlight w:val="none"/>
                    </w:rPr>
                    <w:t>氮氧化物</w:t>
                  </w:r>
                </w:p>
              </w:tc>
              <w:tc>
                <w:tcPr>
                  <w:tcW w:w="1423" w:type="pct"/>
                  <w:tcBorders>
                    <w:tl2br w:val="nil"/>
                    <w:tr2bl w:val="nil"/>
                  </w:tcBorders>
                  <w:vAlign w:val="center"/>
                </w:tcPr>
                <w:p w14:paraId="41C027B3">
                  <w:pPr>
                    <w:pStyle w:val="27"/>
                    <w:rPr>
                      <w:color w:val="auto"/>
                      <w:highlight w:val="none"/>
                    </w:rPr>
                  </w:pPr>
                  <w:r>
                    <w:rPr>
                      <w:color w:val="auto"/>
                      <w:highlight w:val="none"/>
                    </w:rPr>
                    <w:t>109</w:t>
                  </w:r>
                </w:p>
              </w:tc>
              <w:tc>
                <w:tcPr>
                  <w:tcW w:w="1290" w:type="pct"/>
                  <w:tcBorders>
                    <w:tl2br w:val="nil"/>
                    <w:tr2bl w:val="nil"/>
                  </w:tcBorders>
                  <w:vAlign w:val="center"/>
                </w:tcPr>
                <w:p w14:paraId="08220546">
                  <w:pPr>
                    <w:pStyle w:val="27"/>
                    <w:rPr>
                      <w:color w:val="auto"/>
                      <w:highlight w:val="none"/>
                    </w:rPr>
                  </w:pPr>
                  <w:r>
                    <w:rPr>
                      <w:color w:val="auto"/>
                      <w:highlight w:val="none"/>
                    </w:rPr>
                    <w:t>0.4</w:t>
                  </w:r>
                </w:p>
              </w:tc>
            </w:tr>
            <w:tr w14:paraId="12D23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2" w:type="pct"/>
                  <w:tcBorders>
                    <w:tl2br w:val="nil"/>
                    <w:tr2bl w:val="nil"/>
                  </w:tcBorders>
                  <w:vAlign w:val="center"/>
                </w:tcPr>
                <w:p w14:paraId="4306E8E8">
                  <w:pPr>
                    <w:pStyle w:val="27"/>
                    <w:rPr>
                      <w:color w:val="auto"/>
                      <w:highlight w:val="none"/>
                    </w:rPr>
                  </w:pPr>
                  <w:r>
                    <w:rPr>
                      <w:color w:val="auto"/>
                      <w:highlight w:val="none"/>
                    </w:rPr>
                    <w:t>4</w:t>
                  </w:r>
                </w:p>
              </w:tc>
              <w:tc>
                <w:tcPr>
                  <w:tcW w:w="1293" w:type="pct"/>
                  <w:tcBorders>
                    <w:tl2br w:val="nil"/>
                    <w:tr2bl w:val="nil"/>
                  </w:tcBorders>
                  <w:vAlign w:val="center"/>
                </w:tcPr>
                <w:p w14:paraId="76EA584B">
                  <w:pPr>
                    <w:pStyle w:val="27"/>
                    <w:rPr>
                      <w:color w:val="auto"/>
                      <w:highlight w:val="none"/>
                    </w:rPr>
                  </w:pPr>
                  <w:r>
                    <w:rPr>
                      <w:color w:val="auto"/>
                      <w:highlight w:val="none"/>
                    </w:rPr>
                    <w:t>一氧化碳</w:t>
                  </w:r>
                </w:p>
              </w:tc>
              <w:tc>
                <w:tcPr>
                  <w:tcW w:w="1423" w:type="pct"/>
                  <w:tcBorders>
                    <w:tl2br w:val="nil"/>
                    <w:tr2bl w:val="nil"/>
                  </w:tcBorders>
                  <w:vAlign w:val="center"/>
                </w:tcPr>
                <w:p w14:paraId="7DD256A8">
                  <w:pPr>
                    <w:pStyle w:val="27"/>
                    <w:rPr>
                      <w:color w:val="auto"/>
                      <w:highlight w:val="none"/>
                    </w:rPr>
                  </w:pPr>
                  <w:r>
                    <w:rPr>
                      <w:color w:val="auto"/>
                      <w:highlight w:val="none"/>
                    </w:rPr>
                    <w:t>92</w:t>
                  </w:r>
                </w:p>
              </w:tc>
              <w:tc>
                <w:tcPr>
                  <w:tcW w:w="1290" w:type="pct"/>
                  <w:tcBorders>
                    <w:tl2br w:val="nil"/>
                    <w:tr2bl w:val="nil"/>
                  </w:tcBorders>
                  <w:vAlign w:val="center"/>
                </w:tcPr>
                <w:p w14:paraId="193E6928">
                  <w:pPr>
                    <w:pStyle w:val="27"/>
                    <w:rPr>
                      <w:color w:val="auto"/>
                      <w:highlight w:val="none"/>
                    </w:rPr>
                  </w:pPr>
                  <w:r>
                    <w:rPr>
                      <w:color w:val="auto"/>
                      <w:highlight w:val="none"/>
                    </w:rPr>
                    <w:t>0.34</w:t>
                  </w:r>
                </w:p>
              </w:tc>
            </w:tr>
            <w:tr w14:paraId="21127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2" w:type="pct"/>
                  <w:tcBorders>
                    <w:tl2br w:val="nil"/>
                    <w:tr2bl w:val="nil"/>
                  </w:tcBorders>
                  <w:vAlign w:val="center"/>
                </w:tcPr>
                <w:p w14:paraId="25CA3503">
                  <w:pPr>
                    <w:pStyle w:val="27"/>
                    <w:rPr>
                      <w:color w:val="auto"/>
                      <w:highlight w:val="none"/>
                    </w:rPr>
                  </w:pPr>
                  <w:r>
                    <w:rPr>
                      <w:color w:val="auto"/>
                      <w:highlight w:val="none"/>
                    </w:rPr>
                    <w:t>5</w:t>
                  </w:r>
                </w:p>
              </w:tc>
              <w:tc>
                <w:tcPr>
                  <w:tcW w:w="1293" w:type="pct"/>
                  <w:tcBorders>
                    <w:tl2br w:val="nil"/>
                    <w:tr2bl w:val="nil"/>
                  </w:tcBorders>
                  <w:vAlign w:val="center"/>
                </w:tcPr>
                <w:p w14:paraId="5F9C9B88">
                  <w:pPr>
                    <w:pStyle w:val="27"/>
                    <w:rPr>
                      <w:color w:val="auto"/>
                      <w:highlight w:val="none"/>
                    </w:rPr>
                  </w:pPr>
                  <w:r>
                    <w:rPr>
                      <w:color w:val="auto"/>
                      <w:highlight w:val="none"/>
                    </w:rPr>
                    <w:t>氯化氢</w:t>
                  </w:r>
                </w:p>
              </w:tc>
              <w:tc>
                <w:tcPr>
                  <w:tcW w:w="1423" w:type="pct"/>
                  <w:tcBorders>
                    <w:tl2br w:val="nil"/>
                    <w:tr2bl w:val="nil"/>
                  </w:tcBorders>
                  <w:vAlign w:val="center"/>
                </w:tcPr>
                <w:p w14:paraId="4C258553">
                  <w:pPr>
                    <w:pStyle w:val="27"/>
                    <w:rPr>
                      <w:color w:val="auto"/>
                      <w:highlight w:val="none"/>
                    </w:rPr>
                  </w:pPr>
                  <w:r>
                    <w:rPr>
                      <w:color w:val="auto"/>
                      <w:highlight w:val="none"/>
                    </w:rPr>
                    <w:t>0.9L</w:t>
                  </w:r>
                </w:p>
              </w:tc>
              <w:tc>
                <w:tcPr>
                  <w:tcW w:w="1290" w:type="pct"/>
                  <w:tcBorders>
                    <w:tl2br w:val="nil"/>
                    <w:tr2bl w:val="nil"/>
                  </w:tcBorders>
                  <w:vAlign w:val="center"/>
                </w:tcPr>
                <w:p w14:paraId="2401C763">
                  <w:pPr>
                    <w:pStyle w:val="27"/>
                    <w:rPr>
                      <w:color w:val="auto"/>
                      <w:highlight w:val="none"/>
                    </w:rPr>
                  </w:pPr>
                  <w:r>
                    <w:rPr>
                      <w:color w:val="auto"/>
                      <w:highlight w:val="none"/>
                    </w:rPr>
                    <w:t>0.0058</w:t>
                  </w:r>
                </w:p>
              </w:tc>
            </w:tr>
            <w:tr w14:paraId="23B80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2" w:type="pct"/>
                  <w:tcBorders>
                    <w:tl2br w:val="nil"/>
                    <w:tr2bl w:val="nil"/>
                  </w:tcBorders>
                  <w:vAlign w:val="center"/>
                </w:tcPr>
                <w:p w14:paraId="26E5737B">
                  <w:pPr>
                    <w:pStyle w:val="27"/>
                    <w:rPr>
                      <w:color w:val="auto"/>
                      <w:highlight w:val="none"/>
                    </w:rPr>
                  </w:pPr>
                  <w:r>
                    <w:rPr>
                      <w:color w:val="auto"/>
                      <w:highlight w:val="none"/>
                    </w:rPr>
                    <w:t>7</w:t>
                  </w:r>
                </w:p>
              </w:tc>
              <w:tc>
                <w:tcPr>
                  <w:tcW w:w="1293" w:type="pct"/>
                  <w:tcBorders>
                    <w:tl2br w:val="nil"/>
                    <w:tr2bl w:val="nil"/>
                  </w:tcBorders>
                  <w:vAlign w:val="center"/>
                </w:tcPr>
                <w:p w14:paraId="600C0654">
                  <w:pPr>
                    <w:pStyle w:val="27"/>
                    <w:rPr>
                      <w:color w:val="auto"/>
                      <w:highlight w:val="none"/>
                    </w:rPr>
                  </w:pPr>
                  <w:r>
                    <w:rPr>
                      <w:color w:val="auto"/>
                      <w:highlight w:val="none"/>
                    </w:rPr>
                    <w:t>二噁英</w:t>
                  </w:r>
                </w:p>
              </w:tc>
              <w:tc>
                <w:tcPr>
                  <w:tcW w:w="1423" w:type="pct"/>
                  <w:tcBorders>
                    <w:tl2br w:val="nil"/>
                    <w:tr2bl w:val="nil"/>
                  </w:tcBorders>
                  <w:vAlign w:val="center"/>
                </w:tcPr>
                <w:p w14:paraId="4182A890">
                  <w:pPr>
                    <w:pStyle w:val="27"/>
                    <w:rPr>
                      <w:rFonts w:hint="eastAsia" w:eastAsia="宋体"/>
                      <w:color w:val="auto"/>
                      <w:highlight w:val="none"/>
                      <w:lang w:eastAsia="zh-CN"/>
                    </w:rPr>
                  </w:pPr>
                  <w:r>
                    <w:rPr>
                      <w:color w:val="auto"/>
                      <w:highlight w:val="none"/>
                    </w:rPr>
                    <w:t>0.053ng-TEQ/</w:t>
                  </w:r>
                  <w:r>
                    <w:rPr>
                      <w:rFonts w:hint="eastAsia"/>
                      <w:color w:val="auto"/>
                      <w:highlight w:val="none"/>
                      <w:vertAlign w:val="baseline"/>
                      <w:lang w:eastAsia="zh-CN"/>
                    </w:rPr>
                    <w:t>m</w:t>
                  </w:r>
                  <w:r>
                    <w:rPr>
                      <w:rFonts w:hint="eastAsia"/>
                      <w:color w:val="auto"/>
                      <w:highlight w:val="none"/>
                      <w:vertAlign w:val="superscript"/>
                      <w:lang w:eastAsia="zh-CN"/>
                    </w:rPr>
                    <w:t>3</w:t>
                  </w:r>
                </w:p>
              </w:tc>
              <w:tc>
                <w:tcPr>
                  <w:tcW w:w="1290" w:type="pct"/>
                  <w:tcBorders>
                    <w:tl2br w:val="nil"/>
                    <w:tr2bl w:val="nil"/>
                  </w:tcBorders>
                  <w:vAlign w:val="center"/>
                </w:tcPr>
                <w:p w14:paraId="7BC15131">
                  <w:pPr>
                    <w:pStyle w:val="27"/>
                    <w:rPr>
                      <w:color w:val="auto"/>
                      <w:highlight w:val="none"/>
                    </w:rPr>
                  </w:pPr>
                  <w:r>
                    <w:rPr>
                      <w:color w:val="auto"/>
                      <w:highlight w:val="none"/>
                    </w:rPr>
                    <w:t>0.117ug/h</w:t>
                  </w:r>
                </w:p>
              </w:tc>
            </w:tr>
            <w:tr w14:paraId="3FB18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4"/>
                  <w:tcBorders>
                    <w:tl2br w:val="nil"/>
                    <w:tr2bl w:val="nil"/>
                  </w:tcBorders>
                  <w:vAlign w:val="center"/>
                </w:tcPr>
                <w:p w14:paraId="7650AF63">
                  <w:pPr>
                    <w:pStyle w:val="27"/>
                    <w:jc w:val="both"/>
                    <w:rPr>
                      <w:color w:val="auto"/>
                      <w:highlight w:val="none"/>
                    </w:rPr>
                  </w:pPr>
                  <w:r>
                    <w:rPr>
                      <w:color w:val="auto"/>
                      <w:highlight w:val="none"/>
                    </w:rPr>
                    <w:t>注：颗粒物依据《固定污染源排气中颗粒物测定与气态污染物采样方法》（GB/T 16157-1996），颗粒物采用本标准测定浓度小于等于20</w:t>
                  </w:r>
                  <w:r>
                    <w:rPr>
                      <w:rFonts w:hint="eastAsia"/>
                      <w:color w:val="auto"/>
                      <w:highlight w:val="none"/>
                      <w:lang w:eastAsia="zh-CN"/>
                    </w:rPr>
                    <w:t>m</w:t>
                  </w:r>
                  <w:r>
                    <w:rPr>
                      <w:color w:val="auto"/>
                      <w:highlight w:val="none"/>
                    </w:rPr>
                    <w:t>g/</w:t>
                  </w:r>
                  <w:r>
                    <w:rPr>
                      <w:rFonts w:hint="eastAsia"/>
                      <w:color w:val="auto"/>
                      <w:highlight w:val="none"/>
                      <w:vertAlign w:val="baseline"/>
                      <w:lang w:eastAsia="zh-CN"/>
                    </w:rPr>
                    <w:t>m</w:t>
                  </w:r>
                  <w:r>
                    <w:rPr>
                      <w:rFonts w:hint="eastAsia"/>
                      <w:color w:val="auto"/>
                      <w:highlight w:val="none"/>
                      <w:vertAlign w:val="superscript"/>
                      <w:lang w:eastAsia="zh-CN"/>
                    </w:rPr>
                    <w:t>3</w:t>
                  </w:r>
                  <w:r>
                    <w:rPr>
                      <w:color w:val="auto"/>
                      <w:highlight w:val="none"/>
                    </w:rPr>
                    <w:t>时，测定结果表述为</w:t>
                  </w:r>
                  <w:r>
                    <w:rPr>
                      <w:rFonts w:hint="eastAsia"/>
                      <w:color w:val="auto"/>
                      <w:highlight w:val="none"/>
                      <w:lang w:eastAsia="zh-CN"/>
                    </w:rPr>
                    <w:t>“</w:t>
                  </w:r>
                  <w:r>
                    <w:rPr>
                      <w:color w:val="auto"/>
                      <w:highlight w:val="none"/>
                    </w:rPr>
                    <w:t>＜20</w:t>
                  </w:r>
                  <w:r>
                    <w:rPr>
                      <w:rFonts w:hint="eastAsia"/>
                      <w:color w:val="auto"/>
                      <w:highlight w:val="none"/>
                      <w:lang w:eastAsia="zh-CN"/>
                    </w:rPr>
                    <w:t>m</w:t>
                  </w:r>
                  <w:r>
                    <w:rPr>
                      <w:color w:val="auto"/>
                      <w:highlight w:val="none"/>
                    </w:rPr>
                    <w:t>g/</w:t>
                  </w:r>
                  <w:r>
                    <w:rPr>
                      <w:rFonts w:hint="eastAsia"/>
                      <w:color w:val="auto"/>
                      <w:highlight w:val="none"/>
                      <w:vertAlign w:val="baseline"/>
                      <w:lang w:eastAsia="zh-CN"/>
                    </w:rPr>
                    <w:t>m</w:t>
                  </w:r>
                  <w:r>
                    <w:rPr>
                      <w:rFonts w:hint="eastAsia"/>
                      <w:color w:val="auto"/>
                      <w:highlight w:val="none"/>
                      <w:vertAlign w:val="superscript"/>
                      <w:lang w:eastAsia="zh-CN"/>
                    </w:rPr>
                    <w:t>3</w:t>
                  </w:r>
                  <w:r>
                    <w:rPr>
                      <w:rFonts w:hint="eastAsia"/>
                      <w:color w:val="auto"/>
                      <w:highlight w:val="none"/>
                      <w:lang w:eastAsia="zh-CN"/>
                    </w:rPr>
                    <w:t>”</w:t>
                  </w:r>
                  <w:r>
                    <w:rPr>
                      <w:color w:val="auto"/>
                      <w:highlight w:val="none"/>
                    </w:rPr>
                    <w:t>，本项目在核算时颗粒物采用20</w:t>
                  </w:r>
                  <w:r>
                    <w:rPr>
                      <w:rFonts w:hint="eastAsia"/>
                      <w:color w:val="auto"/>
                      <w:highlight w:val="none"/>
                      <w:lang w:eastAsia="zh-CN"/>
                    </w:rPr>
                    <w:t>m</w:t>
                  </w:r>
                  <w:r>
                    <w:rPr>
                      <w:color w:val="auto"/>
                      <w:highlight w:val="none"/>
                    </w:rPr>
                    <w:t>g/</w:t>
                  </w:r>
                  <w:r>
                    <w:rPr>
                      <w:rFonts w:hint="eastAsia"/>
                      <w:color w:val="auto"/>
                      <w:highlight w:val="none"/>
                      <w:vertAlign w:val="baseline"/>
                      <w:lang w:eastAsia="zh-CN"/>
                    </w:rPr>
                    <w:t>m</w:t>
                  </w:r>
                  <w:r>
                    <w:rPr>
                      <w:rFonts w:hint="eastAsia"/>
                      <w:color w:val="auto"/>
                      <w:highlight w:val="none"/>
                      <w:vertAlign w:val="superscript"/>
                      <w:lang w:eastAsia="zh-CN"/>
                    </w:rPr>
                    <w:t>3</w:t>
                  </w:r>
                  <w:r>
                    <w:rPr>
                      <w:color w:val="auto"/>
                      <w:highlight w:val="none"/>
                    </w:rPr>
                    <w:t>进行计算，氯化氢未检出，本项目在核算时以最低检出限浓度进行计算。</w:t>
                  </w:r>
                </w:p>
              </w:tc>
            </w:tr>
          </w:tbl>
          <w:p w14:paraId="35A94E94">
            <w:pPr>
              <w:spacing w:line="360" w:lineRule="auto"/>
              <w:jc w:val="center"/>
              <w:rPr>
                <w:b/>
                <w:color w:val="auto"/>
                <w:sz w:val="24"/>
                <w:highlight w:val="none"/>
              </w:rPr>
            </w:pPr>
            <w:r>
              <w:rPr>
                <w:b/>
                <w:color w:val="auto"/>
                <w:spacing w:val="-10"/>
                <w:sz w:val="24"/>
                <w:highlight w:val="none"/>
              </w:rPr>
              <w:t>表4-</w:t>
            </w:r>
            <w:r>
              <w:rPr>
                <w:rFonts w:hint="eastAsia"/>
                <w:b/>
                <w:color w:val="auto"/>
                <w:spacing w:val="-10"/>
                <w:sz w:val="24"/>
                <w:highlight w:val="none"/>
              </w:rPr>
              <w:t>5</w:t>
            </w:r>
            <w:r>
              <w:rPr>
                <w:b/>
                <w:color w:val="auto"/>
                <w:spacing w:val="-10"/>
                <w:sz w:val="24"/>
                <w:highlight w:val="none"/>
              </w:rPr>
              <w:t xml:space="preserve"> 全年</w:t>
            </w:r>
            <w:r>
              <w:rPr>
                <w:b/>
                <w:color w:val="auto"/>
                <w:sz w:val="24"/>
                <w:szCs w:val="20"/>
                <w:highlight w:val="none"/>
              </w:rPr>
              <w:t>遗物</w:t>
            </w:r>
            <w:r>
              <w:rPr>
                <w:rFonts w:hint="eastAsia"/>
                <w:b/>
                <w:color w:val="auto"/>
                <w:sz w:val="24"/>
                <w:szCs w:val="20"/>
                <w:highlight w:val="none"/>
                <w:lang w:eastAsia="zh-CN"/>
              </w:rPr>
              <w:t>和</w:t>
            </w:r>
            <w:r>
              <w:rPr>
                <w:b/>
                <w:color w:val="auto"/>
                <w:sz w:val="24"/>
                <w:szCs w:val="20"/>
                <w:highlight w:val="none"/>
              </w:rPr>
              <w:t>祭品焚烧废气</w:t>
            </w:r>
            <w:r>
              <w:rPr>
                <w:b/>
                <w:color w:val="auto"/>
                <w:spacing w:val="-10"/>
                <w:sz w:val="24"/>
                <w:highlight w:val="none"/>
              </w:rPr>
              <w:t>排放情况</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1"/>
              <w:gridCol w:w="2173"/>
              <w:gridCol w:w="2473"/>
              <w:gridCol w:w="1974"/>
            </w:tblGrid>
            <w:tr w14:paraId="0EF66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8" w:type="pct"/>
                  <w:tcBorders>
                    <w:tl2br w:val="nil"/>
                    <w:tr2bl w:val="nil"/>
                  </w:tcBorders>
                  <w:vAlign w:val="center"/>
                </w:tcPr>
                <w:p w14:paraId="22D7741A">
                  <w:pPr>
                    <w:pStyle w:val="27"/>
                    <w:rPr>
                      <w:b/>
                      <w:bCs/>
                      <w:color w:val="auto"/>
                      <w:highlight w:val="none"/>
                    </w:rPr>
                  </w:pPr>
                  <w:r>
                    <w:rPr>
                      <w:b/>
                      <w:bCs/>
                      <w:color w:val="auto"/>
                      <w:highlight w:val="none"/>
                    </w:rPr>
                    <w:t>序号</w:t>
                  </w:r>
                </w:p>
              </w:tc>
              <w:tc>
                <w:tcPr>
                  <w:tcW w:w="1313" w:type="pct"/>
                  <w:tcBorders>
                    <w:tl2br w:val="nil"/>
                    <w:tr2bl w:val="nil"/>
                  </w:tcBorders>
                  <w:vAlign w:val="center"/>
                </w:tcPr>
                <w:p w14:paraId="4817C17A">
                  <w:pPr>
                    <w:pStyle w:val="27"/>
                    <w:rPr>
                      <w:b/>
                      <w:bCs/>
                      <w:color w:val="auto"/>
                      <w:highlight w:val="none"/>
                    </w:rPr>
                  </w:pPr>
                  <w:r>
                    <w:rPr>
                      <w:b/>
                      <w:bCs/>
                      <w:color w:val="auto"/>
                      <w:highlight w:val="none"/>
                    </w:rPr>
                    <w:t>污染物名称</w:t>
                  </w:r>
                </w:p>
              </w:tc>
              <w:tc>
                <w:tcPr>
                  <w:tcW w:w="1494" w:type="pct"/>
                  <w:tcBorders>
                    <w:tl2br w:val="nil"/>
                    <w:tr2bl w:val="nil"/>
                  </w:tcBorders>
                  <w:vAlign w:val="center"/>
                </w:tcPr>
                <w:p w14:paraId="4633AA36">
                  <w:pPr>
                    <w:pStyle w:val="27"/>
                    <w:rPr>
                      <w:b/>
                      <w:bCs/>
                      <w:color w:val="auto"/>
                      <w:highlight w:val="none"/>
                    </w:rPr>
                  </w:pPr>
                  <w:r>
                    <w:rPr>
                      <w:b/>
                      <w:bCs/>
                      <w:color w:val="auto"/>
                      <w:highlight w:val="none"/>
                    </w:rPr>
                    <w:t>全年遗物</w:t>
                  </w:r>
                  <w:r>
                    <w:rPr>
                      <w:rFonts w:hint="eastAsia"/>
                      <w:b/>
                      <w:bCs/>
                      <w:color w:val="auto"/>
                      <w:highlight w:val="none"/>
                      <w:lang w:eastAsia="zh-CN"/>
                    </w:rPr>
                    <w:t>和</w:t>
                  </w:r>
                  <w:r>
                    <w:rPr>
                      <w:b/>
                      <w:bCs/>
                      <w:color w:val="auto"/>
                      <w:highlight w:val="none"/>
                    </w:rPr>
                    <w:t>祭品焚烧时间</w:t>
                  </w:r>
                </w:p>
              </w:tc>
              <w:tc>
                <w:tcPr>
                  <w:tcW w:w="1193" w:type="pct"/>
                  <w:tcBorders>
                    <w:tl2br w:val="nil"/>
                    <w:tr2bl w:val="nil"/>
                  </w:tcBorders>
                  <w:vAlign w:val="center"/>
                </w:tcPr>
                <w:p w14:paraId="3E9ED522">
                  <w:pPr>
                    <w:pStyle w:val="27"/>
                    <w:rPr>
                      <w:b/>
                      <w:bCs/>
                      <w:color w:val="auto"/>
                      <w:highlight w:val="none"/>
                    </w:rPr>
                  </w:pPr>
                  <w:r>
                    <w:rPr>
                      <w:b/>
                      <w:bCs/>
                      <w:color w:val="auto"/>
                      <w:highlight w:val="none"/>
                    </w:rPr>
                    <w:t>排放量（t/a）</w:t>
                  </w:r>
                </w:p>
              </w:tc>
            </w:tr>
            <w:tr w14:paraId="44142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8" w:type="pct"/>
                  <w:tcBorders>
                    <w:tl2br w:val="nil"/>
                    <w:tr2bl w:val="nil"/>
                  </w:tcBorders>
                  <w:vAlign w:val="center"/>
                </w:tcPr>
                <w:p w14:paraId="082E223B">
                  <w:pPr>
                    <w:pStyle w:val="27"/>
                    <w:rPr>
                      <w:color w:val="auto"/>
                      <w:highlight w:val="none"/>
                    </w:rPr>
                  </w:pPr>
                  <w:r>
                    <w:rPr>
                      <w:color w:val="auto"/>
                      <w:highlight w:val="none"/>
                    </w:rPr>
                    <w:t>1</w:t>
                  </w:r>
                </w:p>
              </w:tc>
              <w:tc>
                <w:tcPr>
                  <w:tcW w:w="1313" w:type="pct"/>
                  <w:tcBorders>
                    <w:tl2br w:val="nil"/>
                    <w:tr2bl w:val="nil"/>
                  </w:tcBorders>
                  <w:vAlign w:val="center"/>
                </w:tcPr>
                <w:p w14:paraId="37EB31B5">
                  <w:pPr>
                    <w:pStyle w:val="27"/>
                    <w:rPr>
                      <w:color w:val="auto"/>
                      <w:highlight w:val="none"/>
                    </w:rPr>
                  </w:pPr>
                  <w:r>
                    <w:rPr>
                      <w:color w:val="auto"/>
                      <w:highlight w:val="none"/>
                    </w:rPr>
                    <w:t>烟尘</w:t>
                  </w:r>
                </w:p>
              </w:tc>
              <w:tc>
                <w:tcPr>
                  <w:tcW w:w="1494" w:type="pct"/>
                  <w:vMerge w:val="restart"/>
                  <w:tcBorders>
                    <w:tl2br w:val="nil"/>
                    <w:tr2bl w:val="nil"/>
                  </w:tcBorders>
                  <w:vAlign w:val="center"/>
                </w:tcPr>
                <w:p w14:paraId="2B04892C">
                  <w:pPr>
                    <w:pStyle w:val="27"/>
                    <w:rPr>
                      <w:color w:val="auto"/>
                      <w:highlight w:val="none"/>
                    </w:rPr>
                  </w:pPr>
                  <w:r>
                    <w:rPr>
                      <w:color w:val="auto"/>
                      <w:highlight w:val="none"/>
                    </w:rPr>
                    <w:t>130h</w:t>
                  </w:r>
                </w:p>
              </w:tc>
              <w:tc>
                <w:tcPr>
                  <w:tcW w:w="1960" w:type="dxa"/>
                  <w:tcBorders>
                    <w:tl2br w:val="nil"/>
                    <w:tr2bl w:val="nil"/>
                  </w:tcBorders>
                  <w:vAlign w:val="center"/>
                </w:tcPr>
                <w:p w14:paraId="544EBE41">
                  <w:pPr>
                    <w:pStyle w:val="27"/>
                    <w:rPr>
                      <w:color w:val="auto"/>
                      <w:highlight w:val="none"/>
                    </w:rPr>
                  </w:pPr>
                  <w:r>
                    <w:rPr>
                      <w:color w:val="auto"/>
                      <w:highlight w:val="none"/>
                    </w:rPr>
                    <w:t>0.017</w:t>
                  </w:r>
                </w:p>
              </w:tc>
            </w:tr>
            <w:tr w14:paraId="1B190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8" w:type="pct"/>
                  <w:tcBorders>
                    <w:tl2br w:val="nil"/>
                    <w:tr2bl w:val="nil"/>
                  </w:tcBorders>
                  <w:vAlign w:val="center"/>
                </w:tcPr>
                <w:p w14:paraId="72B61535">
                  <w:pPr>
                    <w:pStyle w:val="27"/>
                    <w:rPr>
                      <w:color w:val="auto"/>
                      <w:highlight w:val="none"/>
                    </w:rPr>
                  </w:pPr>
                  <w:r>
                    <w:rPr>
                      <w:color w:val="auto"/>
                      <w:highlight w:val="none"/>
                    </w:rPr>
                    <w:t>2</w:t>
                  </w:r>
                </w:p>
              </w:tc>
              <w:tc>
                <w:tcPr>
                  <w:tcW w:w="1313" w:type="pct"/>
                  <w:tcBorders>
                    <w:tl2br w:val="nil"/>
                    <w:tr2bl w:val="nil"/>
                  </w:tcBorders>
                  <w:vAlign w:val="center"/>
                </w:tcPr>
                <w:p w14:paraId="4751196A">
                  <w:pPr>
                    <w:pStyle w:val="27"/>
                    <w:rPr>
                      <w:color w:val="auto"/>
                      <w:highlight w:val="none"/>
                    </w:rPr>
                  </w:pPr>
                  <w:r>
                    <w:rPr>
                      <w:color w:val="auto"/>
                      <w:highlight w:val="none"/>
                    </w:rPr>
                    <w:t>二氧化硫</w:t>
                  </w:r>
                </w:p>
              </w:tc>
              <w:tc>
                <w:tcPr>
                  <w:tcW w:w="1494" w:type="pct"/>
                  <w:vMerge w:val="continue"/>
                  <w:tcBorders>
                    <w:tl2br w:val="nil"/>
                    <w:tr2bl w:val="nil"/>
                  </w:tcBorders>
                  <w:vAlign w:val="center"/>
                </w:tcPr>
                <w:p w14:paraId="3149B4D5">
                  <w:pPr>
                    <w:pStyle w:val="27"/>
                    <w:rPr>
                      <w:color w:val="auto"/>
                      <w:highlight w:val="none"/>
                    </w:rPr>
                  </w:pPr>
                </w:p>
              </w:tc>
              <w:tc>
                <w:tcPr>
                  <w:tcW w:w="1960" w:type="dxa"/>
                  <w:tcBorders>
                    <w:tl2br w:val="nil"/>
                    <w:tr2bl w:val="nil"/>
                  </w:tcBorders>
                  <w:vAlign w:val="center"/>
                </w:tcPr>
                <w:p w14:paraId="03C6C7DD">
                  <w:pPr>
                    <w:pStyle w:val="27"/>
                    <w:rPr>
                      <w:color w:val="auto"/>
                      <w:highlight w:val="none"/>
                    </w:rPr>
                  </w:pPr>
                  <w:r>
                    <w:rPr>
                      <w:color w:val="auto"/>
                      <w:highlight w:val="none"/>
                    </w:rPr>
                    <w:t>0.011</w:t>
                  </w:r>
                </w:p>
              </w:tc>
            </w:tr>
            <w:tr w14:paraId="0968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8" w:type="pct"/>
                  <w:tcBorders>
                    <w:tl2br w:val="nil"/>
                    <w:tr2bl w:val="nil"/>
                  </w:tcBorders>
                  <w:vAlign w:val="center"/>
                </w:tcPr>
                <w:p w14:paraId="371A7859">
                  <w:pPr>
                    <w:pStyle w:val="27"/>
                    <w:rPr>
                      <w:color w:val="auto"/>
                      <w:highlight w:val="none"/>
                    </w:rPr>
                  </w:pPr>
                  <w:r>
                    <w:rPr>
                      <w:color w:val="auto"/>
                      <w:highlight w:val="none"/>
                    </w:rPr>
                    <w:t>3</w:t>
                  </w:r>
                </w:p>
              </w:tc>
              <w:tc>
                <w:tcPr>
                  <w:tcW w:w="1313" w:type="pct"/>
                  <w:tcBorders>
                    <w:tl2br w:val="nil"/>
                    <w:tr2bl w:val="nil"/>
                  </w:tcBorders>
                  <w:vAlign w:val="center"/>
                </w:tcPr>
                <w:p w14:paraId="288EFB03">
                  <w:pPr>
                    <w:pStyle w:val="27"/>
                    <w:rPr>
                      <w:color w:val="auto"/>
                      <w:highlight w:val="none"/>
                    </w:rPr>
                  </w:pPr>
                  <w:r>
                    <w:rPr>
                      <w:color w:val="auto"/>
                      <w:highlight w:val="none"/>
                    </w:rPr>
                    <w:t>氮氧化物</w:t>
                  </w:r>
                </w:p>
              </w:tc>
              <w:tc>
                <w:tcPr>
                  <w:tcW w:w="1494" w:type="pct"/>
                  <w:vMerge w:val="continue"/>
                  <w:tcBorders>
                    <w:tl2br w:val="nil"/>
                    <w:tr2bl w:val="nil"/>
                  </w:tcBorders>
                  <w:vAlign w:val="center"/>
                </w:tcPr>
                <w:p w14:paraId="003E95D7">
                  <w:pPr>
                    <w:pStyle w:val="27"/>
                    <w:rPr>
                      <w:color w:val="auto"/>
                      <w:highlight w:val="none"/>
                    </w:rPr>
                  </w:pPr>
                </w:p>
              </w:tc>
              <w:tc>
                <w:tcPr>
                  <w:tcW w:w="1960" w:type="dxa"/>
                  <w:tcBorders>
                    <w:tl2br w:val="nil"/>
                    <w:tr2bl w:val="nil"/>
                  </w:tcBorders>
                  <w:vAlign w:val="center"/>
                </w:tcPr>
                <w:p w14:paraId="72A2EBD6">
                  <w:pPr>
                    <w:pStyle w:val="27"/>
                    <w:rPr>
                      <w:color w:val="auto"/>
                      <w:highlight w:val="none"/>
                    </w:rPr>
                  </w:pPr>
                  <w:r>
                    <w:rPr>
                      <w:color w:val="auto"/>
                      <w:highlight w:val="none"/>
                    </w:rPr>
                    <w:t>0.052</w:t>
                  </w:r>
                </w:p>
              </w:tc>
            </w:tr>
            <w:tr w14:paraId="152F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8" w:type="pct"/>
                  <w:tcBorders>
                    <w:tl2br w:val="nil"/>
                    <w:tr2bl w:val="nil"/>
                  </w:tcBorders>
                  <w:vAlign w:val="center"/>
                </w:tcPr>
                <w:p w14:paraId="5EB55396">
                  <w:pPr>
                    <w:pStyle w:val="27"/>
                    <w:rPr>
                      <w:color w:val="auto"/>
                      <w:highlight w:val="none"/>
                    </w:rPr>
                  </w:pPr>
                  <w:r>
                    <w:rPr>
                      <w:color w:val="auto"/>
                      <w:highlight w:val="none"/>
                    </w:rPr>
                    <w:t>4</w:t>
                  </w:r>
                </w:p>
              </w:tc>
              <w:tc>
                <w:tcPr>
                  <w:tcW w:w="1313" w:type="pct"/>
                  <w:tcBorders>
                    <w:tl2br w:val="nil"/>
                    <w:tr2bl w:val="nil"/>
                  </w:tcBorders>
                  <w:vAlign w:val="center"/>
                </w:tcPr>
                <w:p w14:paraId="678E7D0C">
                  <w:pPr>
                    <w:pStyle w:val="27"/>
                    <w:rPr>
                      <w:color w:val="auto"/>
                      <w:highlight w:val="none"/>
                    </w:rPr>
                  </w:pPr>
                  <w:r>
                    <w:rPr>
                      <w:color w:val="auto"/>
                      <w:highlight w:val="none"/>
                    </w:rPr>
                    <w:t>一氧化碳</w:t>
                  </w:r>
                </w:p>
              </w:tc>
              <w:tc>
                <w:tcPr>
                  <w:tcW w:w="1494" w:type="pct"/>
                  <w:vMerge w:val="continue"/>
                  <w:tcBorders>
                    <w:tl2br w:val="nil"/>
                    <w:tr2bl w:val="nil"/>
                  </w:tcBorders>
                  <w:vAlign w:val="center"/>
                </w:tcPr>
                <w:p w14:paraId="50C86D8B">
                  <w:pPr>
                    <w:pStyle w:val="27"/>
                    <w:rPr>
                      <w:color w:val="auto"/>
                      <w:highlight w:val="none"/>
                    </w:rPr>
                  </w:pPr>
                </w:p>
              </w:tc>
              <w:tc>
                <w:tcPr>
                  <w:tcW w:w="1960" w:type="dxa"/>
                  <w:tcBorders>
                    <w:tl2br w:val="nil"/>
                    <w:tr2bl w:val="nil"/>
                  </w:tcBorders>
                  <w:vAlign w:val="center"/>
                </w:tcPr>
                <w:p w14:paraId="08E96900">
                  <w:pPr>
                    <w:pStyle w:val="27"/>
                    <w:rPr>
                      <w:color w:val="auto"/>
                      <w:highlight w:val="none"/>
                    </w:rPr>
                  </w:pPr>
                  <w:r>
                    <w:rPr>
                      <w:color w:val="auto"/>
                      <w:highlight w:val="none"/>
                    </w:rPr>
                    <w:t>0.044</w:t>
                  </w:r>
                </w:p>
              </w:tc>
            </w:tr>
            <w:tr w14:paraId="4EE9A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8" w:type="pct"/>
                  <w:tcBorders>
                    <w:tl2br w:val="nil"/>
                    <w:tr2bl w:val="nil"/>
                  </w:tcBorders>
                  <w:vAlign w:val="center"/>
                </w:tcPr>
                <w:p w14:paraId="14963CFA">
                  <w:pPr>
                    <w:pStyle w:val="27"/>
                    <w:rPr>
                      <w:color w:val="auto"/>
                      <w:highlight w:val="none"/>
                    </w:rPr>
                  </w:pPr>
                  <w:r>
                    <w:rPr>
                      <w:color w:val="auto"/>
                      <w:highlight w:val="none"/>
                    </w:rPr>
                    <w:t>5</w:t>
                  </w:r>
                </w:p>
              </w:tc>
              <w:tc>
                <w:tcPr>
                  <w:tcW w:w="1313" w:type="pct"/>
                  <w:tcBorders>
                    <w:tl2br w:val="nil"/>
                    <w:tr2bl w:val="nil"/>
                  </w:tcBorders>
                  <w:vAlign w:val="center"/>
                </w:tcPr>
                <w:p w14:paraId="227BB1D4">
                  <w:pPr>
                    <w:pStyle w:val="27"/>
                    <w:rPr>
                      <w:color w:val="auto"/>
                      <w:highlight w:val="none"/>
                    </w:rPr>
                  </w:pPr>
                  <w:r>
                    <w:rPr>
                      <w:color w:val="auto"/>
                      <w:highlight w:val="none"/>
                    </w:rPr>
                    <w:t>氯化氢</w:t>
                  </w:r>
                </w:p>
              </w:tc>
              <w:tc>
                <w:tcPr>
                  <w:tcW w:w="1494" w:type="pct"/>
                  <w:vMerge w:val="continue"/>
                  <w:tcBorders>
                    <w:tl2br w:val="nil"/>
                    <w:tr2bl w:val="nil"/>
                  </w:tcBorders>
                  <w:vAlign w:val="center"/>
                </w:tcPr>
                <w:p w14:paraId="79E158B5">
                  <w:pPr>
                    <w:pStyle w:val="27"/>
                    <w:rPr>
                      <w:color w:val="auto"/>
                      <w:highlight w:val="none"/>
                    </w:rPr>
                  </w:pPr>
                </w:p>
              </w:tc>
              <w:tc>
                <w:tcPr>
                  <w:tcW w:w="1960" w:type="dxa"/>
                  <w:tcBorders>
                    <w:tl2br w:val="nil"/>
                    <w:tr2bl w:val="nil"/>
                  </w:tcBorders>
                  <w:vAlign w:val="center"/>
                </w:tcPr>
                <w:p w14:paraId="56F9437A">
                  <w:pPr>
                    <w:pStyle w:val="27"/>
                    <w:rPr>
                      <w:color w:val="auto"/>
                      <w:highlight w:val="none"/>
                    </w:rPr>
                  </w:pPr>
                  <w:r>
                    <w:rPr>
                      <w:color w:val="auto"/>
                      <w:highlight w:val="none"/>
                    </w:rPr>
                    <w:t>0.001</w:t>
                  </w:r>
                </w:p>
              </w:tc>
            </w:tr>
            <w:tr w14:paraId="004C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8" w:type="pct"/>
                  <w:tcBorders>
                    <w:tl2br w:val="nil"/>
                    <w:tr2bl w:val="nil"/>
                  </w:tcBorders>
                  <w:vAlign w:val="center"/>
                </w:tcPr>
                <w:p w14:paraId="6D07D286">
                  <w:pPr>
                    <w:pStyle w:val="27"/>
                    <w:rPr>
                      <w:color w:val="auto"/>
                      <w:highlight w:val="none"/>
                    </w:rPr>
                  </w:pPr>
                  <w:r>
                    <w:rPr>
                      <w:color w:val="auto"/>
                      <w:highlight w:val="none"/>
                    </w:rPr>
                    <w:t>6</w:t>
                  </w:r>
                </w:p>
              </w:tc>
              <w:tc>
                <w:tcPr>
                  <w:tcW w:w="1313" w:type="pct"/>
                  <w:tcBorders>
                    <w:tl2br w:val="nil"/>
                    <w:tr2bl w:val="nil"/>
                  </w:tcBorders>
                  <w:vAlign w:val="center"/>
                </w:tcPr>
                <w:p w14:paraId="38360BC1">
                  <w:pPr>
                    <w:pStyle w:val="27"/>
                    <w:rPr>
                      <w:color w:val="auto"/>
                      <w:highlight w:val="none"/>
                    </w:rPr>
                  </w:pPr>
                  <w:r>
                    <w:rPr>
                      <w:color w:val="auto"/>
                      <w:highlight w:val="none"/>
                    </w:rPr>
                    <w:t>二噁英</w:t>
                  </w:r>
                </w:p>
              </w:tc>
              <w:tc>
                <w:tcPr>
                  <w:tcW w:w="1494" w:type="pct"/>
                  <w:vMerge w:val="continue"/>
                  <w:tcBorders>
                    <w:tl2br w:val="nil"/>
                    <w:tr2bl w:val="nil"/>
                  </w:tcBorders>
                  <w:vAlign w:val="center"/>
                </w:tcPr>
                <w:p w14:paraId="4EDF6200">
                  <w:pPr>
                    <w:pStyle w:val="27"/>
                    <w:rPr>
                      <w:color w:val="auto"/>
                      <w:highlight w:val="none"/>
                    </w:rPr>
                  </w:pPr>
                </w:p>
              </w:tc>
              <w:tc>
                <w:tcPr>
                  <w:tcW w:w="1894" w:type="dxa"/>
                  <w:tcBorders>
                    <w:tl2br w:val="nil"/>
                    <w:tr2bl w:val="nil"/>
                  </w:tcBorders>
                  <w:vAlign w:val="center"/>
                </w:tcPr>
                <w:p w14:paraId="49F6DD97">
                  <w:pPr>
                    <w:pStyle w:val="27"/>
                    <w:rPr>
                      <w:color w:val="auto"/>
                      <w:highlight w:val="none"/>
                    </w:rPr>
                  </w:pPr>
                  <w:r>
                    <w:rPr>
                      <w:color w:val="auto"/>
                      <w:highlight w:val="none"/>
                    </w:rPr>
                    <w:t>0.015</w:t>
                  </w:r>
                  <w:r>
                    <w:rPr>
                      <w:rFonts w:hint="eastAsia"/>
                      <w:color w:val="auto"/>
                      <w:highlight w:val="none"/>
                      <w:lang w:eastAsia="zh-CN"/>
                    </w:rPr>
                    <w:t>m</w:t>
                  </w:r>
                  <w:r>
                    <w:rPr>
                      <w:color w:val="auto"/>
                      <w:highlight w:val="none"/>
                    </w:rPr>
                    <w:t>g/a</w:t>
                  </w:r>
                </w:p>
              </w:tc>
            </w:tr>
          </w:tbl>
          <w:p w14:paraId="602AE0C2">
            <w:pPr>
              <w:snapToGrid w:val="0"/>
              <w:spacing w:line="360" w:lineRule="auto"/>
              <w:ind w:firstLine="480" w:firstLineChars="200"/>
              <w:rPr>
                <w:bCs/>
                <w:color w:val="auto"/>
                <w:sz w:val="24"/>
                <w:highlight w:val="none"/>
              </w:rPr>
            </w:pPr>
            <w:r>
              <w:rPr>
                <w:bCs/>
                <w:color w:val="auto"/>
                <w:sz w:val="24"/>
                <w:highlight w:val="none"/>
              </w:rPr>
              <w:t>本项目焚烧炉尾气处理设备与火化机尾气处理设备相同，因此去除效率相同，产生量采用倒推的方式进行核算。遗物祭品焚烧废气产排情况见表4-</w:t>
            </w:r>
            <w:r>
              <w:rPr>
                <w:rFonts w:hint="eastAsia"/>
                <w:bCs/>
                <w:color w:val="auto"/>
                <w:sz w:val="24"/>
                <w:highlight w:val="none"/>
              </w:rPr>
              <w:t>6</w:t>
            </w:r>
            <w:r>
              <w:rPr>
                <w:bCs/>
                <w:color w:val="auto"/>
                <w:sz w:val="24"/>
                <w:highlight w:val="none"/>
              </w:rPr>
              <w:t>。</w:t>
            </w:r>
          </w:p>
          <w:p w14:paraId="4CD69039">
            <w:pPr>
              <w:snapToGrid w:val="0"/>
              <w:spacing w:line="360" w:lineRule="auto"/>
              <w:jc w:val="center"/>
              <w:rPr>
                <w:b/>
                <w:color w:val="auto"/>
                <w:sz w:val="24"/>
                <w:highlight w:val="none"/>
              </w:rPr>
            </w:pPr>
            <w:r>
              <w:rPr>
                <w:b/>
                <w:color w:val="auto"/>
                <w:sz w:val="24"/>
                <w:highlight w:val="none"/>
              </w:rPr>
              <w:t>表4-</w:t>
            </w:r>
            <w:r>
              <w:rPr>
                <w:rFonts w:hint="eastAsia"/>
                <w:b/>
                <w:color w:val="auto"/>
                <w:sz w:val="24"/>
                <w:highlight w:val="none"/>
              </w:rPr>
              <w:t>6</w:t>
            </w:r>
            <w:r>
              <w:rPr>
                <w:b/>
                <w:color w:val="auto"/>
                <w:sz w:val="24"/>
                <w:highlight w:val="none"/>
              </w:rPr>
              <w:t xml:space="preserve"> 遗物祭品焚烧废气产排情况汇总表</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51"/>
              <w:gridCol w:w="921"/>
              <w:gridCol w:w="493"/>
              <w:gridCol w:w="887"/>
              <w:gridCol w:w="735"/>
              <w:gridCol w:w="750"/>
              <w:gridCol w:w="899"/>
              <w:gridCol w:w="629"/>
              <w:gridCol w:w="741"/>
              <w:gridCol w:w="819"/>
              <w:gridCol w:w="948"/>
            </w:tblGrid>
            <w:tr w14:paraId="7B1DB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2" w:type="pct"/>
                  <w:vMerge w:val="restart"/>
                  <w:tcBorders>
                    <w:tl2br w:val="nil"/>
                    <w:tr2bl w:val="nil"/>
                  </w:tcBorders>
                  <w:vAlign w:val="center"/>
                </w:tcPr>
                <w:p w14:paraId="4A92A83F">
                  <w:pPr>
                    <w:jc w:val="center"/>
                    <w:rPr>
                      <w:b/>
                      <w:color w:val="auto"/>
                      <w:szCs w:val="21"/>
                      <w:highlight w:val="none"/>
                    </w:rPr>
                  </w:pPr>
                  <w:r>
                    <w:rPr>
                      <w:b/>
                      <w:color w:val="auto"/>
                      <w:szCs w:val="21"/>
                      <w:highlight w:val="none"/>
                    </w:rPr>
                    <w:t>产污</w:t>
                  </w:r>
                </w:p>
                <w:p w14:paraId="3E050D82">
                  <w:pPr>
                    <w:jc w:val="center"/>
                    <w:rPr>
                      <w:b/>
                      <w:color w:val="auto"/>
                      <w:szCs w:val="21"/>
                      <w:highlight w:val="none"/>
                    </w:rPr>
                  </w:pPr>
                  <w:r>
                    <w:rPr>
                      <w:b/>
                      <w:color w:val="auto"/>
                      <w:szCs w:val="21"/>
                      <w:highlight w:val="none"/>
                    </w:rPr>
                    <w:t>环节</w:t>
                  </w:r>
                </w:p>
              </w:tc>
              <w:tc>
                <w:tcPr>
                  <w:tcW w:w="556" w:type="pct"/>
                  <w:vMerge w:val="restart"/>
                  <w:tcBorders>
                    <w:tl2br w:val="nil"/>
                    <w:tr2bl w:val="nil"/>
                  </w:tcBorders>
                  <w:vAlign w:val="center"/>
                </w:tcPr>
                <w:p w14:paraId="0D0C50D1">
                  <w:pPr>
                    <w:jc w:val="center"/>
                    <w:rPr>
                      <w:b/>
                      <w:color w:val="auto"/>
                      <w:szCs w:val="21"/>
                      <w:highlight w:val="none"/>
                    </w:rPr>
                  </w:pPr>
                  <w:r>
                    <w:rPr>
                      <w:b/>
                      <w:color w:val="auto"/>
                      <w:szCs w:val="21"/>
                      <w:highlight w:val="none"/>
                    </w:rPr>
                    <w:t>污染因子</w:t>
                  </w:r>
                </w:p>
              </w:tc>
              <w:tc>
                <w:tcPr>
                  <w:tcW w:w="298" w:type="pct"/>
                  <w:vMerge w:val="restart"/>
                  <w:tcBorders>
                    <w:tl2br w:val="nil"/>
                    <w:tr2bl w:val="nil"/>
                  </w:tcBorders>
                  <w:vAlign w:val="center"/>
                </w:tcPr>
                <w:p w14:paraId="0A5F9AAE">
                  <w:pPr>
                    <w:jc w:val="center"/>
                    <w:rPr>
                      <w:b/>
                      <w:color w:val="auto"/>
                      <w:szCs w:val="21"/>
                      <w:highlight w:val="none"/>
                    </w:rPr>
                  </w:pPr>
                  <w:r>
                    <w:rPr>
                      <w:b/>
                      <w:color w:val="auto"/>
                      <w:szCs w:val="21"/>
                      <w:highlight w:val="none"/>
                    </w:rPr>
                    <w:t>排放</w:t>
                  </w:r>
                </w:p>
                <w:p w14:paraId="5EA15057">
                  <w:pPr>
                    <w:jc w:val="center"/>
                    <w:rPr>
                      <w:b/>
                      <w:color w:val="auto"/>
                      <w:szCs w:val="21"/>
                      <w:highlight w:val="none"/>
                    </w:rPr>
                  </w:pPr>
                  <w:r>
                    <w:rPr>
                      <w:b/>
                      <w:color w:val="auto"/>
                      <w:szCs w:val="21"/>
                      <w:highlight w:val="none"/>
                    </w:rPr>
                    <w:t>形式</w:t>
                  </w:r>
                </w:p>
              </w:tc>
              <w:tc>
                <w:tcPr>
                  <w:tcW w:w="1433" w:type="pct"/>
                  <w:gridSpan w:val="3"/>
                  <w:tcBorders>
                    <w:tl2br w:val="nil"/>
                    <w:tr2bl w:val="nil"/>
                  </w:tcBorders>
                  <w:vAlign w:val="center"/>
                </w:tcPr>
                <w:p w14:paraId="2B483C84">
                  <w:pPr>
                    <w:jc w:val="center"/>
                    <w:rPr>
                      <w:b/>
                      <w:color w:val="auto"/>
                      <w:szCs w:val="21"/>
                      <w:highlight w:val="none"/>
                    </w:rPr>
                  </w:pPr>
                  <w:r>
                    <w:rPr>
                      <w:b/>
                      <w:color w:val="auto"/>
                      <w:szCs w:val="21"/>
                      <w:highlight w:val="none"/>
                    </w:rPr>
                    <w:t>产生情况</w:t>
                  </w:r>
                </w:p>
              </w:tc>
              <w:tc>
                <w:tcPr>
                  <w:tcW w:w="543" w:type="pct"/>
                  <w:vMerge w:val="restart"/>
                  <w:tcBorders>
                    <w:tl2br w:val="nil"/>
                    <w:tr2bl w:val="nil"/>
                  </w:tcBorders>
                  <w:vAlign w:val="center"/>
                </w:tcPr>
                <w:p w14:paraId="18C51B8E">
                  <w:pPr>
                    <w:jc w:val="center"/>
                    <w:rPr>
                      <w:b/>
                      <w:color w:val="auto"/>
                      <w:szCs w:val="21"/>
                      <w:highlight w:val="none"/>
                    </w:rPr>
                  </w:pPr>
                  <w:r>
                    <w:rPr>
                      <w:b/>
                      <w:color w:val="auto"/>
                      <w:szCs w:val="21"/>
                      <w:highlight w:val="none"/>
                    </w:rPr>
                    <w:t>防治</w:t>
                  </w:r>
                </w:p>
                <w:p w14:paraId="39CC2FEC">
                  <w:pPr>
                    <w:jc w:val="center"/>
                    <w:rPr>
                      <w:b/>
                      <w:color w:val="auto"/>
                      <w:szCs w:val="21"/>
                      <w:highlight w:val="none"/>
                    </w:rPr>
                  </w:pPr>
                  <w:r>
                    <w:rPr>
                      <w:b/>
                      <w:color w:val="auto"/>
                      <w:szCs w:val="21"/>
                      <w:highlight w:val="none"/>
                    </w:rPr>
                    <w:t>措施</w:t>
                  </w:r>
                </w:p>
              </w:tc>
              <w:tc>
                <w:tcPr>
                  <w:tcW w:w="380" w:type="pct"/>
                  <w:vMerge w:val="restart"/>
                  <w:tcBorders>
                    <w:tl2br w:val="nil"/>
                    <w:tr2bl w:val="nil"/>
                  </w:tcBorders>
                  <w:vAlign w:val="center"/>
                </w:tcPr>
                <w:p w14:paraId="20306308">
                  <w:pPr>
                    <w:jc w:val="center"/>
                    <w:rPr>
                      <w:b/>
                      <w:color w:val="auto"/>
                      <w:szCs w:val="21"/>
                      <w:highlight w:val="none"/>
                    </w:rPr>
                  </w:pPr>
                  <w:r>
                    <w:rPr>
                      <w:b/>
                      <w:color w:val="auto"/>
                      <w:szCs w:val="21"/>
                      <w:highlight w:val="none"/>
                    </w:rPr>
                    <w:t>去除</w:t>
                  </w:r>
                </w:p>
                <w:p w14:paraId="6288CA35">
                  <w:pPr>
                    <w:jc w:val="center"/>
                    <w:rPr>
                      <w:b/>
                      <w:color w:val="auto"/>
                      <w:szCs w:val="21"/>
                      <w:highlight w:val="none"/>
                    </w:rPr>
                  </w:pPr>
                  <w:r>
                    <w:rPr>
                      <w:b/>
                      <w:color w:val="auto"/>
                      <w:szCs w:val="21"/>
                      <w:highlight w:val="none"/>
                    </w:rPr>
                    <w:t>效率（％）</w:t>
                  </w:r>
                </w:p>
              </w:tc>
              <w:tc>
                <w:tcPr>
                  <w:tcW w:w="1515" w:type="pct"/>
                  <w:gridSpan w:val="3"/>
                  <w:tcBorders>
                    <w:tl2br w:val="nil"/>
                    <w:tr2bl w:val="nil"/>
                  </w:tcBorders>
                  <w:vAlign w:val="center"/>
                </w:tcPr>
                <w:p w14:paraId="720FBBAA">
                  <w:pPr>
                    <w:jc w:val="center"/>
                    <w:rPr>
                      <w:b/>
                      <w:color w:val="auto"/>
                      <w:szCs w:val="21"/>
                      <w:highlight w:val="none"/>
                    </w:rPr>
                  </w:pPr>
                  <w:r>
                    <w:rPr>
                      <w:b/>
                      <w:color w:val="auto"/>
                      <w:szCs w:val="21"/>
                      <w:highlight w:val="none"/>
                    </w:rPr>
                    <w:t>排放情况</w:t>
                  </w:r>
                </w:p>
              </w:tc>
            </w:tr>
            <w:tr w14:paraId="73B9C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2" w:type="pct"/>
                  <w:vMerge w:val="continue"/>
                  <w:tcBorders>
                    <w:tl2br w:val="nil"/>
                    <w:tr2bl w:val="nil"/>
                  </w:tcBorders>
                  <w:vAlign w:val="center"/>
                </w:tcPr>
                <w:p w14:paraId="21C8EBF2">
                  <w:pPr>
                    <w:jc w:val="center"/>
                    <w:rPr>
                      <w:b/>
                      <w:color w:val="auto"/>
                      <w:szCs w:val="21"/>
                      <w:highlight w:val="none"/>
                    </w:rPr>
                  </w:pPr>
                </w:p>
              </w:tc>
              <w:tc>
                <w:tcPr>
                  <w:tcW w:w="556" w:type="pct"/>
                  <w:vMerge w:val="continue"/>
                  <w:tcBorders>
                    <w:tl2br w:val="nil"/>
                    <w:tr2bl w:val="nil"/>
                  </w:tcBorders>
                  <w:vAlign w:val="center"/>
                </w:tcPr>
                <w:p w14:paraId="780289F3">
                  <w:pPr>
                    <w:jc w:val="center"/>
                    <w:rPr>
                      <w:b/>
                      <w:color w:val="auto"/>
                      <w:szCs w:val="21"/>
                      <w:highlight w:val="none"/>
                    </w:rPr>
                  </w:pPr>
                </w:p>
              </w:tc>
              <w:tc>
                <w:tcPr>
                  <w:tcW w:w="298" w:type="pct"/>
                  <w:vMerge w:val="continue"/>
                  <w:tcBorders>
                    <w:tl2br w:val="nil"/>
                    <w:tr2bl w:val="nil"/>
                  </w:tcBorders>
                  <w:vAlign w:val="center"/>
                </w:tcPr>
                <w:p w14:paraId="4F162DDF">
                  <w:pPr>
                    <w:jc w:val="center"/>
                    <w:rPr>
                      <w:b/>
                      <w:color w:val="auto"/>
                      <w:szCs w:val="21"/>
                      <w:highlight w:val="none"/>
                    </w:rPr>
                  </w:pPr>
                </w:p>
              </w:tc>
              <w:tc>
                <w:tcPr>
                  <w:tcW w:w="535" w:type="pct"/>
                  <w:tcBorders>
                    <w:tl2br w:val="nil"/>
                    <w:tr2bl w:val="nil"/>
                  </w:tcBorders>
                  <w:vAlign w:val="center"/>
                </w:tcPr>
                <w:p w14:paraId="19086CE4">
                  <w:pPr>
                    <w:jc w:val="center"/>
                    <w:rPr>
                      <w:b/>
                      <w:color w:val="auto"/>
                      <w:szCs w:val="21"/>
                      <w:highlight w:val="none"/>
                    </w:rPr>
                  </w:pPr>
                  <w:r>
                    <w:rPr>
                      <w:b/>
                      <w:color w:val="auto"/>
                      <w:szCs w:val="21"/>
                      <w:highlight w:val="none"/>
                    </w:rPr>
                    <w:t>浓度</w:t>
                  </w:r>
                  <w:r>
                    <w:rPr>
                      <w:b/>
                      <w:color w:val="auto"/>
                      <w:spacing w:val="-10"/>
                      <w:szCs w:val="21"/>
                      <w:highlight w:val="none"/>
                    </w:rPr>
                    <w:t>（</w:t>
                  </w:r>
                  <w:r>
                    <w:rPr>
                      <w:rFonts w:hint="eastAsia"/>
                      <w:b/>
                      <w:color w:val="auto"/>
                      <w:spacing w:val="-10"/>
                      <w:szCs w:val="21"/>
                      <w:highlight w:val="none"/>
                      <w:lang w:eastAsia="zh-CN"/>
                    </w:rPr>
                    <w:t>m</w:t>
                  </w:r>
                  <w:r>
                    <w:rPr>
                      <w:b/>
                      <w:color w:val="auto"/>
                      <w:spacing w:val="-10"/>
                      <w:szCs w:val="21"/>
                      <w:highlight w:val="none"/>
                    </w:rPr>
                    <w:t>g/</w:t>
                  </w:r>
                  <w:r>
                    <w:rPr>
                      <w:rFonts w:hint="eastAsia"/>
                      <w:b/>
                      <w:color w:val="auto"/>
                      <w:spacing w:val="-10"/>
                      <w:szCs w:val="21"/>
                      <w:highlight w:val="none"/>
                      <w:vertAlign w:val="baseline"/>
                      <w:lang w:eastAsia="zh-CN"/>
                    </w:rPr>
                    <w:t>m</w:t>
                  </w:r>
                  <w:r>
                    <w:rPr>
                      <w:rFonts w:hint="eastAsia"/>
                      <w:b/>
                      <w:color w:val="auto"/>
                      <w:spacing w:val="-10"/>
                      <w:szCs w:val="21"/>
                      <w:highlight w:val="none"/>
                      <w:vertAlign w:val="superscript"/>
                      <w:lang w:eastAsia="zh-CN"/>
                    </w:rPr>
                    <w:t>3</w:t>
                  </w:r>
                  <w:r>
                    <w:rPr>
                      <w:b/>
                      <w:color w:val="auto"/>
                      <w:spacing w:val="-10"/>
                      <w:szCs w:val="21"/>
                      <w:highlight w:val="none"/>
                    </w:rPr>
                    <w:t>）</w:t>
                  </w:r>
                </w:p>
              </w:tc>
              <w:tc>
                <w:tcPr>
                  <w:tcW w:w="444" w:type="pct"/>
                  <w:tcBorders>
                    <w:tl2br w:val="nil"/>
                    <w:tr2bl w:val="nil"/>
                  </w:tcBorders>
                  <w:vAlign w:val="center"/>
                </w:tcPr>
                <w:p w14:paraId="58DF796F">
                  <w:pPr>
                    <w:jc w:val="center"/>
                    <w:rPr>
                      <w:b/>
                      <w:color w:val="auto"/>
                      <w:szCs w:val="21"/>
                      <w:highlight w:val="none"/>
                    </w:rPr>
                  </w:pPr>
                  <w:r>
                    <w:rPr>
                      <w:b/>
                      <w:color w:val="auto"/>
                      <w:szCs w:val="21"/>
                      <w:highlight w:val="none"/>
                    </w:rPr>
                    <w:t>速率</w:t>
                  </w:r>
                  <w:r>
                    <w:rPr>
                      <w:b/>
                      <w:color w:val="auto"/>
                      <w:spacing w:val="-10"/>
                      <w:szCs w:val="21"/>
                      <w:highlight w:val="none"/>
                    </w:rPr>
                    <w:t>（kg/h）</w:t>
                  </w:r>
                </w:p>
              </w:tc>
              <w:tc>
                <w:tcPr>
                  <w:tcW w:w="453" w:type="pct"/>
                  <w:tcBorders>
                    <w:tl2br w:val="nil"/>
                    <w:tr2bl w:val="nil"/>
                  </w:tcBorders>
                  <w:vAlign w:val="center"/>
                </w:tcPr>
                <w:p w14:paraId="764A7037">
                  <w:pPr>
                    <w:jc w:val="center"/>
                    <w:rPr>
                      <w:b/>
                      <w:color w:val="auto"/>
                      <w:szCs w:val="21"/>
                      <w:highlight w:val="none"/>
                    </w:rPr>
                  </w:pPr>
                  <w:r>
                    <w:rPr>
                      <w:b/>
                      <w:color w:val="auto"/>
                      <w:szCs w:val="21"/>
                      <w:highlight w:val="none"/>
                    </w:rPr>
                    <w:t>产生量（t/a）</w:t>
                  </w:r>
                </w:p>
              </w:tc>
              <w:tc>
                <w:tcPr>
                  <w:tcW w:w="543" w:type="pct"/>
                  <w:vMerge w:val="continue"/>
                  <w:tcBorders>
                    <w:tl2br w:val="nil"/>
                    <w:tr2bl w:val="nil"/>
                  </w:tcBorders>
                  <w:vAlign w:val="center"/>
                </w:tcPr>
                <w:p w14:paraId="17AE6553">
                  <w:pPr>
                    <w:jc w:val="center"/>
                    <w:rPr>
                      <w:b/>
                      <w:color w:val="auto"/>
                      <w:szCs w:val="21"/>
                      <w:highlight w:val="none"/>
                    </w:rPr>
                  </w:pPr>
                </w:p>
              </w:tc>
              <w:tc>
                <w:tcPr>
                  <w:tcW w:w="380" w:type="pct"/>
                  <w:vMerge w:val="continue"/>
                  <w:tcBorders>
                    <w:tl2br w:val="nil"/>
                    <w:tr2bl w:val="nil"/>
                  </w:tcBorders>
                  <w:vAlign w:val="center"/>
                </w:tcPr>
                <w:p w14:paraId="1962E365">
                  <w:pPr>
                    <w:jc w:val="center"/>
                    <w:rPr>
                      <w:b/>
                      <w:color w:val="auto"/>
                      <w:szCs w:val="21"/>
                      <w:highlight w:val="none"/>
                    </w:rPr>
                  </w:pPr>
                </w:p>
              </w:tc>
              <w:tc>
                <w:tcPr>
                  <w:tcW w:w="447" w:type="pct"/>
                  <w:tcBorders>
                    <w:tl2br w:val="nil"/>
                    <w:tr2bl w:val="nil"/>
                  </w:tcBorders>
                  <w:vAlign w:val="center"/>
                </w:tcPr>
                <w:p w14:paraId="3B4D8CE2">
                  <w:pPr>
                    <w:jc w:val="center"/>
                    <w:rPr>
                      <w:b/>
                      <w:color w:val="auto"/>
                      <w:szCs w:val="21"/>
                      <w:highlight w:val="none"/>
                    </w:rPr>
                  </w:pPr>
                  <w:r>
                    <w:rPr>
                      <w:b/>
                      <w:color w:val="auto"/>
                      <w:szCs w:val="21"/>
                      <w:highlight w:val="none"/>
                    </w:rPr>
                    <w:t>排放量（t/a）</w:t>
                  </w:r>
                </w:p>
              </w:tc>
              <w:tc>
                <w:tcPr>
                  <w:tcW w:w="494" w:type="pct"/>
                  <w:tcBorders>
                    <w:tl2br w:val="nil"/>
                    <w:tr2bl w:val="nil"/>
                  </w:tcBorders>
                  <w:vAlign w:val="center"/>
                </w:tcPr>
                <w:p w14:paraId="5A75B63C">
                  <w:pPr>
                    <w:jc w:val="center"/>
                    <w:rPr>
                      <w:b/>
                      <w:color w:val="auto"/>
                      <w:szCs w:val="21"/>
                      <w:highlight w:val="none"/>
                    </w:rPr>
                  </w:pPr>
                  <w:r>
                    <w:rPr>
                      <w:b/>
                      <w:color w:val="auto"/>
                      <w:szCs w:val="21"/>
                      <w:highlight w:val="none"/>
                    </w:rPr>
                    <w:t>速率（kg/h）</w:t>
                  </w:r>
                </w:p>
              </w:tc>
              <w:tc>
                <w:tcPr>
                  <w:tcW w:w="572" w:type="pct"/>
                  <w:tcBorders>
                    <w:tl2br w:val="nil"/>
                    <w:tr2bl w:val="nil"/>
                  </w:tcBorders>
                  <w:vAlign w:val="center"/>
                </w:tcPr>
                <w:p w14:paraId="0C240D98">
                  <w:pPr>
                    <w:jc w:val="center"/>
                    <w:rPr>
                      <w:b/>
                      <w:color w:val="auto"/>
                      <w:szCs w:val="21"/>
                      <w:highlight w:val="none"/>
                    </w:rPr>
                  </w:pPr>
                  <w:r>
                    <w:rPr>
                      <w:b/>
                      <w:color w:val="auto"/>
                      <w:szCs w:val="21"/>
                      <w:highlight w:val="none"/>
                    </w:rPr>
                    <w:t>浓度（</w:t>
                  </w:r>
                  <w:r>
                    <w:rPr>
                      <w:rFonts w:hint="eastAsia"/>
                      <w:b/>
                      <w:color w:val="auto"/>
                      <w:szCs w:val="21"/>
                      <w:highlight w:val="none"/>
                      <w:lang w:eastAsia="zh-CN"/>
                    </w:rPr>
                    <w:t>m</w:t>
                  </w:r>
                  <w:r>
                    <w:rPr>
                      <w:b/>
                      <w:color w:val="auto"/>
                      <w:szCs w:val="21"/>
                      <w:highlight w:val="none"/>
                    </w:rPr>
                    <w:t>g/</w:t>
                  </w:r>
                  <w:r>
                    <w:rPr>
                      <w:rFonts w:hint="eastAsia"/>
                      <w:b/>
                      <w:color w:val="auto"/>
                      <w:szCs w:val="21"/>
                      <w:highlight w:val="none"/>
                      <w:vertAlign w:val="baseline"/>
                      <w:lang w:eastAsia="zh-CN"/>
                    </w:rPr>
                    <w:t>m</w:t>
                  </w:r>
                  <w:r>
                    <w:rPr>
                      <w:rFonts w:hint="eastAsia"/>
                      <w:b/>
                      <w:color w:val="auto"/>
                      <w:szCs w:val="21"/>
                      <w:highlight w:val="none"/>
                      <w:vertAlign w:val="superscript"/>
                      <w:lang w:eastAsia="zh-CN"/>
                    </w:rPr>
                    <w:t>3</w:t>
                  </w:r>
                  <w:r>
                    <w:rPr>
                      <w:b/>
                      <w:color w:val="auto"/>
                      <w:szCs w:val="21"/>
                      <w:highlight w:val="none"/>
                    </w:rPr>
                    <w:t>）</w:t>
                  </w:r>
                </w:p>
              </w:tc>
            </w:tr>
            <w:tr w14:paraId="60ABF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2" w:type="pct"/>
                  <w:vMerge w:val="restart"/>
                  <w:tcBorders>
                    <w:tl2br w:val="nil"/>
                    <w:tr2bl w:val="nil"/>
                  </w:tcBorders>
                  <w:vAlign w:val="center"/>
                </w:tcPr>
                <w:p w14:paraId="2454C653">
                  <w:pPr>
                    <w:spacing w:line="0" w:lineRule="atLeast"/>
                    <w:jc w:val="center"/>
                    <w:rPr>
                      <w:bCs/>
                      <w:color w:val="auto"/>
                      <w:szCs w:val="21"/>
                      <w:highlight w:val="none"/>
                    </w:rPr>
                  </w:pPr>
                  <w:r>
                    <w:rPr>
                      <w:bCs/>
                      <w:color w:val="auto"/>
                      <w:szCs w:val="21"/>
                      <w:highlight w:val="none"/>
                    </w:rPr>
                    <w:t>焚烧炉</w:t>
                  </w:r>
                </w:p>
              </w:tc>
              <w:tc>
                <w:tcPr>
                  <w:tcW w:w="556" w:type="pct"/>
                  <w:tcBorders>
                    <w:tl2br w:val="nil"/>
                    <w:tr2bl w:val="nil"/>
                  </w:tcBorders>
                  <w:shd w:val="clear" w:color="auto" w:fill="auto"/>
                  <w:vAlign w:val="center"/>
                </w:tcPr>
                <w:p w14:paraId="18BD323E">
                  <w:pPr>
                    <w:adjustRightInd w:val="0"/>
                    <w:snapToGrid w:val="0"/>
                    <w:jc w:val="center"/>
                    <w:rPr>
                      <w:bCs/>
                      <w:color w:val="auto"/>
                      <w:szCs w:val="21"/>
                      <w:highlight w:val="none"/>
                    </w:rPr>
                  </w:pPr>
                  <w:r>
                    <w:rPr>
                      <w:bCs/>
                      <w:color w:val="auto"/>
                      <w:spacing w:val="-10"/>
                      <w:szCs w:val="21"/>
                      <w:highlight w:val="none"/>
                    </w:rPr>
                    <w:t>烟尘</w:t>
                  </w:r>
                </w:p>
              </w:tc>
              <w:tc>
                <w:tcPr>
                  <w:tcW w:w="298" w:type="pct"/>
                  <w:vMerge w:val="restart"/>
                  <w:tcBorders>
                    <w:tl2br w:val="nil"/>
                    <w:tr2bl w:val="nil"/>
                  </w:tcBorders>
                  <w:vAlign w:val="center"/>
                </w:tcPr>
                <w:p w14:paraId="78255181">
                  <w:pPr>
                    <w:adjustRightInd w:val="0"/>
                    <w:snapToGrid w:val="0"/>
                    <w:jc w:val="center"/>
                    <w:rPr>
                      <w:rFonts w:hint="eastAsia" w:eastAsia="宋体"/>
                      <w:bCs/>
                      <w:color w:val="auto"/>
                      <w:spacing w:val="-10"/>
                      <w:szCs w:val="21"/>
                      <w:highlight w:val="none"/>
                      <w:lang w:eastAsia="zh-CN"/>
                    </w:rPr>
                  </w:pPr>
                  <w:r>
                    <w:rPr>
                      <w:bCs/>
                      <w:color w:val="auto"/>
                      <w:spacing w:val="-10"/>
                      <w:szCs w:val="21"/>
                      <w:highlight w:val="none"/>
                    </w:rPr>
                    <w:t>有组织</w:t>
                  </w:r>
                  <w:r>
                    <w:rPr>
                      <w:rFonts w:hint="eastAsia"/>
                      <w:bCs/>
                      <w:color w:val="auto"/>
                      <w:spacing w:val="-10"/>
                      <w:szCs w:val="21"/>
                      <w:highlight w:val="none"/>
                      <w:lang w:eastAsia="zh-CN"/>
                    </w:rPr>
                    <w:t>排放</w:t>
                  </w:r>
                </w:p>
              </w:tc>
              <w:tc>
                <w:tcPr>
                  <w:tcW w:w="535" w:type="pct"/>
                  <w:tcBorders>
                    <w:tl2br w:val="nil"/>
                    <w:tr2bl w:val="nil"/>
                  </w:tcBorders>
                  <w:vAlign w:val="center"/>
                </w:tcPr>
                <w:p w14:paraId="0CF9DE56">
                  <w:pPr>
                    <w:pStyle w:val="27"/>
                    <w:rPr>
                      <w:color w:val="auto"/>
                      <w:highlight w:val="none"/>
                    </w:rPr>
                  </w:pPr>
                  <w:r>
                    <w:rPr>
                      <w:rFonts w:hint="eastAsia"/>
                      <w:color w:val="auto"/>
                      <w:highlight w:val="none"/>
                    </w:rPr>
                    <w:t>400</w:t>
                  </w:r>
                </w:p>
              </w:tc>
              <w:tc>
                <w:tcPr>
                  <w:tcW w:w="444" w:type="pct"/>
                  <w:tcBorders>
                    <w:tl2br w:val="nil"/>
                    <w:tr2bl w:val="nil"/>
                  </w:tcBorders>
                  <w:vAlign w:val="center"/>
                </w:tcPr>
                <w:p w14:paraId="07AC96BD">
                  <w:pPr>
                    <w:pStyle w:val="27"/>
                    <w:rPr>
                      <w:color w:val="auto"/>
                      <w:highlight w:val="none"/>
                    </w:rPr>
                  </w:pPr>
                  <w:r>
                    <w:rPr>
                      <w:rFonts w:hint="eastAsia"/>
                      <w:color w:val="auto"/>
                      <w:highlight w:val="none"/>
                    </w:rPr>
                    <w:t>2.60</w:t>
                  </w:r>
                </w:p>
              </w:tc>
              <w:tc>
                <w:tcPr>
                  <w:tcW w:w="453" w:type="pct"/>
                  <w:tcBorders>
                    <w:tl2br w:val="nil"/>
                    <w:tr2bl w:val="nil"/>
                  </w:tcBorders>
                  <w:vAlign w:val="center"/>
                </w:tcPr>
                <w:p w14:paraId="321CC26A">
                  <w:pPr>
                    <w:pStyle w:val="27"/>
                    <w:rPr>
                      <w:color w:val="auto"/>
                      <w:highlight w:val="none"/>
                    </w:rPr>
                  </w:pPr>
                  <w:r>
                    <w:rPr>
                      <w:rFonts w:hint="eastAsia"/>
                      <w:color w:val="auto"/>
                      <w:highlight w:val="none"/>
                    </w:rPr>
                    <w:t>0.34</w:t>
                  </w:r>
                </w:p>
              </w:tc>
              <w:tc>
                <w:tcPr>
                  <w:tcW w:w="543" w:type="pct"/>
                  <w:vMerge w:val="restart"/>
                  <w:tcBorders>
                    <w:tl2br w:val="nil"/>
                    <w:tr2bl w:val="nil"/>
                  </w:tcBorders>
                  <w:vAlign w:val="center"/>
                </w:tcPr>
                <w:p w14:paraId="6FFEEB0A">
                  <w:pPr>
                    <w:spacing w:line="0" w:lineRule="atLeast"/>
                    <w:jc w:val="center"/>
                    <w:rPr>
                      <w:bCs/>
                      <w:color w:val="auto"/>
                      <w:szCs w:val="21"/>
                      <w:highlight w:val="none"/>
                    </w:rPr>
                  </w:pPr>
                  <w:r>
                    <w:rPr>
                      <w:rFonts w:hint="eastAsia"/>
                      <w:color w:val="auto"/>
                      <w:szCs w:val="21"/>
                      <w:highlight w:val="none"/>
                    </w:rPr>
                    <w:t>烟气急冷系统+消石灰+</w:t>
                  </w:r>
                  <w:r>
                    <w:rPr>
                      <w:rFonts w:hint="eastAsia"/>
                      <w:color w:val="auto"/>
                      <w:szCs w:val="21"/>
                      <w:highlight w:val="none"/>
                      <w:lang w:eastAsia="zh-CN"/>
                    </w:rPr>
                    <w:t>旋风除尘器</w:t>
                  </w:r>
                  <w:r>
                    <w:rPr>
                      <w:color w:val="auto"/>
                      <w:szCs w:val="21"/>
                      <w:highlight w:val="none"/>
                    </w:rPr>
                    <w:t>+</w:t>
                  </w:r>
                  <w:r>
                    <w:rPr>
                      <w:rFonts w:hint="eastAsia"/>
                      <w:color w:val="auto"/>
                      <w:szCs w:val="21"/>
                      <w:highlight w:val="none"/>
                      <w:lang w:eastAsia="zh-CN"/>
                    </w:rPr>
                    <w:t>活性炭喷射装置+布袋除尘器</w:t>
                  </w:r>
                  <w:r>
                    <w:rPr>
                      <w:color w:val="auto"/>
                      <w:szCs w:val="21"/>
                      <w:highlight w:val="none"/>
                    </w:rPr>
                    <w:t>+1根12</w:t>
                  </w:r>
                  <w:r>
                    <w:rPr>
                      <w:rFonts w:hint="eastAsia"/>
                      <w:color w:val="auto"/>
                      <w:szCs w:val="21"/>
                      <w:highlight w:val="none"/>
                      <w:lang w:eastAsia="zh-CN"/>
                    </w:rPr>
                    <w:t>m</w:t>
                  </w:r>
                  <w:r>
                    <w:rPr>
                      <w:color w:val="auto"/>
                      <w:szCs w:val="21"/>
                      <w:highlight w:val="none"/>
                    </w:rPr>
                    <w:t>高的排气筒排放</w:t>
                  </w:r>
                </w:p>
              </w:tc>
              <w:tc>
                <w:tcPr>
                  <w:tcW w:w="380" w:type="pct"/>
                  <w:tcBorders>
                    <w:tl2br w:val="nil"/>
                    <w:tr2bl w:val="nil"/>
                  </w:tcBorders>
                  <w:vAlign w:val="center"/>
                </w:tcPr>
                <w:p w14:paraId="712637FA">
                  <w:pPr>
                    <w:pStyle w:val="27"/>
                    <w:rPr>
                      <w:color w:val="auto"/>
                      <w:highlight w:val="none"/>
                    </w:rPr>
                  </w:pPr>
                  <w:r>
                    <w:rPr>
                      <w:rFonts w:hint="eastAsia"/>
                      <w:color w:val="auto"/>
                      <w:highlight w:val="none"/>
                    </w:rPr>
                    <w:t>95</w:t>
                  </w:r>
                </w:p>
              </w:tc>
              <w:tc>
                <w:tcPr>
                  <w:tcW w:w="447" w:type="pct"/>
                  <w:tcBorders>
                    <w:tl2br w:val="nil"/>
                    <w:tr2bl w:val="nil"/>
                  </w:tcBorders>
                  <w:vAlign w:val="center"/>
                </w:tcPr>
                <w:p w14:paraId="24519047">
                  <w:pPr>
                    <w:widowControl/>
                    <w:jc w:val="center"/>
                    <w:textAlignment w:val="center"/>
                    <w:rPr>
                      <w:bCs/>
                      <w:color w:val="auto"/>
                      <w:szCs w:val="21"/>
                      <w:highlight w:val="none"/>
                    </w:rPr>
                  </w:pPr>
                  <w:r>
                    <w:rPr>
                      <w:color w:val="auto"/>
                      <w:kern w:val="0"/>
                      <w:szCs w:val="21"/>
                      <w:highlight w:val="none"/>
                    </w:rPr>
                    <w:t>0.017</w:t>
                  </w:r>
                </w:p>
              </w:tc>
              <w:tc>
                <w:tcPr>
                  <w:tcW w:w="494" w:type="pct"/>
                  <w:tcBorders>
                    <w:tl2br w:val="nil"/>
                    <w:tr2bl w:val="nil"/>
                  </w:tcBorders>
                  <w:vAlign w:val="center"/>
                </w:tcPr>
                <w:p w14:paraId="3B3C41B4">
                  <w:pPr>
                    <w:adjustRightInd w:val="0"/>
                    <w:snapToGrid w:val="0"/>
                    <w:jc w:val="center"/>
                    <w:rPr>
                      <w:bCs/>
                      <w:color w:val="auto"/>
                      <w:szCs w:val="21"/>
                      <w:highlight w:val="none"/>
                    </w:rPr>
                  </w:pPr>
                  <w:r>
                    <w:rPr>
                      <w:bCs/>
                      <w:color w:val="auto"/>
                      <w:spacing w:val="-10"/>
                      <w:szCs w:val="21"/>
                      <w:highlight w:val="none"/>
                    </w:rPr>
                    <w:t>0.13</w:t>
                  </w:r>
                </w:p>
              </w:tc>
              <w:tc>
                <w:tcPr>
                  <w:tcW w:w="572" w:type="pct"/>
                  <w:tcBorders>
                    <w:tl2br w:val="nil"/>
                    <w:tr2bl w:val="nil"/>
                  </w:tcBorders>
                  <w:vAlign w:val="center"/>
                </w:tcPr>
                <w:p w14:paraId="2F9317ED">
                  <w:pPr>
                    <w:adjustRightInd w:val="0"/>
                    <w:snapToGrid w:val="0"/>
                    <w:jc w:val="center"/>
                    <w:rPr>
                      <w:bCs/>
                      <w:color w:val="auto"/>
                      <w:szCs w:val="21"/>
                      <w:highlight w:val="none"/>
                    </w:rPr>
                  </w:pPr>
                  <w:r>
                    <w:rPr>
                      <w:bCs/>
                      <w:color w:val="auto"/>
                      <w:spacing w:val="-10"/>
                      <w:szCs w:val="21"/>
                      <w:highlight w:val="none"/>
                    </w:rPr>
                    <w:t>＜20</w:t>
                  </w:r>
                </w:p>
              </w:tc>
            </w:tr>
            <w:tr w14:paraId="46EC6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2" w:type="pct"/>
                  <w:vMerge w:val="continue"/>
                  <w:tcBorders>
                    <w:tl2br w:val="nil"/>
                    <w:tr2bl w:val="nil"/>
                  </w:tcBorders>
                  <w:vAlign w:val="center"/>
                </w:tcPr>
                <w:p w14:paraId="4D5C67B2">
                  <w:pPr>
                    <w:spacing w:line="0" w:lineRule="atLeast"/>
                    <w:jc w:val="center"/>
                    <w:rPr>
                      <w:bCs/>
                      <w:color w:val="auto"/>
                      <w:szCs w:val="21"/>
                      <w:highlight w:val="none"/>
                    </w:rPr>
                  </w:pPr>
                </w:p>
              </w:tc>
              <w:tc>
                <w:tcPr>
                  <w:tcW w:w="556" w:type="pct"/>
                  <w:tcBorders>
                    <w:tl2br w:val="nil"/>
                    <w:tr2bl w:val="nil"/>
                  </w:tcBorders>
                  <w:shd w:val="clear" w:color="auto" w:fill="auto"/>
                  <w:vAlign w:val="center"/>
                </w:tcPr>
                <w:p w14:paraId="0770D7ED">
                  <w:pPr>
                    <w:adjustRightInd w:val="0"/>
                    <w:snapToGrid w:val="0"/>
                    <w:jc w:val="center"/>
                    <w:rPr>
                      <w:bCs/>
                      <w:color w:val="auto"/>
                      <w:szCs w:val="21"/>
                      <w:highlight w:val="none"/>
                    </w:rPr>
                  </w:pPr>
                  <w:r>
                    <w:rPr>
                      <w:bCs/>
                      <w:color w:val="auto"/>
                      <w:spacing w:val="-10"/>
                      <w:szCs w:val="21"/>
                      <w:highlight w:val="none"/>
                    </w:rPr>
                    <w:t>二氧化硫</w:t>
                  </w:r>
                </w:p>
              </w:tc>
              <w:tc>
                <w:tcPr>
                  <w:tcW w:w="298" w:type="pct"/>
                  <w:vMerge w:val="continue"/>
                  <w:tcBorders>
                    <w:tl2br w:val="nil"/>
                    <w:tr2bl w:val="nil"/>
                  </w:tcBorders>
                  <w:vAlign w:val="center"/>
                </w:tcPr>
                <w:p w14:paraId="01460D12">
                  <w:pPr>
                    <w:adjustRightInd w:val="0"/>
                    <w:snapToGrid w:val="0"/>
                    <w:jc w:val="center"/>
                    <w:rPr>
                      <w:bCs/>
                      <w:color w:val="auto"/>
                      <w:spacing w:val="-10"/>
                      <w:szCs w:val="21"/>
                      <w:highlight w:val="none"/>
                    </w:rPr>
                  </w:pPr>
                </w:p>
              </w:tc>
              <w:tc>
                <w:tcPr>
                  <w:tcW w:w="535" w:type="pct"/>
                  <w:tcBorders>
                    <w:tl2br w:val="nil"/>
                    <w:tr2bl w:val="nil"/>
                  </w:tcBorders>
                  <w:vAlign w:val="center"/>
                </w:tcPr>
                <w:p w14:paraId="0AEB65EE">
                  <w:pPr>
                    <w:pStyle w:val="27"/>
                    <w:rPr>
                      <w:color w:val="auto"/>
                      <w:highlight w:val="none"/>
                    </w:rPr>
                  </w:pPr>
                  <w:r>
                    <w:rPr>
                      <w:rFonts w:hint="eastAsia"/>
                      <w:color w:val="auto"/>
                      <w:highlight w:val="none"/>
                    </w:rPr>
                    <w:t>110</w:t>
                  </w:r>
                </w:p>
              </w:tc>
              <w:tc>
                <w:tcPr>
                  <w:tcW w:w="444" w:type="pct"/>
                  <w:tcBorders>
                    <w:tl2br w:val="nil"/>
                    <w:tr2bl w:val="nil"/>
                  </w:tcBorders>
                  <w:vAlign w:val="center"/>
                </w:tcPr>
                <w:p w14:paraId="4285D7E4">
                  <w:pPr>
                    <w:pStyle w:val="27"/>
                    <w:rPr>
                      <w:color w:val="auto"/>
                      <w:highlight w:val="none"/>
                    </w:rPr>
                  </w:pPr>
                  <w:r>
                    <w:rPr>
                      <w:rFonts w:hint="eastAsia"/>
                      <w:color w:val="auto"/>
                      <w:highlight w:val="none"/>
                    </w:rPr>
                    <w:t>0.41</w:t>
                  </w:r>
                </w:p>
              </w:tc>
              <w:tc>
                <w:tcPr>
                  <w:tcW w:w="453" w:type="pct"/>
                  <w:tcBorders>
                    <w:tl2br w:val="nil"/>
                    <w:tr2bl w:val="nil"/>
                  </w:tcBorders>
                  <w:vAlign w:val="center"/>
                </w:tcPr>
                <w:p w14:paraId="7AA44A83">
                  <w:pPr>
                    <w:pStyle w:val="27"/>
                    <w:rPr>
                      <w:color w:val="auto"/>
                      <w:highlight w:val="none"/>
                    </w:rPr>
                  </w:pPr>
                  <w:r>
                    <w:rPr>
                      <w:rFonts w:hint="eastAsia"/>
                      <w:color w:val="auto"/>
                      <w:highlight w:val="none"/>
                    </w:rPr>
                    <w:t>0.05</w:t>
                  </w:r>
                </w:p>
              </w:tc>
              <w:tc>
                <w:tcPr>
                  <w:tcW w:w="543" w:type="pct"/>
                  <w:vMerge w:val="continue"/>
                  <w:tcBorders>
                    <w:tl2br w:val="nil"/>
                    <w:tr2bl w:val="nil"/>
                  </w:tcBorders>
                  <w:vAlign w:val="center"/>
                </w:tcPr>
                <w:p w14:paraId="12051C67">
                  <w:pPr>
                    <w:spacing w:line="0" w:lineRule="atLeast"/>
                    <w:jc w:val="center"/>
                    <w:rPr>
                      <w:bCs/>
                      <w:color w:val="auto"/>
                      <w:szCs w:val="21"/>
                      <w:highlight w:val="none"/>
                    </w:rPr>
                  </w:pPr>
                </w:p>
              </w:tc>
              <w:tc>
                <w:tcPr>
                  <w:tcW w:w="380" w:type="pct"/>
                  <w:tcBorders>
                    <w:tl2br w:val="nil"/>
                    <w:tr2bl w:val="nil"/>
                  </w:tcBorders>
                  <w:vAlign w:val="center"/>
                </w:tcPr>
                <w:p w14:paraId="25B7B64D">
                  <w:pPr>
                    <w:pStyle w:val="27"/>
                    <w:rPr>
                      <w:color w:val="auto"/>
                      <w:highlight w:val="none"/>
                    </w:rPr>
                  </w:pPr>
                  <w:r>
                    <w:rPr>
                      <w:rFonts w:hint="eastAsia"/>
                      <w:color w:val="auto"/>
                      <w:highlight w:val="none"/>
                    </w:rPr>
                    <w:t>80</w:t>
                  </w:r>
                </w:p>
              </w:tc>
              <w:tc>
                <w:tcPr>
                  <w:tcW w:w="447" w:type="pct"/>
                  <w:tcBorders>
                    <w:tl2br w:val="nil"/>
                    <w:tr2bl w:val="nil"/>
                  </w:tcBorders>
                  <w:vAlign w:val="center"/>
                </w:tcPr>
                <w:p w14:paraId="766E0C1A">
                  <w:pPr>
                    <w:widowControl/>
                    <w:jc w:val="center"/>
                    <w:textAlignment w:val="center"/>
                    <w:rPr>
                      <w:bCs/>
                      <w:color w:val="auto"/>
                      <w:szCs w:val="21"/>
                      <w:highlight w:val="none"/>
                    </w:rPr>
                  </w:pPr>
                  <w:r>
                    <w:rPr>
                      <w:color w:val="auto"/>
                      <w:kern w:val="0"/>
                      <w:szCs w:val="21"/>
                      <w:highlight w:val="none"/>
                    </w:rPr>
                    <w:t>0.011</w:t>
                  </w:r>
                </w:p>
              </w:tc>
              <w:tc>
                <w:tcPr>
                  <w:tcW w:w="494" w:type="pct"/>
                  <w:tcBorders>
                    <w:tl2br w:val="nil"/>
                    <w:tr2bl w:val="nil"/>
                  </w:tcBorders>
                  <w:vAlign w:val="center"/>
                </w:tcPr>
                <w:p w14:paraId="3B379225">
                  <w:pPr>
                    <w:adjustRightInd w:val="0"/>
                    <w:snapToGrid w:val="0"/>
                    <w:jc w:val="center"/>
                    <w:rPr>
                      <w:bCs/>
                      <w:color w:val="auto"/>
                      <w:szCs w:val="21"/>
                      <w:highlight w:val="none"/>
                    </w:rPr>
                  </w:pPr>
                  <w:r>
                    <w:rPr>
                      <w:bCs/>
                      <w:color w:val="auto"/>
                      <w:spacing w:val="-10"/>
                      <w:szCs w:val="21"/>
                      <w:highlight w:val="none"/>
                    </w:rPr>
                    <w:t>0.081</w:t>
                  </w:r>
                </w:p>
              </w:tc>
              <w:tc>
                <w:tcPr>
                  <w:tcW w:w="572" w:type="pct"/>
                  <w:tcBorders>
                    <w:tl2br w:val="nil"/>
                    <w:tr2bl w:val="nil"/>
                  </w:tcBorders>
                  <w:vAlign w:val="center"/>
                </w:tcPr>
                <w:p w14:paraId="3614EFB6">
                  <w:pPr>
                    <w:adjustRightInd w:val="0"/>
                    <w:snapToGrid w:val="0"/>
                    <w:jc w:val="center"/>
                    <w:rPr>
                      <w:bCs/>
                      <w:color w:val="auto"/>
                      <w:szCs w:val="21"/>
                      <w:highlight w:val="none"/>
                    </w:rPr>
                  </w:pPr>
                  <w:r>
                    <w:rPr>
                      <w:bCs/>
                      <w:color w:val="auto"/>
                      <w:spacing w:val="-10"/>
                      <w:szCs w:val="21"/>
                      <w:highlight w:val="none"/>
                    </w:rPr>
                    <w:t>22</w:t>
                  </w:r>
                </w:p>
              </w:tc>
            </w:tr>
            <w:tr w14:paraId="6745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2" w:type="pct"/>
                  <w:vMerge w:val="continue"/>
                  <w:tcBorders>
                    <w:tl2br w:val="nil"/>
                    <w:tr2bl w:val="nil"/>
                  </w:tcBorders>
                  <w:vAlign w:val="center"/>
                </w:tcPr>
                <w:p w14:paraId="7789E870">
                  <w:pPr>
                    <w:spacing w:line="0" w:lineRule="atLeast"/>
                    <w:jc w:val="center"/>
                    <w:rPr>
                      <w:bCs/>
                      <w:color w:val="auto"/>
                      <w:szCs w:val="21"/>
                      <w:highlight w:val="none"/>
                    </w:rPr>
                  </w:pPr>
                </w:p>
              </w:tc>
              <w:tc>
                <w:tcPr>
                  <w:tcW w:w="556" w:type="pct"/>
                  <w:tcBorders>
                    <w:tl2br w:val="nil"/>
                    <w:tr2bl w:val="nil"/>
                  </w:tcBorders>
                  <w:shd w:val="clear" w:color="auto" w:fill="auto"/>
                  <w:vAlign w:val="center"/>
                </w:tcPr>
                <w:p w14:paraId="0C98761E">
                  <w:pPr>
                    <w:adjustRightInd w:val="0"/>
                    <w:snapToGrid w:val="0"/>
                    <w:jc w:val="center"/>
                    <w:rPr>
                      <w:bCs/>
                      <w:color w:val="auto"/>
                      <w:szCs w:val="21"/>
                      <w:highlight w:val="none"/>
                    </w:rPr>
                  </w:pPr>
                  <w:r>
                    <w:rPr>
                      <w:bCs/>
                      <w:color w:val="auto"/>
                      <w:spacing w:val="-10"/>
                      <w:szCs w:val="21"/>
                      <w:highlight w:val="none"/>
                    </w:rPr>
                    <w:t>氮氧化物</w:t>
                  </w:r>
                </w:p>
              </w:tc>
              <w:tc>
                <w:tcPr>
                  <w:tcW w:w="298" w:type="pct"/>
                  <w:vMerge w:val="continue"/>
                  <w:tcBorders>
                    <w:tl2br w:val="nil"/>
                    <w:tr2bl w:val="nil"/>
                  </w:tcBorders>
                  <w:vAlign w:val="center"/>
                </w:tcPr>
                <w:p w14:paraId="1C0CF636">
                  <w:pPr>
                    <w:adjustRightInd w:val="0"/>
                    <w:snapToGrid w:val="0"/>
                    <w:jc w:val="center"/>
                    <w:rPr>
                      <w:bCs/>
                      <w:color w:val="auto"/>
                      <w:spacing w:val="-10"/>
                      <w:szCs w:val="21"/>
                      <w:highlight w:val="none"/>
                    </w:rPr>
                  </w:pPr>
                </w:p>
              </w:tc>
              <w:tc>
                <w:tcPr>
                  <w:tcW w:w="535" w:type="pct"/>
                  <w:tcBorders>
                    <w:tl2br w:val="nil"/>
                    <w:tr2bl w:val="nil"/>
                  </w:tcBorders>
                  <w:vAlign w:val="center"/>
                </w:tcPr>
                <w:p w14:paraId="14625DAE">
                  <w:pPr>
                    <w:pStyle w:val="27"/>
                    <w:bidi w:val="0"/>
                    <w:rPr>
                      <w:color w:val="auto"/>
                      <w:highlight w:val="none"/>
                    </w:rPr>
                  </w:pPr>
                  <w:r>
                    <w:rPr>
                      <w:rFonts w:hint="eastAsia"/>
                      <w:color w:val="auto"/>
                      <w:highlight w:val="none"/>
                      <w:lang w:val="en-US" w:eastAsia="zh-CN"/>
                    </w:rPr>
                    <w:t>109.00</w:t>
                  </w:r>
                </w:p>
              </w:tc>
              <w:tc>
                <w:tcPr>
                  <w:tcW w:w="444" w:type="pct"/>
                  <w:tcBorders>
                    <w:tl2br w:val="nil"/>
                    <w:tr2bl w:val="nil"/>
                  </w:tcBorders>
                  <w:vAlign w:val="center"/>
                </w:tcPr>
                <w:p w14:paraId="02D0AACE">
                  <w:pPr>
                    <w:pStyle w:val="27"/>
                    <w:bidi w:val="0"/>
                    <w:rPr>
                      <w:color w:val="auto"/>
                      <w:highlight w:val="none"/>
                    </w:rPr>
                  </w:pPr>
                  <w:r>
                    <w:rPr>
                      <w:rFonts w:hint="eastAsia"/>
                      <w:color w:val="auto"/>
                      <w:highlight w:val="none"/>
                      <w:lang w:val="en-US" w:eastAsia="zh-CN"/>
                    </w:rPr>
                    <w:t>0.40</w:t>
                  </w:r>
                </w:p>
              </w:tc>
              <w:tc>
                <w:tcPr>
                  <w:tcW w:w="453" w:type="pct"/>
                  <w:tcBorders>
                    <w:tl2br w:val="nil"/>
                    <w:tr2bl w:val="nil"/>
                  </w:tcBorders>
                  <w:vAlign w:val="center"/>
                </w:tcPr>
                <w:p w14:paraId="100E42AF">
                  <w:pPr>
                    <w:pStyle w:val="27"/>
                    <w:bidi w:val="0"/>
                    <w:rPr>
                      <w:color w:val="auto"/>
                      <w:highlight w:val="none"/>
                    </w:rPr>
                  </w:pPr>
                  <w:r>
                    <w:rPr>
                      <w:rFonts w:hint="eastAsia"/>
                      <w:color w:val="auto"/>
                      <w:highlight w:val="none"/>
                      <w:lang w:val="en-US" w:eastAsia="zh-CN"/>
                    </w:rPr>
                    <w:t>0.05</w:t>
                  </w:r>
                </w:p>
              </w:tc>
              <w:tc>
                <w:tcPr>
                  <w:tcW w:w="543" w:type="pct"/>
                  <w:vMerge w:val="continue"/>
                  <w:tcBorders>
                    <w:tl2br w:val="nil"/>
                    <w:tr2bl w:val="nil"/>
                  </w:tcBorders>
                  <w:vAlign w:val="center"/>
                </w:tcPr>
                <w:p w14:paraId="4F049276">
                  <w:pPr>
                    <w:spacing w:line="0" w:lineRule="atLeast"/>
                    <w:jc w:val="center"/>
                    <w:rPr>
                      <w:bCs/>
                      <w:color w:val="auto"/>
                      <w:szCs w:val="21"/>
                      <w:highlight w:val="none"/>
                    </w:rPr>
                  </w:pPr>
                </w:p>
              </w:tc>
              <w:tc>
                <w:tcPr>
                  <w:tcW w:w="380" w:type="pct"/>
                  <w:tcBorders>
                    <w:tl2br w:val="nil"/>
                    <w:tr2bl w:val="nil"/>
                  </w:tcBorders>
                  <w:vAlign w:val="center"/>
                </w:tcPr>
                <w:p w14:paraId="195681A7">
                  <w:pPr>
                    <w:pStyle w:val="27"/>
                    <w:bidi w:val="0"/>
                    <w:rPr>
                      <w:color w:val="auto"/>
                      <w:highlight w:val="none"/>
                    </w:rPr>
                  </w:pPr>
                  <w:r>
                    <w:rPr>
                      <w:rFonts w:hint="eastAsia"/>
                      <w:color w:val="auto"/>
                      <w:highlight w:val="none"/>
                      <w:lang w:val="en-US" w:eastAsia="zh-CN"/>
                    </w:rPr>
                    <w:t>0</w:t>
                  </w:r>
                </w:p>
              </w:tc>
              <w:tc>
                <w:tcPr>
                  <w:tcW w:w="447" w:type="pct"/>
                  <w:tcBorders>
                    <w:tl2br w:val="nil"/>
                    <w:tr2bl w:val="nil"/>
                  </w:tcBorders>
                  <w:vAlign w:val="center"/>
                </w:tcPr>
                <w:p w14:paraId="767D4438">
                  <w:pPr>
                    <w:pStyle w:val="27"/>
                    <w:bidi w:val="0"/>
                    <w:rPr>
                      <w:color w:val="auto"/>
                      <w:highlight w:val="none"/>
                    </w:rPr>
                  </w:pPr>
                  <w:r>
                    <w:rPr>
                      <w:rFonts w:hint="default"/>
                      <w:color w:val="auto"/>
                      <w:highlight w:val="none"/>
                      <w:lang w:val="en-US" w:eastAsia="zh-CN"/>
                    </w:rPr>
                    <w:t>0.052</w:t>
                  </w:r>
                </w:p>
              </w:tc>
              <w:tc>
                <w:tcPr>
                  <w:tcW w:w="494" w:type="pct"/>
                  <w:tcBorders>
                    <w:tl2br w:val="nil"/>
                    <w:tr2bl w:val="nil"/>
                  </w:tcBorders>
                  <w:vAlign w:val="center"/>
                </w:tcPr>
                <w:p w14:paraId="792AA821">
                  <w:pPr>
                    <w:pStyle w:val="27"/>
                    <w:bidi w:val="0"/>
                    <w:rPr>
                      <w:color w:val="auto"/>
                      <w:highlight w:val="none"/>
                    </w:rPr>
                  </w:pPr>
                  <w:r>
                    <w:rPr>
                      <w:rFonts w:hint="default"/>
                      <w:color w:val="auto"/>
                      <w:highlight w:val="none"/>
                      <w:lang w:val="en-US" w:eastAsia="zh-CN"/>
                    </w:rPr>
                    <w:t>109</w:t>
                  </w:r>
                </w:p>
              </w:tc>
              <w:tc>
                <w:tcPr>
                  <w:tcW w:w="572" w:type="pct"/>
                  <w:tcBorders>
                    <w:tl2br w:val="nil"/>
                    <w:tr2bl w:val="nil"/>
                  </w:tcBorders>
                  <w:vAlign w:val="center"/>
                </w:tcPr>
                <w:p w14:paraId="09451C99">
                  <w:pPr>
                    <w:pStyle w:val="27"/>
                    <w:bidi w:val="0"/>
                    <w:rPr>
                      <w:color w:val="auto"/>
                      <w:highlight w:val="none"/>
                    </w:rPr>
                  </w:pPr>
                  <w:r>
                    <w:rPr>
                      <w:rFonts w:hint="default"/>
                      <w:color w:val="auto"/>
                      <w:highlight w:val="none"/>
                      <w:lang w:val="en-US" w:eastAsia="zh-CN"/>
                    </w:rPr>
                    <w:t>0.4</w:t>
                  </w:r>
                </w:p>
              </w:tc>
            </w:tr>
            <w:tr w14:paraId="5580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2" w:type="pct"/>
                  <w:vMerge w:val="continue"/>
                  <w:tcBorders>
                    <w:tl2br w:val="nil"/>
                    <w:tr2bl w:val="nil"/>
                  </w:tcBorders>
                  <w:vAlign w:val="center"/>
                </w:tcPr>
                <w:p w14:paraId="26A9732A">
                  <w:pPr>
                    <w:spacing w:line="0" w:lineRule="atLeast"/>
                    <w:jc w:val="center"/>
                    <w:rPr>
                      <w:color w:val="auto"/>
                      <w:szCs w:val="21"/>
                      <w:highlight w:val="none"/>
                    </w:rPr>
                  </w:pPr>
                </w:p>
              </w:tc>
              <w:tc>
                <w:tcPr>
                  <w:tcW w:w="556" w:type="pct"/>
                  <w:tcBorders>
                    <w:tl2br w:val="nil"/>
                    <w:tr2bl w:val="nil"/>
                  </w:tcBorders>
                  <w:shd w:val="clear" w:color="auto" w:fill="auto"/>
                  <w:vAlign w:val="center"/>
                </w:tcPr>
                <w:p w14:paraId="0360FBE8">
                  <w:pPr>
                    <w:adjustRightInd w:val="0"/>
                    <w:snapToGrid w:val="0"/>
                    <w:jc w:val="center"/>
                    <w:rPr>
                      <w:color w:val="auto"/>
                      <w:szCs w:val="21"/>
                      <w:highlight w:val="none"/>
                    </w:rPr>
                  </w:pPr>
                  <w:r>
                    <w:rPr>
                      <w:bCs/>
                      <w:color w:val="auto"/>
                      <w:spacing w:val="-10"/>
                      <w:szCs w:val="21"/>
                      <w:highlight w:val="none"/>
                    </w:rPr>
                    <w:t>一氧化碳</w:t>
                  </w:r>
                </w:p>
              </w:tc>
              <w:tc>
                <w:tcPr>
                  <w:tcW w:w="298" w:type="pct"/>
                  <w:vMerge w:val="continue"/>
                  <w:tcBorders>
                    <w:tl2br w:val="nil"/>
                    <w:tr2bl w:val="nil"/>
                  </w:tcBorders>
                  <w:vAlign w:val="center"/>
                </w:tcPr>
                <w:p w14:paraId="16D6A1D2">
                  <w:pPr>
                    <w:adjustRightInd w:val="0"/>
                    <w:snapToGrid w:val="0"/>
                    <w:jc w:val="center"/>
                    <w:rPr>
                      <w:bCs/>
                      <w:color w:val="auto"/>
                      <w:spacing w:val="-10"/>
                      <w:szCs w:val="21"/>
                      <w:highlight w:val="none"/>
                    </w:rPr>
                  </w:pPr>
                </w:p>
              </w:tc>
              <w:tc>
                <w:tcPr>
                  <w:tcW w:w="535" w:type="pct"/>
                  <w:tcBorders>
                    <w:tl2br w:val="nil"/>
                    <w:tr2bl w:val="nil"/>
                  </w:tcBorders>
                  <w:vAlign w:val="center"/>
                </w:tcPr>
                <w:p w14:paraId="44EA7D91">
                  <w:pPr>
                    <w:pStyle w:val="27"/>
                    <w:bidi w:val="0"/>
                    <w:rPr>
                      <w:color w:val="auto"/>
                      <w:highlight w:val="none"/>
                    </w:rPr>
                  </w:pPr>
                  <w:r>
                    <w:rPr>
                      <w:rFonts w:hint="eastAsia"/>
                      <w:color w:val="auto"/>
                      <w:highlight w:val="none"/>
                      <w:lang w:val="en-US" w:eastAsia="zh-CN"/>
                    </w:rPr>
                    <w:t>92.00</w:t>
                  </w:r>
                </w:p>
              </w:tc>
              <w:tc>
                <w:tcPr>
                  <w:tcW w:w="444" w:type="pct"/>
                  <w:tcBorders>
                    <w:tl2br w:val="nil"/>
                    <w:tr2bl w:val="nil"/>
                  </w:tcBorders>
                  <w:vAlign w:val="center"/>
                </w:tcPr>
                <w:p w14:paraId="3032BBB1">
                  <w:pPr>
                    <w:pStyle w:val="27"/>
                    <w:bidi w:val="0"/>
                    <w:rPr>
                      <w:color w:val="auto"/>
                      <w:highlight w:val="none"/>
                    </w:rPr>
                  </w:pPr>
                  <w:r>
                    <w:rPr>
                      <w:rFonts w:hint="eastAsia"/>
                      <w:color w:val="auto"/>
                      <w:highlight w:val="none"/>
                      <w:lang w:val="en-US" w:eastAsia="zh-CN"/>
                    </w:rPr>
                    <w:t>0.34</w:t>
                  </w:r>
                </w:p>
              </w:tc>
              <w:tc>
                <w:tcPr>
                  <w:tcW w:w="453" w:type="pct"/>
                  <w:tcBorders>
                    <w:tl2br w:val="nil"/>
                    <w:tr2bl w:val="nil"/>
                  </w:tcBorders>
                  <w:vAlign w:val="center"/>
                </w:tcPr>
                <w:p w14:paraId="2492827E">
                  <w:pPr>
                    <w:pStyle w:val="27"/>
                    <w:bidi w:val="0"/>
                    <w:rPr>
                      <w:color w:val="auto"/>
                      <w:highlight w:val="none"/>
                    </w:rPr>
                  </w:pPr>
                  <w:r>
                    <w:rPr>
                      <w:rFonts w:hint="eastAsia"/>
                      <w:color w:val="auto"/>
                      <w:highlight w:val="none"/>
                      <w:lang w:val="en-US" w:eastAsia="zh-CN"/>
                    </w:rPr>
                    <w:t>0.04</w:t>
                  </w:r>
                </w:p>
              </w:tc>
              <w:tc>
                <w:tcPr>
                  <w:tcW w:w="543" w:type="pct"/>
                  <w:vMerge w:val="continue"/>
                  <w:tcBorders>
                    <w:tl2br w:val="nil"/>
                    <w:tr2bl w:val="nil"/>
                  </w:tcBorders>
                  <w:vAlign w:val="center"/>
                </w:tcPr>
                <w:p w14:paraId="5471D94E">
                  <w:pPr>
                    <w:spacing w:line="0" w:lineRule="atLeast"/>
                    <w:jc w:val="center"/>
                    <w:rPr>
                      <w:bCs/>
                      <w:color w:val="auto"/>
                      <w:szCs w:val="21"/>
                      <w:highlight w:val="none"/>
                    </w:rPr>
                  </w:pPr>
                </w:p>
              </w:tc>
              <w:tc>
                <w:tcPr>
                  <w:tcW w:w="380" w:type="pct"/>
                  <w:tcBorders>
                    <w:tl2br w:val="nil"/>
                    <w:tr2bl w:val="nil"/>
                  </w:tcBorders>
                  <w:vAlign w:val="center"/>
                </w:tcPr>
                <w:p w14:paraId="0733069D">
                  <w:pPr>
                    <w:pStyle w:val="27"/>
                    <w:bidi w:val="0"/>
                    <w:rPr>
                      <w:color w:val="auto"/>
                      <w:highlight w:val="none"/>
                    </w:rPr>
                  </w:pPr>
                  <w:r>
                    <w:rPr>
                      <w:rFonts w:hint="eastAsia"/>
                      <w:color w:val="auto"/>
                      <w:highlight w:val="none"/>
                      <w:lang w:val="en-US" w:eastAsia="zh-CN"/>
                    </w:rPr>
                    <w:t>0</w:t>
                  </w:r>
                </w:p>
              </w:tc>
              <w:tc>
                <w:tcPr>
                  <w:tcW w:w="447" w:type="pct"/>
                  <w:tcBorders>
                    <w:tl2br w:val="nil"/>
                    <w:tr2bl w:val="nil"/>
                  </w:tcBorders>
                  <w:vAlign w:val="center"/>
                </w:tcPr>
                <w:p w14:paraId="4AA91668">
                  <w:pPr>
                    <w:pStyle w:val="27"/>
                    <w:bidi w:val="0"/>
                    <w:rPr>
                      <w:color w:val="auto"/>
                      <w:highlight w:val="none"/>
                    </w:rPr>
                  </w:pPr>
                  <w:r>
                    <w:rPr>
                      <w:rFonts w:hint="default"/>
                      <w:color w:val="auto"/>
                      <w:highlight w:val="none"/>
                      <w:lang w:val="en-US" w:eastAsia="zh-CN"/>
                    </w:rPr>
                    <w:t>0.044</w:t>
                  </w:r>
                </w:p>
              </w:tc>
              <w:tc>
                <w:tcPr>
                  <w:tcW w:w="494" w:type="pct"/>
                  <w:tcBorders>
                    <w:tl2br w:val="nil"/>
                    <w:tr2bl w:val="nil"/>
                  </w:tcBorders>
                  <w:vAlign w:val="center"/>
                </w:tcPr>
                <w:p w14:paraId="625510EA">
                  <w:pPr>
                    <w:pStyle w:val="27"/>
                    <w:bidi w:val="0"/>
                    <w:rPr>
                      <w:color w:val="auto"/>
                      <w:highlight w:val="none"/>
                    </w:rPr>
                  </w:pPr>
                  <w:r>
                    <w:rPr>
                      <w:rFonts w:hint="default"/>
                      <w:color w:val="auto"/>
                      <w:highlight w:val="none"/>
                      <w:lang w:val="en-US" w:eastAsia="zh-CN"/>
                    </w:rPr>
                    <w:t>92</w:t>
                  </w:r>
                </w:p>
              </w:tc>
              <w:tc>
                <w:tcPr>
                  <w:tcW w:w="572" w:type="pct"/>
                  <w:tcBorders>
                    <w:tl2br w:val="nil"/>
                    <w:tr2bl w:val="nil"/>
                  </w:tcBorders>
                  <w:vAlign w:val="center"/>
                </w:tcPr>
                <w:p w14:paraId="5CC6861D">
                  <w:pPr>
                    <w:pStyle w:val="27"/>
                    <w:bidi w:val="0"/>
                    <w:rPr>
                      <w:color w:val="auto"/>
                      <w:highlight w:val="none"/>
                    </w:rPr>
                  </w:pPr>
                  <w:r>
                    <w:rPr>
                      <w:rFonts w:hint="default"/>
                      <w:color w:val="auto"/>
                      <w:highlight w:val="none"/>
                      <w:lang w:val="en-US" w:eastAsia="zh-CN"/>
                    </w:rPr>
                    <w:t>0.34</w:t>
                  </w:r>
                </w:p>
              </w:tc>
            </w:tr>
            <w:tr w14:paraId="27592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2" w:type="pct"/>
                  <w:vMerge w:val="continue"/>
                  <w:tcBorders>
                    <w:tl2br w:val="nil"/>
                    <w:tr2bl w:val="nil"/>
                  </w:tcBorders>
                  <w:vAlign w:val="center"/>
                </w:tcPr>
                <w:p w14:paraId="31E484E5">
                  <w:pPr>
                    <w:spacing w:line="0" w:lineRule="atLeast"/>
                    <w:jc w:val="center"/>
                    <w:rPr>
                      <w:color w:val="auto"/>
                      <w:szCs w:val="21"/>
                      <w:highlight w:val="none"/>
                    </w:rPr>
                  </w:pPr>
                </w:p>
              </w:tc>
              <w:tc>
                <w:tcPr>
                  <w:tcW w:w="556" w:type="pct"/>
                  <w:tcBorders>
                    <w:tl2br w:val="nil"/>
                    <w:tr2bl w:val="nil"/>
                  </w:tcBorders>
                  <w:shd w:val="clear" w:color="auto" w:fill="auto"/>
                  <w:vAlign w:val="center"/>
                </w:tcPr>
                <w:p w14:paraId="6B3CCC77">
                  <w:pPr>
                    <w:adjustRightInd w:val="0"/>
                    <w:snapToGrid w:val="0"/>
                    <w:jc w:val="center"/>
                    <w:rPr>
                      <w:color w:val="auto"/>
                      <w:szCs w:val="21"/>
                      <w:highlight w:val="none"/>
                    </w:rPr>
                  </w:pPr>
                  <w:r>
                    <w:rPr>
                      <w:bCs/>
                      <w:color w:val="auto"/>
                      <w:spacing w:val="-10"/>
                      <w:szCs w:val="21"/>
                      <w:highlight w:val="none"/>
                    </w:rPr>
                    <w:t>氯化氢</w:t>
                  </w:r>
                </w:p>
              </w:tc>
              <w:tc>
                <w:tcPr>
                  <w:tcW w:w="298" w:type="pct"/>
                  <w:vMerge w:val="continue"/>
                  <w:tcBorders>
                    <w:tl2br w:val="nil"/>
                    <w:tr2bl w:val="nil"/>
                  </w:tcBorders>
                  <w:vAlign w:val="center"/>
                </w:tcPr>
                <w:p w14:paraId="201D2E8E">
                  <w:pPr>
                    <w:adjustRightInd w:val="0"/>
                    <w:snapToGrid w:val="0"/>
                    <w:jc w:val="center"/>
                    <w:rPr>
                      <w:bCs/>
                      <w:color w:val="auto"/>
                      <w:spacing w:val="-10"/>
                      <w:szCs w:val="21"/>
                      <w:highlight w:val="none"/>
                    </w:rPr>
                  </w:pPr>
                </w:p>
              </w:tc>
              <w:tc>
                <w:tcPr>
                  <w:tcW w:w="535" w:type="pct"/>
                  <w:tcBorders>
                    <w:tl2br w:val="nil"/>
                    <w:tr2bl w:val="nil"/>
                  </w:tcBorders>
                  <w:vAlign w:val="center"/>
                </w:tcPr>
                <w:p w14:paraId="0B4823A7">
                  <w:pPr>
                    <w:pStyle w:val="27"/>
                    <w:rPr>
                      <w:color w:val="auto"/>
                      <w:highlight w:val="none"/>
                    </w:rPr>
                  </w:pPr>
                  <w:r>
                    <w:rPr>
                      <w:rFonts w:hint="eastAsia"/>
                      <w:color w:val="auto"/>
                      <w:highlight w:val="none"/>
                    </w:rPr>
                    <w:t>2.25</w:t>
                  </w:r>
                </w:p>
              </w:tc>
              <w:tc>
                <w:tcPr>
                  <w:tcW w:w="444" w:type="pct"/>
                  <w:tcBorders>
                    <w:tl2br w:val="nil"/>
                    <w:tr2bl w:val="nil"/>
                  </w:tcBorders>
                  <w:vAlign w:val="center"/>
                </w:tcPr>
                <w:p w14:paraId="16D1C96E">
                  <w:pPr>
                    <w:pStyle w:val="27"/>
                    <w:rPr>
                      <w:color w:val="auto"/>
                      <w:highlight w:val="none"/>
                    </w:rPr>
                  </w:pPr>
                  <w:r>
                    <w:rPr>
                      <w:rFonts w:hint="eastAsia"/>
                      <w:color w:val="auto"/>
                      <w:highlight w:val="none"/>
                    </w:rPr>
                    <w:t>0.01</w:t>
                  </w:r>
                </w:p>
              </w:tc>
              <w:tc>
                <w:tcPr>
                  <w:tcW w:w="453" w:type="pct"/>
                  <w:tcBorders>
                    <w:tl2br w:val="nil"/>
                    <w:tr2bl w:val="nil"/>
                  </w:tcBorders>
                  <w:vAlign w:val="center"/>
                </w:tcPr>
                <w:p w14:paraId="25F5AA5E">
                  <w:pPr>
                    <w:pStyle w:val="27"/>
                    <w:rPr>
                      <w:color w:val="auto"/>
                      <w:highlight w:val="none"/>
                    </w:rPr>
                  </w:pPr>
                  <w:r>
                    <w:rPr>
                      <w:rFonts w:hint="eastAsia"/>
                      <w:color w:val="auto"/>
                      <w:highlight w:val="none"/>
                    </w:rPr>
                    <w:t>0.00</w:t>
                  </w:r>
                </w:p>
              </w:tc>
              <w:tc>
                <w:tcPr>
                  <w:tcW w:w="543" w:type="pct"/>
                  <w:vMerge w:val="continue"/>
                  <w:tcBorders>
                    <w:tl2br w:val="nil"/>
                    <w:tr2bl w:val="nil"/>
                  </w:tcBorders>
                  <w:vAlign w:val="center"/>
                </w:tcPr>
                <w:p w14:paraId="1B53FDB9">
                  <w:pPr>
                    <w:spacing w:line="0" w:lineRule="atLeast"/>
                    <w:jc w:val="center"/>
                    <w:rPr>
                      <w:bCs/>
                      <w:color w:val="auto"/>
                      <w:szCs w:val="21"/>
                      <w:highlight w:val="none"/>
                    </w:rPr>
                  </w:pPr>
                </w:p>
              </w:tc>
              <w:tc>
                <w:tcPr>
                  <w:tcW w:w="380" w:type="pct"/>
                  <w:tcBorders>
                    <w:tl2br w:val="nil"/>
                    <w:tr2bl w:val="nil"/>
                  </w:tcBorders>
                  <w:vAlign w:val="center"/>
                </w:tcPr>
                <w:p w14:paraId="6F1E140B">
                  <w:pPr>
                    <w:pStyle w:val="27"/>
                    <w:rPr>
                      <w:color w:val="auto"/>
                      <w:highlight w:val="none"/>
                    </w:rPr>
                  </w:pPr>
                  <w:r>
                    <w:rPr>
                      <w:rFonts w:hint="eastAsia"/>
                      <w:color w:val="auto"/>
                      <w:highlight w:val="none"/>
                    </w:rPr>
                    <w:t>60</w:t>
                  </w:r>
                </w:p>
              </w:tc>
              <w:tc>
                <w:tcPr>
                  <w:tcW w:w="447" w:type="pct"/>
                  <w:tcBorders>
                    <w:tl2br w:val="nil"/>
                    <w:tr2bl w:val="nil"/>
                  </w:tcBorders>
                  <w:vAlign w:val="center"/>
                </w:tcPr>
                <w:p w14:paraId="367B48EA">
                  <w:pPr>
                    <w:widowControl/>
                    <w:jc w:val="center"/>
                    <w:textAlignment w:val="center"/>
                    <w:rPr>
                      <w:color w:val="auto"/>
                      <w:kern w:val="0"/>
                      <w:szCs w:val="21"/>
                      <w:highlight w:val="none"/>
                    </w:rPr>
                  </w:pPr>
                  <w:r>
                    <w:rPr>
                      <w:color w:val="auto"/>
                      <w:kern w:val="0"/>
                      <w:szCs w:val="21"/>
                      <w:highlight w:val="none"/>
                    </w:rPr>
                    <w:t>0.001</w:t>
                  </w:r>
                </w:p>
              </w:tc>
              <w:tc>
                <w:tcPr>
                  <w:tcW w:w="494" w:type="pct"/>
                  <w:tcBorders>
                    <w:tl2br w:val="nil"/>
                    <w:tr2bl w:val="nil"/>
                  </w:tcBorders>
                  <w:vAlign w:val="center"/>
                </w:tcPr>
                <w:p w14:paraId="3A03DF6F">
                  <w:pPr>
                    <w:adjustRightInd w:val="0"/>
                    <w:snapToGrid w:val="0"/>
                    <w:jc w:val="center"/>
                    <w:rPr>
                      <w:bCs/>
                      <w:color w:val="auto"/>
                      <w:szCs w:val="21"/>
                      <w:highlight w:val="none"/>
                    </w:rPr>
                  </w:pPr>
                  <w:r>
                    <w:rPr>
                      <w:bCs/>
                      <w:color w:val="auto"/>
                      <w:spacing w:val="-10"/>
                      <w:szCs w:val="21"/>
                      <w:highlight w:val="none"/>
                    </w:rPr>
                    <w:t>0.0058</w:t>
                  </w:r>
                </w:p>
              </w:tc>
              <w:tc>
                <w:tcPr>
                  <w:tcW w:w="572" w:type="pct"/>
                  <w:tcBorders>
                    <w:tl2br w:val="nil"/>
                    <w:tr2bl w:val="nil"/>
                  </w:tcBorders>
                  <w:vAlign w:val="center"/>
                </w:tcPr>
                <w:p w14:paraId="7674F8BF">
                  <w:pPr>
                    <w:adjustRightInd w:val="0"/>
                    <w:snapToGrid w:val="0"/>
                    <w:jc w:val="center"/>
                    <w:rPr>
                      <w:color w:val="auto"/>
                      <w:kern w:val="0"/>
                      <w:szCs w:val="21"/>
                      <w:highlight w:val="none"/>
                    </w:rPr>
                  </w:pPr>
                  <w:r>
                    <w:rPr>
                      <w:bCs/>
                      <w:color w:val="auto"/>
                      <w:spacing w:val="-10"/>
                      <w:szCs w:val="21"/>
                      <w:highlight w:val="none"/>
                    </w:rPr>
                    <w:t>0.9L</w:t>
                  </w:r>
                </w:p>
              </w:tc>
            </w:tr>
            <w:tr w14:paraId="3DC7B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2" w:type="pct"/>
                  <w:vMerge w:val="continue"/>
                  <w:tcBorders>
                    <w:tl2br w:val="nil"/>
                    <w:tr2bl w:val="nil"/>
                  </w:tcBorders>
                  <w:vAlign w:val="center"/>
                </w:tcPr>
                <w:p w14:paraId="461AED75">
                  <w:pPr>
                    <w:spacing w:line="0" w:lineRule="atLeast"/>
                    <w:jc w:val="center"/>
                    <w:rPr>
                      <w:color w:val="auto"/>
                      <w:szCs w:val="21"/>
                      <w:highlight w:val="none"/>
                    </w:rPr>
                  </w:pPr>
                </w:p>
              </w:tc>
              <w:tc>
                <w:tcPr>
                  <w:tcW w:w="556" w:type="pct"/>
                  <w:tcBorders>
                    <w:tl2br w:val="nil"/>
                    <w:tr2bl w:val="nil"/>
                  </w:tcBorders>
                  <w:shd w:val="clear" w:color="auto" w:fill="auto"/>
                  <w:vAlign w:val="center"/>
                </w:tcPr>
                <w:p w14:paraId="1E2DCF5E">
                  <w:pPr>
                    <w:adjustRightInd w:val="0"/>
                    <w:snapToGrid w:val="0"/>
                    <w:jc w:val="center"/>
                    <w:rPr>
                      <w:color w:val="auto"/>
                      <w:szCs w:val="21"/>
                      <w:highlight w:val="none"/>
                    </w:rPr>
                  </w:pPr>
                  <w:r>
                    <w:rPr>
                      <w:bCs/>
                      <w:color w:val="auto"/>
                      <w:spacing w:val="-10"/>
                      <w:szCs w:val="21"/>
                      <w:highlight w:val="none"/>
                    </w:rPr>
                    <w:t>二噁英</w:t>
                  </w:r>
                </w:p>
              </w:tc>
              <w:tc>
                <w:tcPr>
                  <w:tcW w:w="298" w:type="pct"/>
                  <w:vMerge w:val="continue"/>
                  <w:tcBorders>
                    <w:tl2br w:val="nil"/>
                    <w:tr2bl w:val="nil"/>
                  </w:tcBorders>
                  <w:vAlign w:val="center"/>
                </w:tcPr>
                <w:p w14:paraId="0CB4C968">
                  <w:pPr>
                    <w:adjustRightInd w:val="0"/>
                    <w:snapToGrid w:val="0"/>
                    <w:jc w:val="center"/>
                    <w:rPr>
                      <w:bCs/>
                      <w:color w:val="auto"/>
                      <w:spacing w:val="-10"/>
                      <w:szCs w:val="21"/>
                      <w:highlight w:val="none"/>
                    </w:rPr>
                  </w:pPr>
                </w:p>
              </w:tc>
              <w:tc>
                <w:tcPr>
                  <w:tcW w:w="535" w:type="pct"/>
                  <w:tcBorders>
                    <w:tl2br w:val="nil"/>
                    <w:tr2bl w:val="nil"/>
                  </w:tcBorders>
                  <w:vAlign w:val="center"/>
                </w:tcPr>
                <w:p w14:paraId="7FD40CE1">
                  <w:pPr>
                    <w:pStyle w:val="27"/>
                    <w:rPr>
                      <w:color w:val="auto"/>
                      <w:highlight w:val="none"/>
                    </w:rPr>
                  </w:pPr>
                  <w:r>
                    <w:rPr>
                      <w:color w:val="auto"/>
                      <w:highlight w:val="none"/>
                    </w:rPr>
                    <w:t>0.</w:t>
                  </w:r>
                  <w:r>
                    <w:rPr>
                      <w:rFonts w:hint="eastAsia"/>
                      <w:color w:val="auto"/>
                      <w:highlight w:val="none"/>
                    </w:rPr>
                    <w:t>49</w:t>
                  </w:r>
                  <w:r>
                    <w:rPr>
                      <w:rFonts w:hint="eastAsia"/>
                      <w:color w:val="auto"/>
                      <w:highlight w:val="none"/>
                      <w:lang w:eastAsia="zh-CN"/>
                    </w:rPr>
                    <w:t>m</w:t>
                  </w:r>
                  <w:r>
                    <w:rPr>
                      <w:color w:val="auto"/>
                      <w:highlight w:val="none"/>
                    </w:rPr>
                    <w:t>g/a</w:t>
                  </w:r>
                </w:p>
              </w:tc>
              <w:tc>
                <w:tcPr>
                  <w:tcW w:w="444" w:type="pct"/>
                  <w:tcBorders>
                    <w:tl2br w:val="nil"/>
                    <w:tr2bl w:val="nil"/>
                  </w:tcBorders>
                  <w:vAlign w:val="center"/>
                </w:tcPr>
                <w:p w14:paraId="35DF9DC8">
                  <w:pPr>
                    <w:adjustRightInd w:val="0"/>
                    <w:snapToGrid w:val="0"/>
                    <w:jc w:val="center"/>
                    <w:rPr>
                      <w:color w:val="auto"/>
                      <w:szCs w:val="21"/>
                      <w:highlight w:val="none"/>
                    </w:rPr>
                  </w:pPr>
                  <w:r>
                    <w:rPr>
                      <w:rFonts w:hint="eastAsia"/>
                      <w:bCs/>
                      <w:color w:val="auto"/>
                      <w:spacing w:val="-10"/>
                      <w:szCs w:val="21"/>
                      <w:highlight w:val="none"/>
                    </w:rPr>
                    <w:t>1.08</w:t>
                  </w:r>
                  <w:r>
                    <w:rPr>
                      <w:bCs/>
                      <w:color w:val="auto"/>
                      <w:spacing w:val="-10"/>
                      <w:szCs w:val="21"/>
                      <w:highlight w:val="none"/>
                    </w:rPr>
                    <w:t>ug/h</w:t>
                  </w:r>
                </w:p>
              </w:tc>
              <w:tc>
                <w:tcPr>
                  <w:tcW w:w="453" w:type="pct"/>
                  <w:tcBorders>
                    <w:tl2br w:val="nil"/>
                    <w:tr2bl w:val="nil"/>
                  </w:tcBorders>
                  <w:vAlign w:val="center"/>
                </w:tcPr>
                <w:p w14:paraId="59B5551A">
                  <w:pPr>
                    <w:adjustRightInd w:val="0"/>
                    <w:snapToGrid w:val="0"/>
                    <w:jc w:val="center"/>
                    <w:rPr>
                      <w:rFonts w:hint="eastAsia" w:eastAsia="宋体"/>
                      <w:bCs/>
                      <w:color w:val="auto"/>
                      <w:szCs w:val="21"/>
                      <w:highlight w:val="none"/>
                      <w:lang w:eastAsia="zh-CN"/>
                    </w:rPr>
                  </w:pPr>
                  <w:r>
                    <w:rPr>
                      <w:rFonts w:hint="eastAsia"/>
                      <w:bCs/>
                      <w:color w:val="auto"/>
                      <w:szCs w:val="21"/>
                      <w:highlight w:val="none"/>
                    </w:rPr>
                    <w:t>0.14</w:t>
                  </w:r>
                  <w:r>
                    <w:rPr>
                      <w:bCs/>
                      <w:color w:val="auto"/>
                      <w:spacing w:val="-10"/>
                      <w:szCs w:val="21"/>
                      <w:highlight w:val="none"/>
                    </w:rPr>
                    <w:t>ng-TEQ/</w:t>
                  </w:r>
                  <w:r>
                    <w:rPr>
                      <w:rFonts w:hint="eastAsia"/>
                      <w:bCs/>
                      <w:color w:val="auto"/>
                      <w:spacing w:val="-10"/>
                      <w:szCs w:val="21"/>
                      <w:highlight w:val="none"/>
                      <w:vertAlign w:val="baseline"/>
                      <w:lang w:eastAsia="zh-CN"/>
                    </w:rPr>
                    <w:t>m</w:t>
                  </w:r>
                  <w:r>
                    <w:rPr>
                      <w:rFonts w:hint="eastAsia"/>
                      <w:bCs/>
                      <w:color w:val="auto"/>
                      <w:spacing w:val="-10"/>
                      <w:szCs w:val="21"/>
                      <w:highlight w:val="none"/>
                      <w:vertAlign w:val="superscript"/>
                      <w:lang w:eastAsia="zh-CN"/>
                    </w:rPr>
                    <w:t>3</w:t>
                  </w:r>
                </w:p>
              </w:tc>
              <w:tc>
                <w:tcPr>
                  <w:tcW w:w="543" w:type="pct"/>
                  <w:vMerge w:val="continue"/>
                  <w:tcBorders>
                    <w:tl2br w:val="nil"/>
                    <w:tr2bl w:val="nil"/>
                  </w:tcBorders>
                  <w:vAlign w:val="center"/>
                </w:tcPr>
                <w:p w14:paraId="554ABDAC">
                  <w:pPr>
                    <w:spacing w:line="0" w:lineRule="atLeast"/>
                    <w:jc w:val="center"/>
                    <w:rPr>
                      <w:bCs/>
                      <w:color w:val="auto"/>
                      <w:szCs w:val="21"/>
                      <w:highlight w:val="none"/>
                    </w:rPr>
                  </w:pPr>
                </w:p>
              </w:tc>
              <w:tc>
                <w:tcPr>
                  <w:tcW w:w="380" w:type="pct"/>
                  <w:tcBorders>
                    <w:tl2br w:val="nil"/>
                    <w:tr2bl w:val="nil"/>
                  </w:tcBorders>
                  <w:vAlign w:val="center"/>
                </w:tcPr>
                <w:p w14:paraId="33E7F818">
                  <w:pPr>
                    <w:pStyle w:val="27"/>
                    <w:rPr>
                      <w:color w:val="auto"/>
                      <w:highlight w:val="none"/>
                    </w:rPr>
                  </w:pPr>
                  <w:r>
                    <w:rPr>
                      <w:rFonts w:hint="eastAsia"/>
                      <w:color w:val="auto"/>
                      <w:highlight w:val="none"/>
                    </w:rPr>
                    <w:t>89.2</w:t>
                  </w:r>
                </w:p>
              </w:tc>
              <w:tc>
                <w:tcPr>
                  <w:tcW w:w="447" w:type="pct"/>
                  <w:tcBorders>
                    <w:tl2br w:val="nil"/>
                    <w:tr2bl w:val="nil"/>
                  </w:tcBorders>
                  <w:vAlign w:val="center"/>
                </w:tcPr>
                <w:p w14:paraId="53419ACB">
                  <w:pPr>
                    <w:widowControl/>
                    <w:jc w:val="center"/>
                    <w:textAlignment w:val="center"/>
                    <w:rPr>
                      <w:color w:val="auto"/>
                      <w:kern w:val="0"/>
                      <w:szCs w:val="21"/>
                      <w:highlight w:val="none"/>
                    </w:rPr>
                  </w:pPr>
                  <w:r>
                    <w:rPr>
                      <w:color w:val="auto"/>
                      <w:kern w:val="0"/>
                      <w:szCs w:val="21"/>
                      <w:highlight w:val="none"/>
                    </w:rPr>
                    <w:t>0.015</w:t>
                  </w:r>
                  <w:r>
                    <w:rPr>
                      <w:rFonts w:hint="eastAsia"/>
                      <w:color w:val="auto"/>
                      <w:kern w:val="0"/>
                      <w:szCs w:val="21"/>
                      <w:highlight w:val="none"/>
                      <w:lang w:eastAsia="zh-CN"/>
                    </w:rPr>
                    <w:t>m</w:t>
                  </w:r>
                  <w:r>
                    <w:rPr>
                      <w:color w:val="auto"/>
                      <w:kern w:val="0"/>
                      <w:szCs w:val="21"/>
                      <w:highlight w:val="none"/>
                    </w:rPr>
                    <w:t>g/a</w:t>
                  </w:r>
                </w:p>
              </w:tc>
              <w:tc>
                <w:tcPr>
                  <w:tcW w:w="494" w:type="pct"/>
                  <w:tcBorders>
                    <w:tl2br w:val="nil"/>
                    <w:tr2bl w:val="nil"/>
                  </w:tcBorders>
                  <w:vAlign w:val="center"/>
                </w:tcPr>
                <w:p w14:paraId="3BE2A728">
                  <w:pPr>
                    <w:adjustRightInd w:val="0"/>
                    <w:snapToGrid w:val="0"/>
                    <w:jc w:val="center"/>
                    <w:rPr>
                      <w:bCs/>
                      <w:color w:val="auto"/>
                      <w:szCs w:val="21"/>
                      <w:highlight w:val="none"/>
                    </w:rPr>
                  </w:pPr>
                  <w:r>
                    <w:rPr>
                      <w:bCs/>
                      <w:color w:val="auto"/>
                      <w:spacing w:val="-10"/>
                      <w:szCs w:val="21"/>
                      <w:highlight w:val="none"/>
                    </w:rPr>
                    <w:t>0.117ug/h</w:t>
                  </w:r>
                </w:p>
              </w:tc>
              <w:tc>
                <w:tcPr>
                  <w:tcW w:w="572" w:type="pct"/>
                  <w:tcBorders>
                    <w:tl2br w:val="nil"/>
                    <w:tr2bl w:val="nil"/>
                  </w:tcBorders>
                  <w:vAlign w:val="center"/>
                </w:tcPr>
                <w:p w14:paraId="1A9A68BB">
                  <w:pPr>
                    <w:adjustRightInd w:val="0"/>
                    <w:snapToGrid w:val="0"/>
                    <w:jc w:val="center"/>
                    <w:rPr>
                      <w:rFonts w:hint="eastAsia" w:eastAsia="宋体"/>
                      <w:color w:val="auto"/>
                      <w:kern w:val="0"/>
                      <w:szCs w:val="21"/>
                      <w:highlight w:val="none"/>
                      <w:lang w:eastAsia="zh-CN"/>
                    </w:rPr>
                  </w:pPr>
                  <w:r>
                    <w:rPr>
                      <w:bCs/>
                      <w:color w:val="auto"/>
                      <w:spacing w:val="-10"/>
                      <w:szCs w:val="21"/>
                      <w:highlight w:val="none"/>
                    </w:rPr>
                    <w:t>0.053ng-TEQ/</w:t>
                  </w:r>
                  <w:r>
                    <w:rPr>
                      <w:rFonts w:hint="eastAsia"/>
                      <w:bCs/>
                      <w:color w:val="auto"/>
                      <w:spacing w:val="-10"/>
                      <w:szCs w:val="21"/>
                      <w:highlight w:val="none"/>
                      <w:vertAlign w:val="baseline"/>
                      <w:lang w:eastAsia="zh-CN"/>
                    </w:rPr>
                    <w:t>m</w:t>
                  </w:r>
                  <w:r>
                    <w:rPr>
                      <w:rFonts w:hint="eastAsia"/>
                      <w:bCs/>
                      <w:color w:val="auto"/>
                      <w:spacing w:val="-10"/>
                      <w:szCs w:val="21"/>
                      <w:highlight w:val="none"/>
                      <w:vertAlign w:val="superscript"/>
                      <w:lang w:eastAsia="zh-CN"/>
                    </w:rPr>
                    <w:t>3</w:t>
                  </w:r>
                </w:p>
              </w:tc>
            </w:tr>
          </w:tbl>
          <w:p w14:paraId="1538D03E">
            <w:pPr>
              <w:adjustRightInd w:val="0"/>
              <w:snapToGrid w:val="0"/>
              <w:spacing w:line="360" w:lineRule="auto"/>
              <w:ind w:firstLine="482" w:firstLineChars="200"/>
              <w:rPr>
                <w:b/>
                <w:color w:val="auto"/>
                <w:kern w:val="21"/>
                <w:sz w:val="24"/>
                <w:highlight w:val="none"/>
              </w:rPr>
            </w:pPr>
            <w:r>
              <w:rPr>
                <w:b/>
                <w:color w:val="auto"/>
                <w:kern w:val="21"/>
                <w:sz w:val="24"/>
                <w:highlight w:val="none"/>
              </w:rPr>
              <w:t>1.2废气达标排放分析</w:t>
            </w:r>
          </w:p>
          <w:p w14:paraId="78B401EB">
            <w:pPr>
              <w:pStyle w:val="16"/>
              <w:adjustRightInd w:val="0"/>
              <w:snapToGrid w:val="0"/>
              <w:spacing w:before="0" w:beforeAutospacing="0" w:after="0" w:afterAutospacing="0" w:line="360" w:lineRule="auto"/>
              <w:ind w:firstLine="480" w:firstLineChars="200"/>
              <w:jc w:val="both"/>
              <w:rPr>
                <w:rFonts w:ascii="Times New Roman" w:hAnsi="Times New Roman"/>
                <w:bCs/>
                <w:color w:val="auto"/>
                <w:kern w:val="21"/>
                <w:szCs w:val="24"/>
                <w:highlight w:val="none"/>
              </w:rPr>
            </w:pPr>
            <w:r>
              <w:rPr>
                <w:rFonts w:ascii="Times New Roman" w:hAnsi="Times New Roman"/>
                <w:bCs/>
                <w:color w:val="auto"/>
                <w:kern w:val="21"/>
                <w:szCs w:val="24"/>
                <w:highlight w:val="none"/>
              </w:rPr>
              <w:t>本项目采用</w:t>
            </w:r>
            <w:r>
              <w:rPr>
                <w:rFonts w:hint="eastAsia" w:ascii="Times New Roman" w:hAnsi="Times New Roman"/>
                <w:bCs/>
                <w:color w:val="auto"/>
                <w:kern w:val="21"/>
                <w:szCs w:val="24"/>
                <w:highlight w:val="none"/>
                <w:lang w:eastAsia="zh-CN"/>
              </w:rPr>
              <w:t>“</w:t>
            </w:r>
            <w:r>
              <w:rPr>
                <w:rFonts w:hint="eastAsia" w:ascii="Times New Roman" w:hAnsi="Times New Roman"/>
                <w:bCs/>
                <w:color w:val="auto"/>
                <w:kern w:val="21"/>
                <w:szCs w:val="24"/>
                <w:highlight w:val="none"/>
              </w:rPr>
              <w:t>烟气急冷系统+消石灰+</w:t>
            </w:r>
            <w:r>
              <w:rPr>
                <w:rFonts w:hint="eastAsia" w:ascii="Times New Roman" w:hAnsi="Times New Roman"/>
                <w:bCs/>
                <w:color w:val="auto"/>
                <w:kern w:val="21"/>
                <w:szCs w:val="24"/>
                <w:highlight w:val="none"/>
                <w:lang w:eastAsia="zh-CN"/>
              </w:rPr>
              <w:t>旋风除尘器</w:t>
            </w:r>
            <w:r>
              <w:rPr>
                <w:rFonts w:ascii="Times New Roman" w:hAnsi="Times New Roman"/>
                <w:bCs/>
                <w:color w:val="auto"/>
                <w:kern w:val="21"/>
                <w:szCs w:val="24"/>
                <w:highlight w:val="none"/>
              </w:rPr>
              <w:t>+</w:t>
            </w:r>
            <w:r>
              <w:rPr>
                <w:rFonts w:hint="eastAsia" w:ascii="Times New Roman" w:hAnsi="Times New Roman"/>
                <w:bCs/>
                <w:color w:val="auto"/>
                <w:kern w:val="21"/>
                <w:szCs w:val="24"/>
                <w:highlight w:val="none"/>
                <w:lang w:eastAsia="zh-CN"/>
              </w:rPr>
              <w:t>活性炭喷射装置+布袋除尘器</w:t>
            </w:r>
            <w:r>
              <w:rPr>
                <w:rFonts w:ascii="Times New Roman" w:hAnsi="Times New Roman"/>
                <w:bCs/>
                <w:color w:val="auto"/>
                <w:kern w:val="21"/>
                <w:szCs w:val="24"/>
                <w:highlight w:val="none"/>
              </w:rPr>
              <w:t>+1根12</w:t>
            </w:r>
            <w:r>
              <w:rPr>
                <w:rFonts w:hint="eastAsia" w:ascii="Times New Roman" w:hAnsi="Times New Roman"/>
                <w:bCs/>
                <w:color w:val="auto"/>
                <w:kern w:val="21"/>
                <w:szCs w:val="24"/>
                <w:highlight w:val="none"/>
                <w:lang w:eastAsia="zh-CN"/>
              </w:rPr>
              <w:t>m</w:t>
            </w:r>
            <w:r>
              <w:rPr>
                <w:rFonts w:ascii="Times New Roman" w:hAnsi="Times New Roman"/>
                <w:bCs/>
                <w:color w:val="auto"/>
                <w:kern w:val="21"/>
                <w:szCs w:val="24"/>
                <w:highlight w:val="none"/>
              </w:rPr>
              <w:t>高的排气筒排放</w:t>
            </w:r>
            <w:r>
              <w:rPr>
                <w:rFonts w:hint="eastAsia" w:ascii="Times New Roman" w:hAnsi="Times New Roman"/>
                <w:bCs/>
                <w:color w:val="auto"/>
                <w:kern w:val="21"/>
                <w:szCs w:val="24"/>
                <w:highlight w:val="none"/>
                <w:lang w:eastAsia="zh-CN"/>
              </w:rPr>
              <w:t>”</w:t>
            </w:r>
            <w:r>
              <w:rPr>
                <w:rFonts w:ascii="Times New Roman" w:hAnsi="Times New Roman"/>
                <w:bCs/>
                <w:color w:val="auto"/>
                <w:kern w:val="21"/>
                <w:szCs w:val="24"/>
                <w:highlight w:val="none"/>
              </w:rPr>
              <w:t>的废气处理方式对火化机废气、焚烧炉废气进行治理。项目采用风冷物理降温系统，尾气温度在2秒内降至200度以下，能够有效</w:t>
            </w:r>
            <w:r>
              <w:rPr>
                <w:rFonts w:hint="eastAsia" w:ascii="Times New Roman" w:hAnsi="Times New Roman"/>
                <w:bCs/>
                <w:color w:val="auto"/>
                <w:kern w:val="21"/>
                <w:szCs w:val="24"/>
                <w:highlight w:val="none"/>
                <w:lang w:eastAsia="zh-CN"/>
              </w:rPr>
              <w:t>地</w:t>
            </w:r>
            <w:r>
              <w:rPr>
                <w:rFonts w:ascii="Times New Roman" w:hAnsi="Times New Roman"/>
                <w:bCs/>
                <w:color w:val="auto"/>
                <w:kern w:val="21"/>
                <w:szCs w:val="24"/>
                <w:highlight w:val="none"/>
              </w:rPr>
              <w:t>抑制二噁英等有害气体的二次生成</w:t>
            </w:r>
            <w:r>
              <w:rPr>
                <w:rFonts w:hint="eastAsia" w:ascii="Times New Roman" w:hAnsi="Times New Roman"/>
                <w:bCs/>
                <w:color w:val="auto"/>
                <w:kern w:val="21"/>
                <w:szCs w:val="24"/>
                <w:highlight w:val="none"/>
                <w:lang w:eastAsia="zh-CN"/>
              </w:rPr>
              <w:t>。</w:t>
            </w:r>
            <w:r>
              <w:rPr>
                <w:rFonts w:ascii="Times New Roman" w:hAnsi="Times New Roman"/>
                <w:bCs/>
                <w:color w:val="auto"/>
                <w:kern w:val="21"/>
                <w:szCs w:val="24"/>
                <w:highlight w:val="none"/>
              </w:rPr>
              <w:t>采用多级除尘系统可以有效</w:t>
            </w:r>
            <w:r>
              <w:rPr>
                <w:rFonts w:hint="eastAsia" w:ascii="Times New Roman" w:hAnsi="Times New Roman"/>
                <w:bCs/>
                <w:color w:val="auto"/>
                <w:kern w:val="21"/>
                <w:szCs w:val="24"/>
                <w:highlight w:val="none"/>
                <w:lang w:eastAsia="zh-CN"/>
              </w:rPr>
              <w:t>地</w:t>
            </w:r>
            <w:r>
              <w:rPr>
                <w:rFonts w:ascii="Times New Roman" w:hAnsi="Times New Roman"/>
                <w:bCs/>
                <w:color w:val="auto"/>
                <w:kern w:val="21"/>
                <w:szCs w:val="24"/>
                <w:highlight w:val="none"/>
              </w:rPr>
              <w:t>处理项目烟气中的低浓度颗粒物，治理工艺满足《火葬场大气污染物排放标准》（征求意见稿）的编制说明中比较成熟的处理工艺模型，能够有效</w:t>
            </w:r>
            <w:r>
              <w:rPr>
                <w:rFonts w:hint="eastAsia" w:ascii="Times New Roman" w:hAnsi="Times New Roman"/>
                <w:bCs/>
                <w:color w:val="auto"/>
                <w:kern w:val="21"/>
                <w:szCs w:val="24"/>
                <w:highlight w:val="none"/>
                <w:lang w:eastAsia="zh-CN"/>
              </w:rPr>
              <w:t>地</w:t>
            </w:r>
            <w:r>
              <w:rPr>
                <w:rFonts w:ascii="Times New Roman" w:hAnsi="Times New Roman"/>
                <w:bCs/>
                <w:color w:val="auto"/>
                <w:kern w:val="21"/>
                <w:szCs w:val="24"/>
                <w:highlight w:val="none"/>
              </w:rPr>
              <w:t>对产生的废气进行处理。</w:t>
            </w:r>
          </w:p>
          <w:p w14:paraId="5A6B5066">
            <w:pPr>
              <w:pStyle w:val="16"/>
              <w:adjustRightInd w:val="0"/>
              <w:snapToGrid w:val="0"/>
              <w:spacing w:before="0" w:beforeAutospacing="0" w:after="0" w:afterAutospacing="0" w:line="360" w:lineRule="auto"/>
              <w:ind w:firstLine="480" w:firstLineChars="200"/>
              <w:jc w:val="both"/>
              <w:rPr>
                <w:rFonts w:ascii="Times New Roman" w:hAnsi="Times New Roman"/>
                <w:bCs/>
                <w:color w:val="auto"/>
                <w:kern w:val="21"/>
                <w:szCs w:val="24"/>
                <w:highlight w:val="none"/>
              </w:rPr>
            </w:pPr>
            <w:r>
              <w:rPr>
                <w:rFonts w:ascii="Times New Roman" w:hAnsi="Times New Roman"/>
                <w:bCs/>
                <w:color w:val="auto"/>
                <w:kern w:val="21"/>
                <w:szCs w:val="24"/>
                <w:highlight w:val="none"/>
              </w:rPr>
              <w:t>根据上述污染源分析，本项目火化机废气、焚烧炉废气分别通过1套</w:t>
            </w:r>
            <w:r>
              <w:rPr>
                <w:rFonts w:hint="eastAsia" w:ascii="Times New Roman" w:hAnsi="Times New Roman"/>
                <w:bCs/>
                <w:color w:val="auto"/>
                <w:kern w:val="21"/>
                <w:szCs w:val="24"/>
                <w:highlight w:val="none"/>
                <w:lang w:eastAsia="zh-CN"/>
              </w:rPr>
              <w:t>“</w:t>
            </w:r>
            <w:r>
              <w:rPr>
                <w:rFonts w:hint="eastAsia" w:ascii="Times New Roman" w:hAnsi="Times New Roman"/>
                <w:bCs/>
                <w:color w:val="auto"/>
                <w:kern w:val="21"/>
                <w:szCs w:val="24"/>
                <w:highlight w:val="none"/>
              </w:rPr>
              <w:t>烟气急冷系统+消石灰+</w:t>
            </w:r>
            <w:r>
              <w:rPr>
                <w:rFonts w:hint="eastAsia" w:ascii="Times New Roman" w:hAnsi="Times New Roman"/>
                <w:bCs/>
                <w:color w:val="auto"/>
                <w:kern w:val="21"/>
                <w:szCs w:val="24"/>
                <w:highlight w:val="none"/>
                <w:lang w:eastAsia="zh-CN"/>
              </w:rPr>
              <w:t>旋风除尘器</w:t>
            </w:r>
            <w:r>
              <w:rPr>
                <w:rFonts w:ascii="Times New Roman" w:hAnsi="Times New Roman"/>
                <w:bCs/>
                <w:color w:val="auto"/>
                <w:kern w:val="21"/>
                <w:szCs w:val="24"/>
                <w:highlight w:val="none"/>
              </w:rPr>
              <w:t>+</w:t>
            </w:r>
            <w:r>
              <w:rPr>
                <w:rFonts w:hint="eastAsia" w:ascii="Times New Roman" w:hAnsi="Times New Roman"/>
                <w:bCs/>
                <w:color w:val="auto"/>
                <w:kern w:val="21"/>
                <w:szCs w:val="24"/>
                <w:highlight w:val="none"/>
                <w:lang w:eastAsia="zh-CN"/>
              </w:rPr>
              <w:t>活性炭喷射装置+布袋除尘器”</w:t>
            </w:r>
            <w:r>
              <w:rPr>
                <w:rFonts w:ascii="Times New Roman" w:hAnsi="Times New Roman"/>
                <w:bCs/>
                <w:color w:val="auto"/>
                <w:kern w:val="21"/>
                <w:szCs w:val="24"/>
                <w:highlight w:val="none"/>
              </w:rPr>
              <w:t>处理后，经12</w:t>
            </w:r>
            <w:r>
              <w:rPr>
                <w:rFonts w:hint="eastAsia" w:ascii="Times New Roman" w:hAnsi="Times New Roman"/>
                <w:bCs/>
                <w:color w:val="auto"/>
                <w:kern w:val="21"/>
                <w:szCs w:val="24"/>
                <w:highlight w:val="none"/>
                <w:lang w:eastAsia="zh-CN"/>
              </w:rPr>
              <w:t>m</w:t>
            </w:r>
            <w:r>
              <w:rPr>
                <w:rFonts w:ascii="Times New Roman" w:hAnsi="Times New Roman"/>
                <w:bCs/>
                <w:color w:val="auto"/>
                <w:kern w:val="21"/>
                <w:szCs w:val="24"/>
                <w:highlight w:val="none"/>
              </w:rPr>
              <w:t>高排气筒排放。废气排放浓度满足《火葬场大气污染排放标准》（GB13801-2015）表2、表3及《恶臭污染物排放标准》（GB14554-93）表2标准排放要求</w:t>
            </w:r>
            <w:r>
              <w:rPr>
                <w:rFonts w:ascii="Times New Roman" w:hAnsi="Times New Roman"/>
                <w:color w:val="auto"/>
                <w:kern w:val="21"/>
                <w:szCs w:val="24"/>
                <w:highlight w:val="none"/>
              </w:rPr>
              <w:t>。</w:t>
            </w:r>
          </w:p>
          <w:p w14:paraId="59F29C7E">
            <w:pPr>
              <w:adjustRightInd w:val="0"/>
              <w:snapToGrid w:val="0"/>
              <w:spacing w:line="360" w:lineRule="auto"/>
              <w:ind w:firstLine="480" w:firstLineChars="200"/>
              <w:rPr>
                <w:color w:val="auto"/>
                <w:kern w:val="21"/>
                <w:sz w:val="24"/>
                <w:highlight w:val="none"/>
              </w:rPr>
            </w:pPr>
            <w:r>
              <w:rPr>
                <w:color w:val="auto"/>
                <w:kern w:val="21"/>
                <w:sz w:val="24"/>
                <w:highlight w:val="none"/>
              </w:rPr>
              <w:t>项目所在区域为环境空气质量达标区，项目产生的废气污染物经采取有效可行的污染物防治措施后可以实现达标排放，排放的废气对外环境影响较小。</w:t>
            </w:r>
          </w:p>
          <w:p w14:paraId="54D32382">
            <w:pPr>
              <w:spacing w:line="360" w:lineRule="auto"/>
              <w:ind w:firstLine="482" w:firstLineChars="200"/>
              <w:rPr>
                <w:b/>
                <w:bCs/>
                <w:color w:val="auto"/>
                <w:kern w:val="0"/>
                <w:sz w:val="24"/>
                <w:szCs w:val="20"/>
                <w:highlight w:val="none"/>
              </w:rPr>
            </w:pPr>
            <w:r>
              <w:rPr>
                <w:b/>
                <w:bCs/>
                <w:color w:val="auto"/>
                <w:kern w:val="0"/>
                <w:sz w:val="24"/>
                <w:szCs w:val="20"/>
                <w:highlight w:val="none"/>
              </w:rPr>
              <w:t>1.3监测计划</w:t>
            </w:r>
          </w:p>
          <w:p w14:paraId="40281878">
            <w:pPr>
              <w:spacing w:line="360" w:lineRule="auto"/>
              <w:ind w:firstLine="480" w:firstLineChars="200"/>
              <w:rPr>
                <w:b/>
                <w:bCs/>
                <w:color w:val="auto"/>
                <w:sz w:val="24"/>
                <w:highlight w:val="none"/>
              </w:rPr>
            </w:pPr>
            <w:r>
              <w:rPr>
                <w:color w:val="auto"/>
                <w:kern w:val="0"/>
                <w:sz w:val="24"/>
                <w:szCs w:val="20"/>
                <w:highlight w:val="none"/>
              </w:rPr>
              <w:t>根据《排污单位自行监测技术指南总则》（HJ 819-2017），本项目大气监测的监测点位、监测因子和频次见表4-</w:t>
            </w:r>
            <w:r>
              <w:rPr>
                <w:rFonts w:hint="eastAsia"/>
                <w:color w:val="auto"/>
                <w:kern w:val="0"/>
                <w:sz w:val="24"/>
                <w:szCs w:val="20"/>
                <w:highlight w:val="none"/>
                <w:lang w:val="en-US" w:eastAsia="zh-CN"/>
              </w:rPr>
              <w:t>7</w:t>
            </w:r>
            <w:r>
              <w:rPr>
                <w:color w:val="auto"/>
                <w:kern w:val="0"/>
                <w:sz w:val="24"/>
                <w:szCs w:val="20"/>
                <w:highlight w:val="none"/>
              </w:rPr>
              <w:t>。</w:t>
            </w:r>
          </w:p>
          <w:p w14:paraId="4D0C1F93">
            <w:pPr>
              <w:adjustRightInd w:val="0"/>
              <w:snapToGrid w:val="0"/>
              <w:jc w:val="center"/>
              <w:rPr>
                <w:b/>
                <w:bCs/>
                <w:color w:val="auto"/>
                <w:sz w:val="24"/>
                <w:highlight w:val="none"/>
              </w:rPr>
            </w:pPr>
            <w:r>
              <w:rPr>
                <w:b/>
                <w:bCs/>
                <w:color w:val="auto"/>
                <w:sz w:val="24"/>
                <w:highlight w:val="none"/>
              </w:rPr>
              <w:t>表4-</w:t>
            </w:r>
            <w:r>
              <w:rPr>
                <w:rFonts w:hint="eastAsia"/>
                <w:b/>
                <w:bCs/>
                <w:color w:val="auto"/>
                <w:sz w:val="24"/>
                <w:highlight w:val="none"/>
                <w:lang w:val="en-US" w:eastAsia="zh-CN"/>
              </w:rPr>
              <w:t>7</w:t>
            </w:r>
            <w:r>
              <w:rPr>
                <w:b/>
                <w:bCs/>
                <w:color w:val="auto"/>
                <w:sz w:val="24"/>
                <w:highlight w:val="none"/>
              </w:rPr>
              <w:t xml:space="preserve"> 大气环境监测内容一览表</w:t>
            </w:r>
          </w:p>
          <w:tbl>
            <w:tblPr>
              <w:tblStyle w:val="20"/>
              <w:tblW w:w="5000" w:type="pct"/>
              <w:tblInd w:w="-5" w:type="dxa"/>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Layout w:type="fixed"/>
              <w:tblCellMar>
                <w:top w:w="0" w:type="dxa"/>
                <w:left w:w="0" w:type="dxa"/>
                <w:bottom w:w="0" w:type="dxa"/>
                <w:right w:w="0" w:type="dxa"/>
              </w:tblCellMar>
            </w:tblPr>
            <w:tblGrid>
              <w:gridCol w:w="843"/>
              <w:gridCol w:w="989"/>
              <w:gridCol w:w="3271"/>
              <w:gridCol w:w="977"/>
              <w:gridCol w:w="2194"/>
            </w:tblGrid>
            <w:tr w14:paraId="335FE3BB">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513" w:hRule="atLeast"/>
              </w:trPr>
              <w:tc>
                <w:tcPr>
                  <w:tcW w:w="509" w:type="pct"/>
                  <w:vAlign w:val="center"/>
                </w:tcPr>
                <w:p w14:paraId="04D55D47">
                  <w:pPr>
                    <w:adjustRightInd w:val="0"/>
                    <w:snapToGrid w:val="0"/>
                    <w:jc w:val="center"/>
                    <w:rPr>
                      <w:b/>
                      <w:color w:val="auto"/>
                      <w:szCs w:val="21"/>
                      <w:highlight w:val="none"/>
                    </w:rPr>
                  </w:pPr>
                  <w:r>
                    <w:rPr>
                      <w:b/>
                      <w:color w:val="auto"/>
                      <w:szCs w:val="21"/>
                      <w:highlight w:val="none"/>
                    </w:rPr>
                    <w:t>类别</w:t>
                  </w:r>
                </w:p>
              </w:tc>
              <w:tc>
                <w:tcPr>
                  <w:tcW w:w="597" w:type="pct"/>
                  <w:shd w:val="clear" w:color="auto" w:fill="auto"/>
                  <w:vAlign w:val="center"/>
                </w:tcPr>
                <w:p w14:paraId="32718893">
                  <w:pPr>
                    <w:spacing w:line="0" w:lineRule="atLeast"/>
                    <w:jc w:val="center"/>
                    <w:rPr>
                      <w:b/>
                      <w:bCs/>
                      <w:color w:val="auto"/>
                      <w:szCs w:val="21"/>
                      <w:highlight w:val="none"/>
                    </w:rPr>
                  </w:pPr>
                  <w:r>
                    <w:rPr>
                      <w:b/>
                      <w:bCs/>
                      <w:color w:val="auto"/>
                      <w:szCs w:val="21"/>
                      <w:highlight w:val="none"/>
                    </w:rPr>
                    <w:t>监测点</w:t>
                  </w:r>
                </w:p>
              </w:tc>
              <w:tc>
                <w:tcPr>
                  <w:tcW w:w="1975" w:type="pct"/>
                  <w:shd w:val="clear" w:color="auto" w:fill="auto"/>
                  <w:vAlign w:val="center"/>
                </w:tcPr>
                <w:p w14:paraId="7E2E6363">
                  <w:pPr>
                    <w:spacing w:line="0" w:lineRule="atLeast"/>
                    <w:jc w:val="center"/>
                    <w:rPr>
                      <w:b/>
                      <w:bCs/>
                      <w:color w:val="auto"/>
                      <w:szCs w:val="21"/>
                      <w:highlight w:val="none"/>
                    </w:rPr>
                  </w:pPr>
                  <w:r>
                    <w:rPr>
                      <w:b/>
                      <w:bCs/>
                      <w:color w:val="auto"/>
                      <w:szCs w:val="21"/>
                      <w:highlight w:val="none"/>
                    </w:rPr>
                    <w:t>监测因子</w:t>
                  </w:r>
                </w:p>
              </w:tc>
              <w:tc>
                <w:tcPr>
                  <w:tcW w:w="590" w:type="pct"/>
                  <w:vAlign w:val="center"/>
                </w:tcPr>
                <w:p w14:paraId="6B06D133">
                  <w:pPr>
                    <w:adjustRightInd w:val="0"/>
                    <w:snapToGrid w:val="0"/>
                    <w:jc w:val="center"/>
                    <w:rPr>
                      <w:b/>
                      <w:color w:val="auto"/>
                      <w:szCs w:val="21"/>
                      <w:highlight w:val="none"/>
                    </w:rPr>
                  </w:pPr>
                  <w:r>
                    <w:rPr>
                      <w:b/>
                      <w:color w:val="auto"/>
                      <w:szCs w:val="21"/>
                      <w:highlight w:val="none"/>
                    </w:rPr>
                    <w:t>监测频次</w:t>
                  </w:r>
                </w:p>
              </w:tc>
              <w:tc>
                <w:tcPr>
                  <w:tcW w:w="1325" w:type="pct"/>
                  <w:vAlign w:val="center"/>
                </w:tcPr>
                <w:p w14:paraId="1102E226">
                  <w:pPr>
                    <w:adjustRightInd w:val="0"/>
                    <w:snapToGrid w:val="0"/>
                    <w:jc w:val="center"/>
                    <w:rPr>
                      <w:b/>
                      <w:color w:val="auto"/>
                      <w:szCs w:val="21"/>
                      <w:highlight w:val="none"/>
                    </w:rPr>
                  </w:pPr>
                  <w:r>
                    <w:rPr>
                      <w:b/>
                      <w:color w:val="auto"/>
                      <w:szCs w:val="21"/>
                      <w:highlight w:val="none"/>
                    </w:rPr>
                    <w:t>控制指标</w:t>
                  </w:r>
                </w:p>
              </w:tc>
            </w:tr>
            <w:tr w14:paraId="69EDC5CC">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513" w:hRule="atLeast"/>
              </w:trPr>
              <w:tc>
                <w:tcPr>
                  <w:tcW w:w="509" w:type="pct"/>
                  <w:vMerge w:val="restart"/>
                  <w:shd w:val="clear" w:color="auto" w:fill="auto"/>
                  <w:vAlign w:val="center"/>
                </w:tcPr>
                <w:p w14:paraId="3A88BD2B">
                  <w:pPr>
                    <w:adjustRightInd w:val="0"/>
                    <w:snapToGrid w:val="0"/>
                    <w:jc w:val="center"/>
                    <w:rPr>
                      <w:bCs/>
                      <w:color w:val="auto"/>
                      <w:szCs w:val="21"/>
                      <w:highlight w:val="none"/>
                    </w:rPr>
                  </w:pPr>
                  <w:r>
                    <w:rPr>
                      <w:bCs/>
                      <w:color w:val="auto"/>
                      <w:szCs w:val="21"/>
                      <w:highlight w:val="none"/>
                    </w:rPr>
                    <w:t>有组织废气</w:t>
                  </w:r>
                </w:p>
              </w:tc>
              <w:tc>
                <w:tcPr>
                  <w:tcW w:w="597" w:type="pct"/>
                  <w:shd w:val="clear" w:color="auto" w:fill="auto"/>
                  <w:vAlign w:val="center"/>
                </w:tcPr>
                <w:p w14:paraId="5DA92136">
                  <w:pPr>
                    <w:spacing w:line="0" w:lineRule="atLeast"/>
                    <w:jc w:val="center"/>
                    <w:rPr>
                      <w:color w:val="auto"/>
                      <w:szCs w:val="21"/>
                      <w:highlight w:val="none"/>
                    </w:rPr>
                  </w:pPr>
                  <w:r>
                    <w:rPr>
                      <w:color w:val="auto"/>
                      <w:szCs w:val="21"/>
                      <w:highlight w:val="none"/>
                    </w:rPr>
                    <w:t>火化废气排口</w:t>
                  </w:r>
                </w:p>
              </w:tc>
              <w:tc>
                <w:tcPr>
                  <w:tcW w:w="1975" w:type="pct"/>
                  <w:shd w:val="clear" w:color="auto" w:fill="auto"/>
                  <w:vAlign w:val="center"/>
                </w:tcPr>
                <w:p w14:paraId="235C4B00">
                  <w:pPr>
                    <w:adjustRightInd w:val="0"/>
                    <w:snapToGrid w:val="0"/>
                    <w:jc w:val="center"/>
                    <w:rPr>
                      <w:rFonts w:hint="eastAsia" w:eastAsia="宋体"/>
                      <w:bCs/>
                      <w:color w:val="auto"/>
                      <w:szCs w:val="21"/>
                      <w:highlight w:val="none"/>
                      <w:lang w:eastAsia="zh-CN"/>
                    </w:rPr>
                  </w:pPr>
                  <w:r>
                    <w:rPr>
                      <w:color w:val="auto"/>
                      <w:szCs w:val="21"/>
                      <w:highlight w:val="none"/>
                    </w:rPr>
                    <w:t>烟尘、二氧化硫、氮氧化物、一氧化碳、氯化氢、汞、二噁英、烟气黑度、氨、硫化氢、臭气浓度</w:t>
                  </w:r>
                  <w:r>
                    <w:rPr>
                      <w:rFonts w:hint="eastAsia"/>
                      <w:color w:val="auto"/>
                      <w:szCs w:val="21"/>
                      <w:highlight w:val="none"/>
                      <w:lang w:eastAsia="zh-CN"/>
                    </w:rPr>
                    <w:t>。</w:t>
                  </w:r>
                </w:p>
              </w:tc>
              <w:tc>
                <w:tcPr>
                  <w:tcW w:w="590" w:type="pct"/>
                  <w:vMerge w:val="restart"/>
                  <w:shd w:val="clear" w:color="auto" w:fill="auto"/>
                  <w:vAlign w:val="center"/>
                </w:tcPr>
                <w:p w14:paraId="6596A07A">
                  <w:pPr>
                    <w:adjustRightInd w:val="0"/>
                    <w:snapToGrid w:val="0"/>
                    <w:jc w:val="center"/>
                    <w:rPr>
                      <w:bCs/>
                      <w:color w:val="auto"/>
                      <w:szCs w:val="21"/>
                      <w:highlight w:val="none"/>
                    </w:rPr>
                  </w:pPr>
                  <w:r>
                    <w:rPr>
                      <w:bCs/>
                      <w:color w:val="auto"/>
                      <w:szCs w:val="21"/>
                      <w:highlight w:val="none"/>
                    </w:rPr>
                    <w:t>1次/年</w:t>
                  </w:r>
                </w:p>
              </w:tc>
              <w:tc>
                <w:tcPr>
                  <w:tcW w:w="1325" w:type="pct"/>
                  <w:vMerge w:val="restart"/>
                  <w:shd w:val="clear" w:color="auto" w:fill="auto"/>
                  <w:vAlign w:val="center"/>
                </w:tcPr>
                <w:p w14:paraId="21E190B4">
                  <w:pPr>
                    <w:adjustRightInd w:val="0"/>
                    <w:snapToGrid w:val="0"/>
                    <w:jc w:val="center"/>
                    <w:rPr>
                      <w:rFonts w:hint="eastAsia" w:eastAsia="宋体"/>
                      <w:bCs/>
                      <w:color w:val="auto"/>
                      <w:szCs w:val="21"/>
                      <w:highlight w:val="none"/>
                      <w:lang w:val="en-US" w:eastAsia="zh-CN"/>
                    </w:rPr>
                  </w:pPr>
                  <w:r>
                    <w:rPr>
                      <w:bCs/>
                      <w:color w:val="auto"/>
                      <w:szCs w:val="21"/>
                      <w:highlight w:val="none"/>
                    </w:rPr>
                    <w:t>《火葬场大气污染排放标准》（GB13801-2015）表2、表3，《恶臭污染物排放标准》（GB14554-93）表2</w:t>
                  </w:r>
                  <w:r>
                    <w:rPr>
                      <w:rFonts w:hint="eastAsia"/>
                      <w:bCs/>
                      <w:color w:val="auto"/>
                      <w:szCs w:val="21"/>
                      <w:highlight w:val="none"/>
                      <w:lang w:eastAsia="zh-CN"/>
                    </w:rPr>
                    <w:t>。</w:t>
                  </w:r>
                </w:p>
              </w:tc>
            </w:tr>
            <w:tr w14:paraId="55EBB3B4">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0" w:type="dxa"/>
                  <w:bottom w:w="0" w:type="dxa"/>
                  <w:right w:w="0" w:type="dxa"/>
                </w:tblCellMar>
              </w:tblPrEx>
              <w:trPr>
                <w:trHeight w:val="513" w:hRule="atLeast"/>
              </w:trPr>
              <w:tc>
                <w:tcPr>
                  <w:tcW w:w="509" w:type="pct"/>
                  <w:vMerge w:val="continue"/>
                </w:tcPr>
                <w:p w14:paraId="304A8521">
                  <w:pPr>
                    <w:adjustRightInd w:val="0"/>
                    <w:snapToGrid w:val="0"/>
                    <w:jc w:val="center"/>
                    <w:rPr>
                      <w:bCs/>
                      <w:color w:val="auto"/>
                      <w:szCs w:val="21"/>
                      <w:highlight w:val="none"/>
                    </w:rPr>
                  </w:pPr>
                </w:p>
              </w:tc>
              <w:tc>
                <w:tcPr>
                  <w:tcW w:w="597" w:type="pct"/>
                  <w:shd w:val="clear" w:color="auto" w:fill="auto"/>
                  <w:vAlign w:val="center"/>
                </w:tcPr>
                <w:p w14:paraId="7D965E8A">
                  <w:pPr>
                    <w:spacing w:line="0" w:lineRule="atLeast"/>
                    <w:jc w:val="center"/>
                    <w:rPr>
                      <w:color w:val="auto"/>
                      <w:szCs w:val="21"/>
                      <w:highlight w:val="none"/>
                    </w:rPr>
                  </w:pPr>
                  <w:r>
                    <w:rPr>
                      <w:color w:val="auto"/>
                      <w:szCs w:val="21"/>
                      <w:highlight w:val="none"/>
                    </w:rPr>
                    <w:t>遗物祭品焚烧废气排口</w:t>
                  </w:r>
                </w:p>
              </w:tc>
              <w:tc>
                <w:tcPr>
                  <w:tcW w:w="1975" w:type="pct"/>
                  <w:shd w:val="clear" w:color="auto" w:fill="auto"/>
                  <w:vAlign w:val="center"/>
                </w:tcPr>
                <w:p w14:paraId="353D3DBB">
                  <w:pPr>
                    <w:adjustRightInd w:val="0"/>
                    <w:snapToGrid w:val="0"/>
                    <w:jc w:val="center"/>
                    <w:rPr>
                      <w:rFonts w:hint="eastAsia" w:eastAsia="宋体"/>
                      <w:bCs/>
                      <w:color w:val="auto"/>
                      <w:szCs w:val="21"/>
                      <w:highlight w:val="none"/>
                      <w:lang w:eastAsia="zh-CN"/>
                    </w:rPr>
                  </w:pPr>
                  <w:r>
                    <w:rPr>
                      <w:color w:val="auto"/>
                      <w:szCs w:val="21"/>
                      <w:highlight w:val="none"/>
                    </w:rPr>
                    <w:t>烟尘、二氧化硫、氮氧化物、一氧化碳、氯化氢、二噁英、烟气黑度</w:t>
                  </w:r>
                  <w:r>
                    <w:rPr>
                      <w:rFonts w:hint="eastAsia"/>
                      <w:color w:val="auto"/>
                      <w:szCs w:val="21"/>
                      <w:highlight w:val="none"/>
                      <w:lang w:eastAsia="zh-CN"/>
                    </w:rPr>
                    <w:t>。</w:t>
                  </w:r>
                </w:p>
              </w:tc>
              <w:tc>
                <w:tcPr>
                  <w:tcW w:w="590" w:type="pct"/>
                  <w:vMerge w:val="continue"/>
                </w:tcPr>
                <w:p w14:paraId="0C474B7E">
                  <w:pPr>
                    <w:adjustRightInd w:val="0"/>
                    <w:snapToGrid w:val="0"/>
                    <w:jc w:val="center"/>
                    <w:rPr>
                      <w:bCs/>
                      <w:color w:val="auto"/>
                      <w:szCs w:val="21"/>
                      <w:highlight w:val="none"/>
                    </w:rPr>
                  </w:pPr>
                </w:p>
              </w:tc>
              <w:tc>
                <w:tcPr>
                  <w:tcW w:w="1325" w:type="pct"/>
                  <w:vMerge w:val="continue"/>
                </w:tcPr>
                <w:p w14:paraId="7DD8B397">
                  <w:pPr>
                    <w:adjustRightInd w:val="0"/>
                    <w:snapToGrid w:val="0"/>
                    <w:jc w:val="center"/>
                    <w:rPr>
                      <w:bCs/>
                      <w:color w:val="auto"/>
                      <w:szCs w:val="21"/>
                      <w:highlight w:val="none"/>
                    </w:rPr>
                  </w:pPr>
                </w:p>
              </w:tc>
            </w:tr>
          </w:tbl>
          <w:p w14:paraId="43DF0D17">
            <w:pPr>
              <w:adjustRightInd w:val="0"/>
              <w:snapToGrid w:val="0"/>
              <w:spacing w:line="360" w:lineRule="auto"/>
              <w:rPr>
                <w:b/>
                <w:color w:val="auto"/>
                <w:kern w:val="21"/>
                <w:sz w:val="24"/>
                <w:highlight w:val="none"/>
              </w:rPr>
            </w:pPr>
            <w:r>
              <w:rPr>
                <w:b/>
                <w:color w:val="auto"/>
                <w:kern w:val="21"/>
                <w:sz w:val="24"/>
                <w:highlight w:val="none"/>
              </w:rPr>
              <w:t>2.废水</w:t>
            </w:r>
          </w:p>
          <w:p w14:paraId="0BB25E35">
            <w:pPr>
              <w:spacing w:line="360" w:lineRule="auto"/>
              <w:ind w:firstLine="420"/>
              <w:rPr>
                <w:bCs/>
                <w:color w:val="auto"/>
                <w:sz w:val="24"/>
                <w:highlight w:val="none"/>
              </w:rPr>
            </w:pPr>
            <w:r>
              <w:rPr>
                <w:bCs/>
                <w:color w:val="auto"/>
                <w:sz w:val="24"/>
                <w:highlight w:val="none"/>
              </w:rPr>
              <w:t>本项目遗体处置废水、解剖废水以及殡仪车辆清洗废水产生量很少，以生活污水、餐饮废水为主，本项目污水量为3.22</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/d，1173.70</w:t>
            </w:r>
            <w:r>
              <w:rPr>
                <w:rFonts w:hint="eastAsia"/>
                <w:bCs/>
                <w:color w:val="auto"/>
                <w:sz w:val="24"/>
                <w:highlight w:val="none"/>
                <w:vertAlign w:val="baseline"/>
                <w:lang w:eastAsia="zh-CN"/>
              </w:rPr>
              <w:t>m</w:t>
            </w:r>
            <w:r>
              <w:rPr>
                <w:rFonts w:hint="eastAsia"/>
                <w:bCs/>
                <w:color w:val="auto"/>
                <w:sz w:val="24"/>
                <w:highlight w:val="none"/>
                <w:vertAlign w:val="superscript"/>
                <w:lang w:eastAsia="zh-CN"/>
              </w:rPr>
              <w:t>3</w:t>
            </w:r>
            <w:r>
              <w:rPr>
                <w:bCs/>
                <w:color w:val="auto"/>
                <w:sz w:val="24"/>
                <w:highlight w:val="none"/>
              </w:rPr>
              <w:t>/a，污染物产生浓度为COD350</w:t>
            </w:r>
            <w:r>
              <w:rPr>
                <w:rFonts w:hint="eastAsia"/>
                <w:bCs/>
                <w:color w:val="auto"/>
                <w:sz w:val="24"/>
                <w:highlight w:val="none"/>
                <w:lang w:eastAsia="zh-CN"/>
              </w:rPr>
              <w:t>m</w:t>
            </w:r>
            <w:r>
              <w:rPr>
                <w:bCs/>
                <w:color w:val="auto"/>
                <w:sz w:val="24"/>
                <w:highlight w:val="none"/>
              </w:rPr>
              <w:t>g/L，BOD</w:t>
            </w:r>
            <w:r>
              <w:rPr>
                <w:bCs/>
                <w:color w:val="auto"/>
                <w:sz w:val="24"/>
                <w:highlight w:val="none"/>
                <w:vertAlign w:val="subscript"/>
              </w:rPr>
              <w:t>5</w:t>
            </w:r>
            <w:r>
              <w:rPr>
                <w:bCs/>
                <w:color w:val="auto"/>
                <w:sz w:val="24"/>
                <w:highlight w:val="none"/>
              </w:rPr>
              <w:t>200</w:t>
            </w:r>
            <w:r>
              <w:rPr>
                <w:rFonts w:hint="eastAsia"/>
                <w:bCs/>
                <w:color w:val="auto"/>
                <w:sz w:val="24"/>
                <w:highlight w:val="none"/>
                <w:lang w:eastAsia="zh-CN"/>
              </w:rPr>
              <w:t>m</w:t>
            </w:r>
            <w:r>
              <w:rPr>
                <w:bCs/>
                <w:color w:val="auto"/>
                <w:sz w:val="24"/>
                <w:highlight w:val="none"/>
              </w:rPr>
              <w:t>g/L，SS300</w:t>
            </w:r>
            <w:r>
              <w:rPr>
                <w:rFonts w:hint="eastAsia"/>
                <w:bCs/>
                <w:color w:val="auto"/>
                <w:sz w:val="24"/>
                <w:highlight w:val="none"/>
                <w:lang w:eastAsia="zh-CN"/>
              </w:rPr>
              <w:t>m</w:t>
            </w:r>
            <w:r>
              <w:rPr>
                <w:bCs/>
                <w:color w:val="auto"/>
                <w:sz w:val="24"/>
                <w:highlight w:val="none"/>
              </w:rPr>
              <w:t>g/L，氨氮35</w:t>
            </w:r>
            <w:r>
              <w:rPr>
                <w:rFonts w:hint="eastAsia"/>
                <w:bCs/>
                <w:color w:val="auto"/>
                <w:sz w:val="24"/>
                <w:highlight w:val="none"/>
                <w:lang w:eastAsia="zh-CN"/>
              </w:rPr>
              <w:t>m</w:t>
            </w:r>
            <w:r>
              <w:rPr>
                <w:bCs/>
                <w:color w:val="auto"/>
                <w:sz w:val="24"/>
                <w:highlight w:val="none"/>
              </w:rPr>
              <w:t>g/L。生活污水经化粪池收集后，定期拉运至杭锦旗锡尼镇污水处理厂处理。生活污水执行《污水综合排放标准》（GB8978-1996）三级标准。</w:t>
            </w:r>
          </w:p>
          <w:p w14:paraId="5A037957">
            <w:pPr>
              <w:spacing w:line="360" w:lineRule="auto"/>
              <w:ind w:firstLine="420"/>
              <w:rPr>
                <w:b/>
                <w:color w:val="auto"/>
                <w:sz w:val="24"/>
                <w:highlight w:val="none"/>
              </w:rPr>
            </w:pPr>
            <w:r>
              <w:rPr>
                <w:bCs/>
                <w:color w:val="auto"/>
                <w:sz w:val="24"/>
                <w:highlight w:val="none"/>
              </w:rPr>
              <w:t>因此，本项目对周围水环境影响较小。</w:t>
            </w:r>
          </w:p>
          <w:p w14:paraId="4D43580C">
            <w:pPr>
              <w:adjustRightInd w:val="0"/>
              <w:snapToGrid w:val="0"/>
              <w:spacing w:line="360" w:lineRule="auto"/>
              <w:rPr>
                <w:b/>
                <w:color w:val="auto"/>
                <w:kern w:val="0"/>
                <w:sz w:val="24"/>
                <w:highlight w:val="none"/>
              </w:rPr>
            </w:pPr>
            <w:r>
              <w:rPr>
                <w:b/>
                <w:color w:val="auto"/>
                <w:kern w:val="0"/>
                <w:sz w:val="24"/>
                <w:highlight w:val="none"/>
              </w:rPr>
              <w:t>3.噪声</w:t>
            </w:r>
          </w:p>
          <w:p w14:paraId="27B4B088">
            <w:pPr>
              <w:adjustRightInd w:val="0"/>
              <w:snapToGrid w:val="0"/>
              <w:spacing w:line="360" w:lineRule="auto"/>
              <w:rPr>
                <w:b/>
                <w:bCs/>
                <w:color w:val="auto"/>
                <w:sz w:val="24"/>
                <w:highlight w:val="none"/>
              </w:rPr>
            </w:pPr>
            <w:r>
              <w:rPr>
                <w:b/>
                <w:bCs/>
                <w:color w:val="auto"/>
                <w:sz w:val="24"/>
                <w:highlight w:val="none"/>
              </w:rPr>
              <w:t>3.1噪声源强及治理措施</w:t>
            </w:r>
          </w:p>
          <w:p w14:paraId="410B4445">
            <w:pPr>
              <w:adjustRightInd w:val="0"/>
              <w:snapToGrid w:val="0"/>
              <w:spacing w:line="360" w:lineRule="auto"/>
              <w:ind w:firstLine="440" w:firstLineChars="200"/>
              <w:rPr>
                <w:b/>
                <w:bCs/>
                <w:color w:val="auto"/>
                <w:sz w:val="24"/>
                <w:highlight w:val="none"/>
              </w:rPr>
            </w:pPr>
            <w:r>
              <w:rPr>
                <w:bCs/>
                <w:color w:val="auto"/>
                <w:spacing w:val="-10"/>
                <w:sz w:val="24"/>
                <w:highlight w:val="none"/>
              </w:rPr>
              <w:t>本项目噪声源均为间歇性噪声，主要噪声源为火化机配套的引风机、鼓风机运行时产生的噪声，</w:t>
            </w:r>
            <w:r>
              <w:rPr>
                <w:color w:val="auto"/>
                <w:kern w:val="0"/>
                <w:sz w:val="24"/>
                <w:highlight w:val="none"/>
              </w:rPr>
              <w:t>声源强度约为80dB（A），此外还存在悼念活动噪声以及交通噪声。本项目主要噪声源及防治措施情况见表4-</w:t>
            </w:r>
            <w:r>
              <w:rPr>
                <w:rFonts w:hint="eastAsia"/>
                <w:color w:val="auto"/>
                <w:kern w:val="0"/>
                <w:sz w:val="24"/>
                <w:highlight w:val="none"/>
                <w:lang w:val="en-US" w:eastAsia="zh-CN"/>
              </w:rPr>
              <w:t>8</w:t>
            </w:r>
            <w:r>
              <w:rPr>
                <w:color w:val="auto"/>
                <w:sz w:val="24"/>
                <w:highlight w:val="none"/>
              </w:rPr>
              <w:t>。</w:t>
            </w:r>
          </w:p>
          <w:p w14:paraId="2EDBA44C">
            <w:pPr>
              <w:adjustRightInd w:val="0"/>
              <w:snapToGrid w:val="0"/>
              <w:ind w:firstLine="482" w:firstLineChars="200"/>
              <w:jc w:val="center"/>
              <w:rPr>
                <w:b/>
                <w:bCs/>
                <w:color w:val="auto"/>
                <w:sz w:val="24"/>
                <w:highlight w:val="none"/>
              </w:rPr>
            </w:pPr>
            <w:r>
              <w:rPr>
                <w:b/>
                <w:bCs/>
                <w:color w:val="auto"/>
                <w:sz w:val="24"/>
                <w:highlight w:val="none"/>
              </w:rPr>
              <w:t>表4-</w:t>
            </w:r>
            <w:r>
              <w:rPr>
                <w:rFonts w:hint="eastAsia"/>
                <w:b/>
                <w:bCs/>
                <w:color w:val="auto"/>
                <w:sz w:val="24"/>
                <w:highlight w:val="none"/>
                <w:lang w:val="en-US" w:eastAsia="zh-CN"/>
              </w:rPr>
              <w:t>8</w:t>
            </w:r>
            <w:r>
              <w:rPr>
                <w:b/>
                <w:bCs/>
                <w:color w:val="auto"/>
                <w:sz w:val="24"/>
                <w:highlight w:val="none"/>
              </w:rPr>
              <w:t xml:space="preserve"> 主要噪声源及其防治措施、治理效果一览表</w:t>
            </w:r>
          </w:p>
          <w:tbl>
            <w:tblPr>
              <w:tblStyle w:val="20"/>
              <w:tblW w:w="5000"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494"/>
              <w:gridCol w:w="867"/>
              <w:gridCol w:w="1570"/>
              <w:gridCol w:w="678"/>
              <w:gridCol w:w="1215"/>
              <w:gridCol w:w="1269"/>
              <w:gridCol w:w="910"/>
              <w:gridCol w:w="1270"/>
            </w:tblGrid>
            <w:tr w14:paraId="548EC48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98" w:type="pct"/>
                  <w:vMerge w:val="restart"/>
                  <w:tcBorders>
                    <w:tl2br w:val="nil"/>
                    <w:tr2bl w:val="nil"/>
                  </w:tcBorders>
                  <w:vAlign w:val="center"/>
                </w:tcPr>
                <w:p w14:paraId="1FCCC04F">
                  <w:pPr>
                    <w:pStyle w:val="27"/>
                    <w:rPr>
                      <w:b/>
                      <w:bCs/>
                      <w:color w:val="auto"/>
                      <w:highlight w:val="none"/>
                    </w:rPr>
                  </w:pPr>
                  <w:r>
                    <w:rPr>
                      <w:b/>
                      <w:bCs/>
                      <w:color w:val="auto"/>
                      <w:highlight w:val="none"/>
                    </w:rPr>
                    <w:t>序号</w:t>
                  </w:r>
                </w:p>
              </w:tc>
              <w:tc>
                <w:tcPr>
                  <w:tcW w:w="524" w:type="pct"/>
                  <w:vMerge w:val="restart"/>
                  <w:tcBorders>
                    <w:tl2br w:val="nil"/>
                    <w:tr2bl w:val="nil"/>
                  </w:tcBorders>
                  <w:vAlign w:val="center"/>
                </w:tcPr>
                <w:p w14:paraId="0D35015E">
                  <w:pPr>
                    <w:pStyle w:val="27"/>
                    <w:rPr>
                      <w:b/>
                      <w:bCs/>
                      <w:color w:val="auto"/>
                      <w:highlight w:val="none"/>
                    </w:rPr>
                  </w:pPr>
                  <w:r>
                    <w:rPr>
                      <w:b/>
                      <w:bCs/>
                      <w:color w:val="auto"/>
                      <w:highlight w:val="none"/>
                    </w:rPr>
                    <w:t>建筑物</w:t>
                  </w:r>
                </w:p>
                <w:p w14:paraId="60007438">
                  <w:pPr>
                    <w:pStyle w:val="27"/>
                    <w:rPr>
                      <w:b/>
                      <w:bCs/>
                      <w:color w:val="auto"/>
                      <w:highlight w:val="none"/>
                    </w:rPr>
                  </w:pPr>
                  <w:r>
                    <w:rPr>
                      <w:b/>
                      <w:bCs/>
                      <w:color w:val="auto"/>
                      <w:highlight w:val="none"/>
                    </w:rPr>
                    <w:t>名称</w:t>
                  </w:r>
                </w:p>
              </w:tc>
              <w:tc>
                <w:tcPr>
                  <w:tcW w:w="948" w:type="pct"/>
                  <w:vMerge w:val="restart"/>
                  <w:tcBorders>
                    <w:tl2br w:val="nil"/>
                    <w:tr2bl w:val="nil"/>
                  </w:tcBorders>
                  <w:vAlign w:val="center"/>
                </w:tcPr>
                <w:p w14:paraId="0E159773">
                  <w:pPr>
                    <w:pStyle w:val="27"/>
                    <w:rPr>
                      <w:b/>
                      <w:bCs/>
                      <w:color w:val="auto"/>
                      <w:highlight w:val="none"/>
                    </w:rPr>
                  </w:pPr>
                  <w:r>
                    <w:rPr>
                      <w:b/>
                      <w:bCs/>
                      <w:color w:val="auto"/>
                      <w:highlight w:val="none"/>
                    </w:rPr>
                    <w:t>声源名称</w:t>
                  </w:r>
                </w:p>
              </w:tc>
              <w:tc>
                <w:tcPr>
                  <w:tcW w:w="410" w:type="pct"/>
                  <w:vMerge w:val="restart"/>
                  <w:tcBorders>
                    <w:tl2br w:val="nil"/>
                    <w:tr2bl w:val="nil"/>
                  </w:tcBorders>
                  <w:vAlign w:val="center"/>
                </w:tcPr>
                <w:p w14:paraId="2CC62B21">
                  <w:pPr>
                    <w:pStyle w:val="27"/>
                    <w:rPr>
                      <w:b/>
                      <w:bCs/>
                      <w:color w:val="auto"/>
                      <w:highlight w:val="none"/>
                    </w:rPr>
                  </w:pPr>
                  <w:r>
                    <w:rPr>
                      <w:b/>
                      <w:bCs/>
                      <w:color w:val="auto"/>
                      <w:highlight w:val="none"/>
                    </w:rPr>
                    <w:t>数量</w:t>
                  </w:r>
                </w:p>
              </w:tc>
              <w:tc>
                <w:tcPr>
                  <w:tcW w:w="733" w:type="pct"/>
                  <w:tcBorders>
                    <w:tl2br w:val="nil"/>
                    <w:tr2bl w:val="nil"/>
                  </w:tcBorders>
                  <w:vAlign w:val="center"/>
                </w:tcPr>
                <w:p w14:paraId="5C410815">
                  <w:pPr>
                    <w:pStyle w:val="27"/>
                    <w:rPr>
                      <w:b/>
                      <w:bCs/>
                      <w:color w:val="auto"/>
                      <w:highlight w:val="none"/>
                    </w:rPr>
                  </w:pPr>
                  <w:r>
                    <w:rPr>
                      <w:b/>
                      <w:bCs/>
                      <w:color w:val="auto"/>
                      <w:highlight w:val="none"/>
                    </w:rPr>
                    <w:t>叠加声源源强</w:t>
                  </w:r>
                </w:p>
              </w:tc>
              <w:tc>
                <w:tcPr>
                  <w:tcW w:w="766" w:type="pct"/>
                  <w:vMerge w:val="restart"/>
                  <w:tcBorders>
                    <w:tl2br w:val="nil"/>
                    <w:tr2bl w:val="nil"/>
                  </w:tcBorders>
                  <w:vAlign w:val="center"/>
                </w:tcPr>
                <w:p w14:paraId="7546EC72">
                  <w:pPr>
                    <w:pStyle w:val="27"/>
                    <w:rPr>
                      <w:b/>
                      <w:bCs/>
                      <w:color w:val="auto"/>
                      <w:highlight w:val="none"/>
                    </w:rPr>
                  </w:pPr>
                  <w:r>
                    <w:rPr>
                      <w:b/>
                      <w:bCs/>
                      <w:color w:val="auto"/>
                      <w:highlight w:val="none"/>
                    </w:rPr>
                    <w:t>声源控制</w:t>
                  </w:r>
                </w:p>
                <w:p w14:paraId="18C36BFB">
                  <w:pPr>
                    <w:pStyle w:val="27"/>
                    <w:rPr>
                      <w:b/>
                      <w:bCs/>
                      <w:color w:val="auto"/>
                      <w:highlight w:val="none"/>
                    </w:rPr>
                  </w:pPr>
                  <w:r>
                    <w:rPr>
                      <w:b/>
                      <w:bCs/>
                      <w:color w:val="auto"/>
                      <w:highlight w:val="none"/>
                    </w:rPr>
                    <w:t>措施</w:t>
                  </w:r>
                </w:p>
              </w:tc>
              <w:tc>
                <w:tcPr>
                  <w:tcW w:w="550" w:type="pct"/>
                  <w:vMerge w:val="restart"/>
                  <w:tcBorders>
                    <w:tl2br w:val="nil"/>
                    <w:tr2bl w:val="nil"/>
                  </w:tcBorders>
                  <w:vAlign w:val="center"/>
                </w:tcPr>
                <w:p w14:paraId="7B547BBD">
                  <w:pPr>
                    <w:pStyle w:val="27"/>
                    <w:rPr>
                      <w:b/>
                      <w:bCs/>
                      <w:color w:val="auto"/>
                      <w:highlight w:val="none"/>
                    </w:rPr>
                  </w:pPr>
                  <w:r>
                    <w:rPr>
                      <w:b/>
                      <w:bCs/>
                      <w:color w:val="auto"/>
                      <w:highlight w:val="none"/>
                    </w:rPr>
                    <w:t>运行</w:t>
                  </w:r>
                </w:p>
                <w:p w14:paraId="5C077221">
                  <w:pPr>
                    <w:pStyle w:val="27"/>
                    <w:rPr>
                      <w:b/>
                      <w:bCs/>
                      <w:color w:val="auto"/>
                      <w:highlight w:val="none"/>
                    </w:rPr>
                  </w:pPr>
                  <w:r>
                    <w:rPr>
                      <w:b/>
                      <w:bCs/>
                      <w:color w:val="auto"/>
                      <w:highlight w:val="none"/>
                    </w:rPr>
                    <w:t>时段</w:t>
                  </w:r>
                </w:p>
              </w:tc>
              <w:tc>
                <w:tcPr>
                  <w:tcW w:w="767" w:type="pct"/>
                  <w:tcBorders>
                    <w:tl2br w:val="nil"/>
                    <w:tr2bl w:val="nil"/>
                  </w:tcBorders>
                  <w:vAlign w:val="center"/>
                </w:tcPr>
                <w:p w14:paraId="2B52F3A0">
                  <w:pPr>
                    <w:pStyle w:val="27"/>
                    <w:rPr>
                      <w:b/>
                      <w:bCs/>
                      <w:color w:val="auto"/>
                      <w:highlight w:val="none"/>
                    </w:rPr>
                  </w:pPr>
                  <w:r>
                    <w:rPr>
                      <w:b/>
                      <w:bCs/>
                      <w:color w:val="auto"/>
                      <w:highlight w:val="none"/>
                    </w:rPr>
                    <w:t>建筑物外</w:t>
                  </w:r>
                </w:p>
                <w:p w14:paraId="4F3F9A65">
                  <w:pPr>
                    <w:pStyle w:val="27"/>
                    <w:rPr>
                      <w:b/>
                      <w:bCs/>
                      <w:color w:val="auto"/>
                      <w:highlight w:val="none"/>
                    </w:rPr>
                  </w:pPr>
                  <w:r>
                    <w:rPr>
                      <w:b/>
                      <w:bCs/>
                      <w:color w:val="auto"/>
                      <w:highlight w:val="none"/>
                    </w:rPr>
                    <w:t>噪声</w:t>
                  </w:r>
                </w:p>
              </w:tc>
            </w:tr>
            <w:tr w14:paraId="0CCBB2F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98" w:type="pct"/>
                  <w:vMerge w:val="continue"/>
                  <w:tcBorders>
                    <w:tl2br w:val="nil"/>
                    <w:tr2bl w:val="nil"/>
                  </w:tcBorders>
                  <w:vAlign w:val="center"/>
                </w:tcPr>
                <w:p w14:paraId="1B5EC1B6">
                  <w:pPr>
                    <w:pStyle w:val="27"/>
                    <w:rPr>
                      <w:b/>
                      <w:bCs/>
                      <w:color w:val="auto"/>
                      <w:highlight w:val="none"/>
                    </w:rPr>
                  </w:pPr>
                </w:p>
              </w:tc>
              <w:tc>
                <w:tcPr>
                  <w:tcW w:w="524" w:type="pct"/>
                  <w:vMerge w:val="continue"/>
                  <w:tcBorders>
                    <w:tl2br w:val="nil"/>
                    <w:tr2bl w:val="nil"/>
                  </w:tcBorders>
                  <w:vAlign w:val="center"/>
                </w:tcPr>
                <w:p w14:paraId="23F3A980">
                  <w:pPr>
                    <w:pStyle w:val="27"/>
                    <w:rPr>
                      <w:b/>
                      <w:bCs/>
                      <w:color w:val="auto"/>
                      <w:highlight w:val="none"/>
                    </w:rPr>
                  </w:pPr>
                </w:p>
              </w:tc>
              <w:tc>
                <w:tcPr>
                  <w:tcW w:w="948" w:type="pct"/>
                  <w:vMerge w:val="continue"/>
                  <w:tcBorders>
                    <w:tl2br w:val="nil"/>
                    <w:tr2bl w:val="nil"/>
                  </w:tcBorders>
                  <w:vAlign w:val="center"/>
                </w:tcPr>
                <w:p w14:paraId="666B83AF">
                  <w:pPr>
                    <w:pStyle w:val="27"/>
                    <w:rPr>
                      <w:b/>
                      <w:bCs/>
                      <w:color w:val="auto"/>
                      <w:highlight w:val="none"/>
                    </w:rPr>
                  </w:pPr>
                </w:p>
              </w:tc>
              <w:tc>
                <w:tcPr>
                  <w:tcW w:w="410" w:type="pct"/>
                  <w:vMerge w:val="continue"/>
                  <w:tcBorders>
                    <w:tl2br w:val="nil"/>
                    <w:tr2bl w:val="nil"/>
                  </w:tcBorders>
                  <w:vAlign w:val="center"/>
                </w:tcPr>
                <w:p w14:paraId="2FCFB78D">
                  <w:pPr>
                    <w:pStyle w:val="27"/>
                    <w:rPr>
                      <w:b/>
                      <w:bCs/>
                      <w:color w:val="auto"/>
                      <w:highlight w:val="none"/>
                    </w:rPr>
                  </w:pPr>
                </w:p>
              </w:tc>
              <w:tc>
                <w:tcPr>
                  <w:tcW w:w="733" w:type="pct"/>
                  <w:tcBorders>
                    <w:tl2br w:val="nil"/>
                    <w:tr2bl w:val="nil"/>
                  </w:tcBorders>
                  <w:vAlign w:val="center"/>
                </w:tcPr>
                <w:p w14:paraId="511D923D">
                  <w:pPr>
                    <w:pStyle w:val="27"/>
                    <w:rPr>
                      <w:b/>
                      <w:bCs/>
                      <w:color w:val="auto"/>
                      <w:highlight w:val="none"/>
                    </w:rPr>
                  </w:pPr>
                  <w:r>
                    <w:rPr>
                      <w:b/>
                      <w:bCs/>
                      <w:color w:val="auto"/>
                      <w:highlight w:val="none"/>
                    </w:rPr>
                    <w:t>声功率级</w:t>
                  </w:r>
                </w:p>
                <w:p w14:paraId="182DFE89">
                  <w:pPr>
                    <w:pStyle w:val="27"/>
                    <w:rPr>
                      <w:b/>
                      <w:bCs/>
                      <w:color w:val="auto"/>
                      <w:highlight w:val="none"/>
                    </w:rPr>
                  </w:pPr>
                  <w:r>
                    <w:rPr>
                      <w:b/>
                      <w:bCs/>
                      <w:color w:val="auto"/>
                      <w:highlight w:val="none"/>
                    </w:rPr>
                    <w:t>/dB</w:t>
                  </w:r>
                  <w:r>
                    <w:rPr>
                      <w:rFonts w:hint="eastAsia"/>
                      <w:b/>
                      <w:bCs/>
                      <w:color w:val="auto"/>
                      <w:highlight w:val="none"/>
                      <w:lang w:eastAsia="zh-CN"/>
                    </w:rPr>
                    <w:t>（</w:t>
                  </w:r>
                  <w:r>
                    <w:rPr>
                      <w:b/>
                      <w:bCs/>
                      <w:color w:val="auto"/>
                      <w:highlight w:val="none"/>
                    </w:rPr>
                    <w:t>A</w:t>
                  </w:r>
                  <w:r>
                    <w:rPr>
                      <w:rFonts w:hint="eastAsia"/>
                      <w:b/>
                      <w:bCs/>
                      <w:color w:val="auto"/>
                      <w:highlight w:val="none"/>
                      <w:lang w:eastAsia="zh-CN"/>
                    </w:rPr>
                    <w:t>）</w:t>
                  </w:r>
                </w:p>
              </w:tc>
              <w:tc>
                <w:tcPr>
                  <w:tcW w:w="766" w:type="pct"/>
                  <w:vMerge w:val="continue"/>
                  <w:tcBorders>
                    <w:tl2br w:val="nil"/>
                    <w:tr2bl w:val="nil"/>
                  </w:tcBorders>
                  <w:vAlign w:val="center"/>
                </w:tcPr>
                <w:p w14:paraId="49C7851F">
                  <w:pPr>
                    <w:pStyle w:val="27"/>
                    <w:rPr>
                      <w:b/>
                      <w:bCs/>
                      <w:color w:val="auto"/>
                      <w:highlight w:val="none"/>
                    </w:rPr>
                  </w:pPr>
                </w:p>
              </w:tc>
              <w:tc>
                <w:tcPr>
                  <w:tcW w:w="550" w:type="pct"/>
                  <w:vMerge w:val="continue"/>
                  <w:tcBorders>
                    <w:tl2br w:val="nil"/>
                    <w:tr2bl w:val="nil"/>
                  </w:tcBorders>
                  <w:vAlign w:val="center"/>
                </w:tcPr>
                <w:p w14:paraId="571776A1">
                  <w:pPr>
                    <w:pStyle w:val="27"/>
                    <w:rPr>
                      <w:b/>
                      <w:bCs/>
                      <w:color w:val="auto"/>
                      <w:highlight w:val="none"/>
                    </w:rPr>
                  </w:pPr>
                </w:p>
              </w:tc>
              <w:tc>
                <w:tcPr>
                  <w:tcW w:w="767" w:type="pct"/>
                  <w:tcBorders>
                    <w:tl2br w:val="nil"/>
                    <w:tr2bl w:val="nil"/>
                  </w:tcBorders>
                  <w:vAlign w:val="center"/>
                </w:tcPr>
                <w:p w14:paraId="09CD5883">
                  <w:pPr>
                    <w:pStyle w:val="27"/>
                    <w:rPr>
                      <w:b/>
                      <w:bCs/>
                      <w:color w:val="auto"/>
                      <w:highlight w:val="none"/>
                    </w:rPr>
                  </w:pPr>
                  <w:r>
                    <w:rPr>
                      <w:b/>
                      <w:bCs/>
                      <w:color w:val="auto"/>
                      <w:highlight w:val="none"/>
                    </w:rPr>
                    <w:t>声压级</w:t>
                  </w:r>
                </w:p>
                <w:p w14:paraId="08F535BB">
                  <w:pPr>
                    <w:pStyle w:val="27"/>
                    <w:rPr>
                      <w:b/>
                      <w:bCs/>
                      <w:color w:val="auto"/>
                      <w:highlight w:val="none"/>
                    </w:rPr>
                  </w:pPr>
                  <w:r>
                    <w:rPr>
                      <w:b/>
                      <w:bCs/>
                      <w:color w:val="auto"/>
                      <w:highlight w:val="none"/>
                    </w:rPr>
                    <w:t>/dB</w:t>
                  </w:r>
                  <w:r>
                    <w:rPr>
                      <w:rFonts w:hint="eastAsia"/>
                      <w:b/>
                      <w:bCs/>
                      <w:color w:val="auto"/>
                      <w:highlight w:val="none"/>
                      <w:lang w:eastAsia="zh-CN"/>
                    </w:rPr>
                    <w:t>（</w:t>
                  </w:r>
                  <w:r>
                    <w:rPr>
                      <w:b/>
                      <w:bCs/>
                      <w:color w:val="auto"/>
                      <w:highlight w:val="none"/>
                    </w:rPr>
                    <w:t>A</w:t>
                  </w:r>
                  <w:r>
                    <w:rPr>
                      <w:rFonts w:hint="eastAsia"/>
                      <w:b/>
                      <w:bCs/>
                      <w:color w:val="auto"/>
                      <w:highlight w:val="none"/>
                      <w:lang w:eastAsia="zh-CN"/>
                    </w:rPr>
                    <w:t>）</w:t>
                  </w:r>
                </w:p>
              </w:tc>
            </w:tr>
            <w:tr w14:paraId="6B98FB3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98" w:type="pct"/>
                  <w:tcBorders>
                    <w:tl2br w:val="nil"/>
                    <w:tr2bl w:val="nil"/>
                  </w:tcBorders>
                  <w:vAlign w:val="center"/>
                </w:tcPr>
                <w:p w14:paraId="64D51804">
                  <w:pPr>
                    <w:pStyle w:val="27"/>
                    <w:rPr>
                      <w:color w:val="auto"/>
                      <w:highlight w:val="none"/>
                    </w:rPr>
                  </w:pPr>
                  <w:r>
                    <w:rPr>
                      <w:color w:val="auto"/>
                      <w:highlight w:val="none"/>
                    </w:rPr>
                    <w:t>1</w:t>
                  </w:r>
                </w:p>
              </w:tc>
              <w:tc>
                <w:tcPr>
                  <w:tcW w:w="524" w:type="pct"/>
                  <w:tcBorders>
                    <w:tl2br w:val="nil"/>
                    <w:tr2bl w:val="nil"/>
                  </w:tcBorders>
                  <w:vAlign w:val="center"/>
                </w:tcPr>
                <w:p w14:paraId="280E25B0">
                  <w:pPr>
                    <w:pStyle w:val="27"/>
                    <w:rPr>
                      <w:color w:val="auto"/>
                      <w:highlight w:val="none"/>
                    </w:rPr>
                  </w:pPr>
                  <w:r>
                    <w:rPr>
                      <w:color w:val="auto"/>
                      <w:highlight w:val="none"/>
                    </w:rPr>
                    <w:t>殡仪馆</w:t>
                  </w:r>
                </w:p>
              </w:tc>
              <w:tc>
                <w:tcPr>
                  <w:tcW w:w="948" w:type="pct"/>
                  <w:tcBorders>
                    <w:tl2br w:val="nil"/>
                    <w:tr2bl w:val="nil"/>
                  </w:tcBorders>
                  <w:vAlign w:val="center"/>
                </w:tcPr>
                <w:p w14:paraId="5AE156C2">
                  <w:pPr>
                    <w:pStyle w:val="27"/>
                    <w:rPr>
                      <w:color w:val="auto"/>
                      <w:highlight w:val="none"/>
                    </w:rPr>
                  </w:pPr>
                  <w:r>
                    <w:rPr>
                      <w:color w:val="auto"/>
                      <w:highlight w:val="none"/>
                    </w:rPr>
                    <w:t>火化机配套的引风机、鼓风机</w:t>
                  </w:r>
                </w:p>
              </w:tc>
              <w:tc>
                <w:tcPr>
                  <w:tcW w:w="410" w:type="pct"/>
                  <w:tcBorders>
                    <w:tl2br w:val="nil"/>
                    <w:tr2bl w:val="nil"/>
                  </w:tcBorders>
                  <w:vAlign w:val="center"/>
                </w:tcPr>
                <w:p w14:paraId="6D1878AB">
                  <w:pPr>
                    <w:pStyle w:val="27"/>
                    <w:rPr>
                      <w:color w:val="auto"/>
                      <w:highlight w:val="none"/>
                    </w:rPr>
                  </w:pPr>
                  <w:r>
                    <w:rPr>
                      <w:color w:val="auto"/>
                      <w:highlight w:val="none"/>
                    </w:rPr>
                    <w:t>42</w:t>
                  </w:r>
                </w:p>
              </w:tc>
              <w:tc>
                <w:tcPr>
                  <w:tcW w:w="733" w:type="pct"/>
                  <w:tcBorders>
                    <w:tl2br w:val="nil"/>
                    <w:tr2bl w:val="nil"/>
                  </w:tcBorders>
                  <w:vAlign w:val="center"/>
                </w:tcPr>
                <w:p w14:paraId="0D04877C">
                  <w:pPr>
                    <w:pStyle w:val="27"/>
                    <w:rPr>
                      <w:color w:val="auto"/>
                      <w:highlight w:val="none"/>
                    </w:rPr>
                  </w:pPr>
                  <w:r>
                    <w:rPr>
                      <w:rFonts w:hint="eastAsia"/>
                      <w:color w:val="auto"/>
                      <w:highlight w:val="none"/>
                    </w:rPr>
                    <w:t>85</w:t>
                  </w:r>
                </w:p>
              </w:tc>
              <w:tc>
                <w:tcPr>
                  <w:tcW w:w="766" w:type="pct"/>
                  <w:vMerge w:val="restart"/>
                  <w:tcBorders>
                    <w:tl2br w:val="nil"/>
                    <w:tr2bl w:val="nil"/>
                  </w:tcBorders>
                  <w:vAlign w:val="center"/>
                </w:tcPr>
                <w:p w14:paraId="24DA556C">
                  <w:pPr>
                    <w:pStyle w:val="27"/>
                    <w:rPr>
                      <w:color w:val="auto"/>
                      <w:highlight w:val="none"/>
                    </w:rPr>
                  </w:pPr>
                  <w:r>
                    <w:rPr>
                      <w:color w:val="auto"/>
                      <w:highlight w:val="none"/>
                    </w:rPr>
                    <w:t>基础减振、墙体隔声</w:t>
                  </w:r>
                </w:p>
              </w:tc>
              <w:tc>
                <w:tcPr>
                  <w:tcW w:w="550" w:type="pct"/>
                  <w:vMerge w:val="restart"/>
                  <w:tcBorders>
                    <w:tl2br w:val="nil"/>
                    <w:tr2bl w:val="nil"/>
                  </w:tcBorders>
                  <w:vAlign w:val="center"/>
                </w:tcPr>
                <w:p w14:paraId="7C9FFC98">
                  <w:pPr>
                    <w:pStyle w:val="27"/>
                    <w:rPr>
                      <w:color w:val="auto"/>
                      <w:highlight w:val="none"/>
                    </w:rPr>
                  </w:pPr>
                  <w:r>
                    <w:rPr>
                      <w:color w:val="auto"/>
                      <w:highlight w:val="none"/>
                    </w:rPr>
                    <w:t>间歇性</w:t>
                  </w:r>
                </w:p>
              </w:tc>
              <w:tc>
                <w:tcPr>
                  <w:tcW w:w="767" w:type="pct"/>
                  <w:tcBorders>
                    <w:tl2br w:val="nil"/>
                    <w:tr2bl w:val="nil"/>
                  </w:tcBorders>
                  <w:vAlign w:val="center"/>
                </w:tcPr>
                <w:p w14:paraId="2F22F0FE">
                  <w:pPr>
                    <w:pStyle w:val="27"/>
                    <w:rPr>
                      <w:color w:val="auto"/>
                      <w:highlight w:val="none"/>
                    </w:rPr>
                  </w:pPr>
                  <w:r>
                    <w:rPr>
                      <w:rFonts w:hint="eastAsia"/>
                      <w:color w:val="auto"/>
                      <w:highlight w:val="none"/>
                    </w:rPr>
                    <w:t>60</w:t>
                  </w:r>
                </w:p>
              </w:tc>
            </w:tr>
            <w:tr w14:paraId="10EAEED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98" w:type="pct"/>
                  <w:tcBorders>
                    <w:tl2br w:val="nil"/>
                    <w:tr2bl w:val="nil"/>
                  </w:tcBorders>
                  <w:vAlign w:val="center"/>
                </w:tcPr>
                <w:p w14:paraId="213BB4F4">
                  <w:pPr>
                    <w:pStyle w:val="27"/>
                    <w:rPr>
                      <w:color w:val="auto"/>
                      <w:highlight w:val="none"/>
                    </w:rPr>
                  </w:pPr>
                  <w:r>
                    <w:rPr>
                      <w:color w:val="auto"/>
                      <w:highlight w:val="none"/>
                    </w:rPr>
                    <w:t>2</w:t>
                  </w:r>
                </w:p>
              </w:tc>
              <w:tc>
                <w:tcPr>
                  <w:tcW w:w="524" w:type="pct"/>
                  <w:tcBorders>
                    <w:tl2br w:val="nil"/>
                    <w:tr2bl w:val="nil"/>
                  </w:tcBorders>
                  <w:vAlign w:val="center"/>
                </w:tcPr>
                <w:p w14:paraId="4F98124D">
                  <w:pPr>
                    <w:pStyle w:val="27"/>
                    <w:rPr>
                      <w:color w:val="auto"/>
                      <w:highlight w:val="none"/>
                    </w:rPr>
                  </w:pPr>
                  <w:r>
                    <w:rPr>
                      <w:color w:val="auto"/>
                      <w:highlight w:val="none"/>
                    </w:rPr>
                    <w:t>焚烧间</w:t>
                  </w:r>
                </w:p>
              </w:tc>
              <w:tc>
                <w:tcPr>
                  <w:tcW w:w="948" w:type="pct"/>
                  <w:tcBorders>
                    <w:tl2br w:val="nil"/>
                    <w:tr2bl w:val="nil"/>
                  </w:tcBorders>
                  <w:vAlign w:val="center"/>
                </w:tcPr>
                <w:p w14:paraId="407342F3">
                  <w:pPr>
                    <w:pStyle w:val="27"/>
                    <w:rPr>
                      <w:color w:val="auto"/>
                      <w:highlight w:val="none"/>
                    </w:rPr>
                  </w:pPr>
                  <w:r>
                    <w:rPr>
                      <w:color w:val="auto"/>
                      <w:highlight w:val="none"/>
                    </w:rPr>
                    <w:t>焚烧炉配套的引风机、鼓风机</w:t>
                  </w:r>
                </w:p>
              </w:tc>
              <w:tc>
                <w:tcPr>
                  <w:tcW w:w="410" w:type="pct"/>
                  <w:tcBorders>
                    <w:tl2br w:val="nil"/>
                    <w:tr2bl w:val="nil"/>
                  </w:tcBorders>
                  <w:vAlign w:val="center"/>
                </w:tcPr>
                <w:p w14:paraId="766E7641">
                  <w:pPr>
                    <w:pStyle w:val="27"/>
                    <w:rPr>
                      <w:color w:val="auto"/>
                      <w:highlight w:val="none"/>
                    </w:rPr>
                  </w:pPr>
                  <w:r>
                    <w:rPr>
                      <w:color w:val="auto"/>
                      <w:highlight w:val="none"/>
                    </w:rPr>
                    <w:t>1</w:t>
                  </w:r>
                </w:p>
              </w:tc>
              <w:tc>
                <w:tcPr>
                  <w:tcW w:w="733" w:type="pct"/>
                  <w:tcBorders>
                    <w:tl2br w:val="nil"/>
                    <w:tr2bl w:val="nil"/>
                  </w:tcBorders>
                  <w:vAlign w:val="center"/>
                </w:tcPr>
                <w:p w14:paraId="0D1D877A">
                  <w:pPr>
                    <w:pStyle w:val="27"/>
                    <w:rPr>
                      <w:color w:val="auto"/>
                      <w:highlight w:val="none"/>
                    </w:rPr>
                  </w:pPr>
                  <w:r>
                    <w:rPr>
                      <w:color w:val="auto"/>
                      <w:highlight w:val="none"/>
                    </w:rPr>
                    <w:t>8</w:t>
                  </w:r>
                  <w:r>
                    <w:rPr>
                      <w:rFonts w:hint="eastAsia"/>
                      <w:color w:val="auto"/>
                      <w:highlight w:val="none"/>
                    </w:rPr>
                    <w:t>5</w:t>
                  </w:r>
                </w:p>
              </w:tc>
              <w:tc>
                <w:tcPr>
                  <w:tcW w:w="766" w:type="pct"/>
                  <w:vMerge w:val="continue"/>
                  <w:tcBorders>
                    <w:tl2br w:val="nil"/>
                    <w:tr2bl w:val="nil"/>
                  </w:tcBorders>
                  <w:vAlign w:val="center"/>
                </w:tcPr>
                <w:p w14:paraId="352C903E">
                  <w:pPr>
                    <w:pStyle w:val="27"/>
                    <w:rPr>
                      <w:color w:val="auto"/>
                      <w:highlight w:val="none"/>
                    </w:rPr>
                  </w:pPr>
                </w:p>
              </w:tc>
              <w:tc>
                <w:tcPr>
                  <w:tcW w:w="550" w:type="pct"/>
                  <w:vMerge w:val="continue"/>
                  <w:tcBorders>
                    <w:tl2br w:val="nil"/>
                    <w:tr2bl w:val="nil"/>
                  </w:tcBorders>
                  <w:vAlign w:val="center"/>
                </w:tcPr>
                <w:p w14:paraId="02D5115F">
                  <w:pPr>
                    <w:pStyle w:val="27"/>
                    <w:rPr>
                      <w:color w:val="auto"/>
                      <w:highlight w:val="none"/>
                    </w:rPr>
                  </w:pPr>
                </w:p>
              </w:tc>
              <w:tc>
                <w:tcPr>
                  <w:tcW w:w="767" w:type="pct"/>
                  <w:tcBorders>
                    <w:tl2br w:val="nil"/>
                    <w:tr2bl w:val="nil"/>
                  </w:tcBorders>
                  <w:vAlign w:val="center"/>
                </w:tcPr>
                <w:p w14:paraId="7554E985">
                  <w:pPr>
                    <w:pStyle w:val="27"/>
                    <w:rPr>
                      <w:color w:val="auto"/>
                      <w:highlight w:val="none"/>
                    </w:rPr>
                  </w:pPr>
                  <w:r>
                    <w:rPr>
                      <w:rFonts w:hint="eastAsia"/>
                      <w:color w:val="auto"/>
                      <w:highlight w:val="none"/>
                    </w:rPr>
                    <w:t>60</w:t>
                  </w:r>
                </w:p>
              </w:tc>
            </w:tr>
            <w:tr w14:paraId="0CC6363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98" w:type="pct"/>
                  <w:tcBorders>
                    <w:tl2br w:val="nil"/>
                    <w:tr2bl w:val="nil"/>
                  </w:tcBorders>
                  <w:vAlign w:val="center"/>
                </w:tcPr>
                <w:p w14:paraId="1FDC8A6E">
                  <w:pPr>
                    <w:pStyle w:val="27"/>
                    <w:rPr>
                      <w:color w:val="auto"/>
                      <w:highlight w:val="none"/>
                    </w:rPr>
                  </w:pPr>
                  <w:r>
                    <w:rPr>
                      <w:rFonts w:hint="eastAsia"/>
                      <w:color w:val="auto"/>
                      <w:highlight w:val="none"/>
                    </w:rPr>
                    <w:t>3</w:t>
                  </w:r>
                </w:p>
              </w:tc>
              <w:tc>
                <w:tcPr>
                  <w:tcW w:w="524" w:type="pct"/>
                  <w:tcBorders>
                    <w:tl2br w:val="nil"/>
                    <w:tr2bl w:val="nil"/>
                  </w:tcBorders>
                  <w:vAlign w:val="center"/>
                </w:tcPr>
                <w:p w14:paraId="1C25896E">
                  <w:pPr>
                    <w:pStyle w:val="27"/>
                    <w:rPr>
                      <w:color w:val="auto"/>
                      <w:highlight w:val="none"/>
                    </w:rPr>
                  </w:pPr>
                  <w:r>
                    <w:rPr>
                      <w:color w:val="auto"/>
                      <w:highlight w:val="none"/>
                    </w:rPr>
                    <w:t>告别厅</w:t>
                  </w:r>
                </w:p>
              </w:tc>
              <w:tc>
                <w:tcPr>
                  <w:tcW w:w="948" w:type="pct"/>
                  <w:tcBorders>
                    <w:tl2br w:val="nil"/>
                    <w:tr2bl w:val="nil"/>
                  </w:tcBorders>
                  <w:vAlign w:val="center"/>
                </w:tcPr>
                <w:p w14:paraId="38B11D6A">
                  <w:pPr>
                    <w:pStyle w:val="27"/>
                    <w:rPr>
                      <w:color w:val="auto"/>
                      <w:highlight w:val="none"/>
                    </w:rPr>
                  </w:pPr>
                  <w:r>
                    <w:rPr>
                      <w:color w:val="auto"/>
                      <w:highlight w:val="none"/>
                    </w:rPr>
                    <w:t>悼念活动噪声</w:t>
                  </w:r>
                </w:p>
              </w:tc>
              <w:tc>
                <w:tcPr>
                  <w:tcW w:w="410" w:type="pct"/>
                  <w:tcBorders>
                    <w:tl2br w:val="nil"/>
                    <w:tr2bl w:val="nil"/>
                  </w:tcBorders>
                  <w:vAlign w:val="center"/>
                </w:tcPr>
                <w:p w14:paraId="3C80F144">
                  <w:pPr>
                    <w:pStyle w:val="27"/>
                    <w:rPr>
                      <w:color w:val="auto"/>
                      <w:highlight w:val="none"/>
                    </w:rPr>
                  </w:pPr>
                  <w:r>
                    <w:rPr>
                      <w:rFonts w:hint="eastAsia"/>
                      <w:color w:val="auto"/>
                      <w:highlight w:val="none"/>
                    </w:rPr>
                    <w:t>6</w:t>
                  </w:r>
                </w:p>
              </w:tc>
              <w:tc>
                <w:tcPr>
                  <w:tcW w:w="733" w:type="pct"/>
                  <w:tcBorders>
                    <w:tl2br w:val="nil"/>
                    <w:tr2bl w:val="nil"/>
                  </w:tcBorders>
                  <w:vAlign w:val="center"/>
                </w:tcPr>
                <w:p w14:paraId="36DD8A3F">
                  <w:pPr>
                    <w:pStyle w:val="27"/>
                    <w:rPr>
                      <w:color w:val="auto"/>
                      <w:highlight w:val="none"/>
                    </w:rPr>
                  </w:pPr>
                  <w:r>
                    <w:rPr>
                      <w:rFonts w:hint="eastAsia"/>
                      <w:color w:val="auto"/>
                      <w:highlight w:val="none"/>
                    </w:rPr>
                    <w:t>75</w:t>
                  </w:r>
                </w:p>
              </w:tc>
              <w:tc>
                <w:tcPr>
                  <w:tcW w:w="766" w:type="pct"/>
                  <w:tcBorders>
                    <w:tl2br w:val="nil"/>
                    <w:tr2bl w:val="nil"/>
                  </w:tcBorders>
                  <w:vAlign w:val="center"/>
                </w:tcPr>
                <w:p w14:paraId="1AD36DB3">
                  <w:pPr>
                    <w:pStyle w:val="27"/>
                    <w:rPr>
                      <w:color w:val="auto"/>
                      <w:highlight w:val="none"/>
                    </w:rPr>
                  </w:pPr>
                  <w:r>
                    <w:rPr>
                      <w:color w:val="auto"/>
                      <w:highlight w:val="none"/>
                    </w:rPr>
                    <w:t>墙体隔声</w:t>
                  </w:r>
                </w:p>
              </w:tc>
              <w:tc>
                <w:tcPr>
                  <w:tcW w:w="550" w:type="pct"/>
                  <w:vMerge w:val="continue"/>
                  <w:tcBorders>
                    <w:tl2br w:val="nil"/>
                    <w:tr2bl w:val="nil"/>
                  </w:tcBorders>
                  <w:shd w:val="clear" w:color="auto" w:fill="auto"/>
                  <w:vAlign w:val="center"/>
                </w:tcPr>
                <w:p w14:paraId="5F1D9898">
                  <w:pPr>
                    <w:pStyle w:val="27"/>
                    <w:rPr>
                      <w:color w:val="auto"/>
                      <w:highlight w:val="none"/>
                    </w:rPr>
                  </w:pPr>
                </w:p>
              </w:tc>
              <w:tc>
                <w:tcPr>
                  <w:tcW w:w="767" w:type="pct"/>
                  <w:tcBorders>
                    <w:tl2br w:val="nil"/>
                    <w:tr2bl w:val="nil"/>
                  </w:tcBorders>
                  <w:vAlign w:val="center"/>
                </w:tcPr>
                <w:p w14:paraId="10DDB1A0">
                  <w:pPr>
                    <w:pStyle w:val="27"/>
                    <w:rPr>
                      <w:color w:val="auto"/>
                      <w:highlight w:val="none"/>
                    </w:rPr>
                  </w:pPr>
                  <w:r>
                    <w:rPr>
                      <w:rFonts w:hint="eastAsia"/>
                      <w:color w:val="auto"/>
                      <w:highlight w:val="none"/>
                    </w:rPr>
                    <w:t>55</w:t>
                  </w:r>
                </w:p>
              </w:tc>
            </w:tr>
          </w:tbl>
          <w:p w14:paraId="03AEBD56">
            <w:pPr>
              <w:spacing w:line="360" w:lineRule="auto"/>
              <w:ind w:firstLine="420" w:firstLineChars="200"/>
              <w:rPr>
                <w:bCs/>
                <w:color w:val="auto"/>
                <w:szCs w:val="21"/>
                <w:highlight w:val="none"/>
              </w:rPr>
            </w:pPr>
          </w:p>
          <w:p w14:paraId="78E6CB9B">
            <w:pPr>
              <w:adjustRightInd w:val="0"/>
              <w:snapToGrid w:val="0"/>
              <w:spacing w:line="360" w:lineRule="auto"/>
              <w:rPr>
                <w:b/>
                <w:bCs/>
                <w:color w:val="auto"/>
                <w:sz w:val="24"/>
                <w:highlight w:val="none"/>
              </w:rPr>
            </w:pPr>
            <w:r>
              <w:rPr>
                <w:b/>
                <w:bCs/>
                <w:color w:val="auto"/>
                <w:sz w:val="24"/>
                <w:highlight w:val="none"/>
              </w:rPr>
              <w:t>3.2噪声预测及达标情况</w:t>
            </w:r>
          </w:p>
          <w:p w14:paraId="6EDF949B">
            <w:pPr>
              <w:snapToGrid w:val="0"/>
              <w:spacing w:line="360" w:lineRule="auto"/>
              <w:ind w:firstLine="480" w:firstLineChars="200"/>
              <w:rPr>
                <w:snapToGrid w:val="0"/>
                <w:color w:val="auto"/>
                <w:sz w:val="24"/>
                <w:highlight w:val="none"/>
              </w:rPr>
            </w:pPr>
            <w:r>
              <w:rPr>
                <w:snapToGrid w:val="0"/>
                <w:color w:val="auto"/>
                <w:sz w:val="24"/>
                <w:highlight w:val="none"/>
              </w:rPr>
              <w:t>声源在预测位置的声压级计算公式为：</w:t>
            </w:r>
          </w:p>
          <w:p w14:paraId="4F882179">
            <w:pPr>
              <w:snapToGrid w:val="0"/>
              <w:spacing w:line="360" w:lineRule="auto"/>
              <w:jc w:val="center"/>
              <w:rPr>
                <w:snapToGrid w:val="0"/>
                <w:color w:val="auto"/>
                <w:sz w:val="24"/>
                <w:highlight w:val="none"/>
              </w:rPr>
            </w:pPr>
            <w:r>
              <w:rPr>
                <w:snapToGrid w:val="0"/>
                <w:color w:val="auto"/>
                <w:sz w:val="24"/>
                <w:highlight w:val="none"/>
              </w:rPr>
              <w:t>L</w:t>
            </w:r>
            <w:r>
              <w:rPr>
                <w:snapToGrid w:val="0"/>
                <w:color w:val="auto"/>
                <w:sz w:val="24"/>
                <w:highlight w:val="none"/>
                <w:vertAlign w:val="subscript"/>
              </w:rPr>
              <w:t>p</w:t>
            </w:r>
            <w:r>
              <w:rPr>
                <w:snapToGrid w:val="0"/>
                <w:color w:val="auto"/>
                <w:sz w:val="24"/>
                <w:highlight w:val="none"/>
              </w:rPr>
              <w:t>（r）=L</w:t>
            </w:r>
            <w:r>
              <w:rPr>
                <w:snapToGrid w:val="0"/>
                <w:color w:val="auto"/>
                <w:sz w:val="24"/>
                <w:highlight w:val="none"/>
                <w:vertAlign w:val="subscript"/>
              </w:rPr>
              <w:t>w</w:t>
            </w:r>
            <w:r>
              <w:rPr>
                <w:snapToGrid w:val="0"/>
                <w:color w:val="auto"/>
                <w:sz w:val="24"/>
                <w:highlight w:val="none"/>
              </w:rPr>
              <w:t>+Dc-（A</w:t>
            </w:r>
            <w:r>
              <w:rPr>
                <w:snapToGrid w:val="0"/>
                <w:color w:val="auto"/>
                <w:sz w:val="24"/>
                <w:highlight w:val="none"/>
                <w:vertAlign w:val="subscript"/>
              </w:rPr>
              <w:t>div</w:t>
            </w:r>
            <w:r>
              <w:rPr>
                <w:snapToGrid w:val="0"/>
                <w:color w:val="auto"/>
                <w:sz w:val="24"/>
                <w:highlight w:val="none"/>
              </w:rPr>
              <w:t>+A</w:t>
            </w:r>
            <w:r>
              <w:rPr>
                <w:snapToGrid w:val="0"/>
                <w:color w:val="auto"/>
                <w:sz w:val="24"/>
                <w:highlight w:val="none"/>
                <w:vertAlign w:val="subscript"/>
              </w:rPr>
              <w:t>at</w:t>
            </w:r>
            <w:r>
              <w:rPr>
                <w:rFonts w:hint="eastAsia"/>
                <w:snapToGrid w:val="0"/>
                <w:color w:val="auto"/>
                <w:sz w:val="24"/>
                <w:highlight w:val="none"/>
                <w:lang w:eastAsia="zh-CN"/>
              </w:rPr>
              <w:t>m</w:t>
            </w:r>
            <w:r>
              <w:rPr>
                <w:snapToGrid w:val="0"/>
                <w:color w:val="auto"/>
                <w:sz w:val="24"/>
                <w:highlight w:val="none"/>
              </w:rPr>
              <w:t>+A</w:t>
            </w:r>
            <w:r>
              <w:rPr>
                <w:snapToGrid w:val="0"/>
                <w:color w:val="auto"/>
                <w:sz w:val="24"/>
                <w:highlight w:val="none"/>
                <w:vertAlign w:val="subscript"/>
              </w:rPr>
              <w:t>gr</w:t>
            </w:r>
            <w:r>
              <w:rPr>
                <w:snapToGrid w:val="0"/>
                <w:color w:val="auto"/>
                <w:sz w:val="24"/>
                <w:highlight w:val="none"/>
              </w:rPr>
              <w:t>+A</w:t>
            </w:r>
            <w:r>
              <w:rPr>
                <w:snapToGrid w:val="0"/>
                <w:color w:val="auto"/>
                <w:sz w:val="24"/>
                <w:highlight w:val="none"/>
                <w:vertAlign w:val="subscript"/>
              </w:rPr>
              <w:t>bar</w:t>
            </w:r>
            <w:r>
              <w:rPr>
                <w:snapToGrid w:val="0"/>
                <w:color w:val="auto"/>
                <w:sz w:val="24"/>
                <w:highlight w:val="none"/>
              </w:rPr>
              <w:t>+A</w:t>
            </w:r>
            <w:r>
              <w:rPr>
                <w:rFonts w:hint="eastAsia"/>
                <w:snapToGrid w:val="0"/>
                <w:color w:val="auto"/>
                <w:sz w:val="24"/>
                <w:highlight w:val="none"/>
                <w:lang w:eastAsia="zh-CN"/>
              </w:rPr>
              <w:t>m</w:t>
            </w:r>
            <w:r>
              <w:rPr>
                <w:snapToGrid w:val="0"/>
                <w:color w:val="auto"/>
                <w:sz w:val="24"/>
                <w:highlight w:val="none"/>
                <w:vertAlign w:val="subscript"/>
              </w:rPr>
              <w:t>isc</w:t>
            </w:r>
            <w:r>
              <w:rPr>
                <w:snapToGrid w:val="0"/>
                <w:color w:val="auto"/>
                <w:sz w:val="24"/>
                <w:highlight w:val="none"/>
              </w:rPr>
              <w:t>）</w:t>
            </w:r>
          </w:p>
          <w:p w14:paraId="6861B923">
            <w:pPr>
              <w:snapToGrid w:val="0"/>
              <w:spacing w:line="360" w:lineRule="auto"/>
              <w:ind w:firstLine="480" w:firstLineChars="200"/>
              <w:rPr>
                <w:snapToGrid w:val="0"/>
                <w:color w:val="auto"/>
                <w:sz w:val="24"/>
                <w:highlight w:val="none"/>
              </w:rPr>
            </w:pPr>
            <w:r>
              <w:rPr>
                <w:snapToGrid w:val="0"/>
                <w:color w:val="auto"/>
                <w:sz w:val="24"/>
                <w:highlight w:val="none"/>
              </w:rPr>
              <w:t>式中：L</w:t>
            </w:r>
            <w:r>
              <w:rPr>
                <w:snapToGrid w:val="0"/>
                <w:color w:val="auto"/>
                <w:sz w:val="24"/>
                <w:highlight w:val="none"/>
                <w:vertAlign w:val="subscript"/>
              </w:rPr>
              <w:t>p</w:t>
            </w:r>
            <w:r>
              <w:rPr>
                <w:snapToGrid w:val="0"/>
                <w:color w:val="auto"/>
                <w:sz w:val="24"/>
                <w:highlight w:val="none"/>
              </w:rPr>
              <w:t>（r）----预测点处声压级，dB;</w:t>
            </w:r>
          </w:p>
          <w:p w14:paraId="7B8A85F9">
            <w:pPr>
              <w:snapToGrid w:val="0"/>
              <w:spacing w:line="360" w:lineRule="auto"/>
              <w:ind w:firstLine="1200" w:firstLineChars="500"/>
              <w:rPr>
                <w:snapToGrid w:val="0"/>
                <w:color w:val="auto"/>
                <w:sz w:val="24"/>
                <w:highlight w:val="none"/>
              </w:rPr>
            </w:pPr>
            <w:r>
              <w:rPr>
                <w:snapToGrid w:val="0"/>
                <w:color w:val="auto"/>
                <w:sz w:val="24"/>
                <w:highlight w:val="none"/>
              </w:rPr>
              <w:t>Lw----由点声源产生的声功率级（A计权或倍频带），dB；</w:t>
            </w:r>
          </w:p>
          <w:p w14:paraId="3D44FB94">
            <w:pPr>
              <w:snapToGrid w:val="0"/>
              <w:spacing w:line="360" w:lineRule="auto"/>
              <w:ind w:firstLine="1200" w:firstLineChars="500"/>
              <w:rPr>
                <w:snapToGrid w:val="0"/>
                <w:color w:val="auto"/>
                <w:sz w:val="24"/>
                <w:highlight w:val="none"/>
              </w:rPr>
            </w:pPr>
            <w:r>
              <w:rPr>
                <w:snapToGrid w:val="0"/>
                <w:color w:val="auto"/>
                <w:sz w:val="24"/>
                <w:highlight w:val="none"/>
              </w:rPr>
              <w:t>Dc----指向性校正，它描述点声源的等效连续声压级与产生声功率级Lw的全向点声源在规定方向的声级的偏差程度；dB；</w:t>
            </w:r>
          </w:p>
          <w:p w14:paraId="65C2E831">
            <w:pPr>
              <w:snapToGrid w:val="0"/>
              <w:spacing w:line="360" w:lineRule="auto"/>
              <w:ind w:firstLine="1200" w:firstLineChars="500"/>
              <w:rPr>
                <w:snapToGrid w:val="0"/>
                <w:color w:val="auto"/>
                <w:sz w:val="24"/>
                <w:highlight w:val="none"/>
              </w:rPr>
            </w:pPr>
            <w:r>
              <w:rPr>
                <w:snapToGrid w:val="0"/>
                <w:color w:val="auto"/>
                <w:sz w:val="24"/>
                <w:highlight w:val="none"/>
              </w:rPr>
              <w:t>A</w:t>
            </w:r>
            <w:r>
              <w:rPr>
                <w:snapToGrid w:val="0"/>
                <w:color w:val="auto"/>
                <w:sz w:val="24"/>
                <w:highlight w:val="none"/>
                <w:vertAlign w:val="subscript"/>
              </w:rPr>
              <w:t>div</w:t>
            </w:r>
            <w:r>
              <w:rPr>
                <w:snapToGrid w:val="0"/>
                <w:color w:val="auto"/>
                <w:sz w:val="24"/>
                <w:highlight w:val="none"/>
              </w:rPr>
              <w:t>----几何发散引起的衰减；dB；</w:t>
            </w:r>
          </w:p>
          <w:p w14:paraId="072BA531">
            <w:pPr>
              <w:snapToGrid w:val="0"/>
              <w:spacing w:line="360" w:lineRule="auto"/>
              <w:ind w:firstLine="1200" w:firstLineChars="500"/>
              <w:rPr>
                <w:snapToGrid w:val="0"/>
                <w:color w:val="auto"/>
                <w:sz w:val="24"/>
                <w:highlight w:val="none"/>
              </w:rPr>
            </w:pPr>
            <w:r>
              <w:rPr>
                <w:snapToGrid w:val="0"/>
                <w:color w:val="auto"/>
                <w:sz w:val="24"/>
                <w:highlight w:val="none"/>
              </w:rPr>
              <w:t>A</w:t>
            </w:r>
            <w:r>
              <w:rPr>
                <w:snapToGrid w:val="0"/>
                <w:color w:val="auto"/>
                <w:sz w:val="24"/>
                <w:highlight w:val="none"/>
                <w:vertAlign w:val="subscript"/>
              </w:rPr>
              <w:t>at</w:t>
            </w:r>
            <w:r>
              <w:rPr>
                <w:rFonts w:hint="eastAsia"/>
                <w:snapToGrid w:val="0"/>
                <w:color w:val="auto"/>
                <w:sz w:val="24"/>
                <w:highlight w:val="none"/>
                <w:lang w:eastAsia="zh-CN"/>
              </w:rPr>
              <w:t>m</w:t>
            </w:r>
            <w:r>
              <w:rPr>
                <w:b/>
                <w:bCs/>
                <w:snapToGrid w:val="0"/>
                <w:color w:val="auto"/>
                <w:sz w:val="24"/>
                <w:highlight w:val="none"/>
              </w:rPr>
              <w:t>---</w:t>
            </w:r>
            <w:r>
              <w:rPr>
                <w:snapToGrid w:val="0"/>
                <w:color w:val="auto"/>
                <w:sz w:val="24"/>
                <w:highlight w:val="none"/>
              </w:rPr>
              <w:t>-大气吸收引起的衰减；dB；</w:t>
            </w:r>
          </w:p>
          <w:p w14:paraId="6C65744D">
            <w:pPr>
              <w:snapToGrid w:val="0"/>
              <w:spacing w:line="360" w:lineRule="auto"/>
              <w:ind w:firstLine="1200" w:firstLineChars="500"/>
              <w:rPr>
                <w:snapToGrid w:val="0"/>
                <w:color w:val="auto"/>
                <w:sz w:val="24"/>
                <w:highlight w:val="none"/>
              </w:rPr>
            </w:pPr>
            <w:r>
              <w:rPr>
                <w:snapToGrid w:val="0"/>
                <w:color w:val="auto"/>
                <w:sz w:val="24"/>
                <w:highlight w:val="none"/>
              </w:rPr>
              <w:t>A</w:t>
            </w:r>
            <w:r>
              <w:rPr>
                <w:snapToGrid w:val="0"/>
                <w:color w:val="auto"/>
                <w:sz w:val="24"/>
                <w:highlight w:val="none"/>
                <w:vertAlign w:val="subscript"/>
              </w:rPr>
              <w:t>gr</w:t>
            </w:r>
            <w:r>
              <w:rPr>
                <w:snapToGrid w:val="0"/>
                <w:color w:val="auto"/>
                <w:sz w:val="24"/>
                <w:highlight w:val="none"/>
              </w:rPr>
              <w:t>-----地面效应引起的衰减；dB；</w:t>
            </w:r>
          </w:p>
          <w:p w14:paraId="1204F55C">
            <w:pPr>
              <w:snapToGrid w:val="0"/>
              <w:spacing w:line="360" w:lineRule="auto"/>
              <w:ind w:firstLine="1200" w:firstLineChars="500"/>
              <w:rPr>
                <w:snapToGrid w:val="0"/>
                <w:color w:val="auto"/>
                <w:sz w:val="24"/>
                <w:highlight w:val="none"/>
              </w:rPr>
            </w:pPr>
            <w:r>
              <w:rPr>
                <w:snapToGrid w:val="0"/>
                <w:color w:val="auto"/>
                <w:sz w:val="24"/>
                <w:highlight w:val="none"/>
              </w:rPr>
              <w:t>A</w:t>
            </w:r>
            <w:r>
              <w:rPr>
                <w:snapToGrid w:val="0"/>
                <w:color w:val="auto"/>
                <w:sz w:val="24"/>
                <w:highlight w:val="none"/>
                <w:vertAlign w:val="subscript"/>
              </w:rPr>
              <w:t>bar</w:t>
            </w:r>
            <w:r>
              <w:rPr>
                <w:snapToGrid w:val="0"/>
                <w:color w:val="auto"/>
                <w:sz w:val="24"/>
                <w:highlight w:val="none"/>
              </w:rPr>
              <w:t>----障碍物屏蔽引起的衰减；dB；</w:t>
            </w:r>
          </w:p>
          <w:p w14:paraId="4933465B">
            <w:pPr>
              <w:snapToGrid w:val="0"/>
              <w:spacing w:line="360" w:lineRule="auto"/>
              <w:ind w:firstLine="1200" w:firstLineChars="500"/>
              <w:rPr>
                <w:snapToGrid w:val="0"/>
                <w:color w:val="auto"/>
                <w:sz w:val="24"/>
                <w:highlight w:val="none"/>
              </w:rPr>
            </w:pPr>
            <w:r>
              <w:rPr>
                <w:snapToGrid w:val="0"/>
                <w:color w:val="auto"/>
                <w:sz w:val="24"/>
                <w:highlight w:val="none"/>
              </w:rPr>
              <w:t>A</w:t>
            </w:r>
            <w:r>
              <w:rPr>
                <w:rFonts w:hint="eastAsia"/>
                <w:snapToGrid w:val="0"/>
                <w:color w:val="auto"/>
                <w:sz w:val="24"/>
                <w:highlight w:val="none"/>
                <w:lang w:eastAsia="zh-CN"/>
              </w:rPr>
              <w:t>m</w:t>
            </w:r>
            <w:r>
              <w:rPr>
                <w:snapToGrid w:val="0"/>
                <w:color w:val="auto"/>
                <w:sz w:val="24"/>
                <w:highlight w:val="none"/>
                <w:vertAlign w:val="subscript"/>
              </w:rPr>
              <w:t>isc</w:t>
            </w:r>
            <w:r>
              <w:rPr>
                <w:snapToGrid w:val="0"/>
                <w:color w:val="auto"/>
                <w:sz w:val="24"/>
                <w:highlight w:val="none"/>
              </w:rPr>
              <w:t>----其他多方面引起的衰减；dB；</w:t>
            </w:r>
          </w:p>
          <w:p w14:paraId="06BC30E7">
            <w:pPr>
              <w:snapToGrid w:val="0"/>
              <w:spacing w:line="360" w:lineRule="auto"/>
              <w:ind w:firstLine="480" w:firstLineChars="200"/>
              <w:rPr>
                <w:snapToGrid w:val="0"/>
                <w:color w:val="auto"/>
                <w:sz w:val="24"/>
                <w:highlight w:val="none"/>
              </w:rPr>
            </w:pPr>
            <w:r>
              <w:rPr>
                <w:snapToGrid w:val="0"/>
                <w:color w:val="auto"/>
                <w:sz w:val="24"/>
                <w:highlight w:val="none"/>
              </w:rPr>
              <w:t>本项目将声源概化为点声源进行预测，不考虑指向性校正、大气吸收引起的衰减、地面效应及其他方面引起的衰减，障碍物屏蔽引起的衰减取20dB，几何发散引起的衰减值按照30</w:t>
            </w:r>
            <w:r>
              <w:rPr>
                <w:rFonts w:hint="eastAsia"/>
                <w:snapToGrid w:val="0"/>
                <w:color w:val="auto"/>
                <w:sz w:val="24"/>
                <w:highlight w:val="none"/>
                <w:lang w:eastAsia="zh-CN"/>
              </w:rPr>
              <w:t>m</w:t>
            </w:r>
            <w:r>
              <w:rPr>
                <w:snapToGrid w:val="0"/>
                <w:color w:val="auto"/>
                <w:sz w:val="24"/>
                <w:highlight w:val="none"/>
              </w:rPr>
              <w:t>计算。</w:t>
            </w:r>
          </w:p>
          <w:p w14:paraId="2C39E4E0">
            <w:pPr>
              <w:snapToGrid w:val="0"/>
              <w:spacing w:line="360" w:lineRule="auto"/>
              <w:ind w:firstLine="480" w:firstLineChars="200"/>
              <w:rPr>
                <w:snapToGrid w:val="0"/>
                <w:color w:val="auto"/>
                <w:sz w:val="24"/>
                <w:highlight w:val="none"/>
              </w:rPr>
            </w:pPr>
            <w:r>
              <w:rPr>
                <w:snapToGrid w:val="0"/>
                <w:color w:val="auto"/>
                <w:sz w:val="24"/>
                <w:highlight w:val="none"/>
              </w:rPr>
              <w:t>噪声贡献值（Leqg）计算公式为：</w:t>
            </w:r>
          </w:p>
          <w:p w14:paraId="3C3AD6FB">
            <w:pPr>
              <w:snapToGrid w:val="0"/>
              <w:spacing w:line="360" w:lineRule="auto"/>
              <w:jc w:val="center"/>
              <w:rPr>
                <w:snapToGrid w:val="0"/>
                <w:color w:val="auto"/>
                <w:sz w:val="24"/>
                <w:highlight w:val="none"/>
              </w:rPr>
            </w:pPr>
            <w:r>
              <w:rPr>
                <w:snapToGrid w:val="0"/>
                <w:color w:val="auto"/>
                <w:sz w:val="24"/>
                <w:highlight w:val="none"/>
              </w:rPr>
              <w:drawing>
                <wp:inline distT="0" distB="0" distL="0" distR="0">
                  <wp:extent cx="1943100" cy="542925"/>
                  <wp:effectExtent l="0" t="0" r="0" b="9525"/>
                  <wp:docPr id="157702090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020903" name="图片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943100" cy="542925"/>
                          </a:xfrm>
                          <a:prstGeom prst="rect">
                            <a:avLst/>
                          </a:prstGeom>
                          <a:noFill/>
                          <a:ln>
                            <a:noFill/>
                          </a:ln>
                        </pic:spPr>
                      </pic:pic>
                    </a:graphicData>
                  </a:graphic>
                </wp:inline>
              </w:drawing>
            </w:r>
          </w:p>
          <w:p w14:paraId="642F1133">
            <w:pPr>
              <w:snapToGrid w:val="0"/>
              <w:spacing w:line="360" w:lineRule="auto"/>
              <w:ind w:firstLine="480" w:firstLineChars="200"/>
              <w:rPr>
                <w:snapToGrid w:val="0"/>
                <w:color w:val="auto"/>
                <w:sz w:val="24"/>
                <w:highlight w:val="none"/>
              </w:rPr>
            </w:pPr>
            <w:r>
              <w:rPr>
                <w:snapToGrid w:val="0"/>
                <w:color w:val="auto"/>
                <w:sz w:val="24"/>
                <w:highlight w:val="none"/>
              </w:rPr>
              <w:t>式中：Leqg----噪声贡献值；dB；</w:t>
            </w:r>
          </w:p>
          <w:p w14:paraId="3537674B">
            <w:pPr>
              <w:snapToGrid w:val="0"/>
              <w:spacing w:line="360" w:lineRule="auto"/>
              <w:ind w:left="0" w:leftChars="0" w:firstLine="1058" w:firstLineChars="441"/>
              <w:rPr>
                <w:snapToGrid w:val="0"/>
                <w:color w:val="auto"/>
                <w:sz w:val="24"/>
                <w:highlight w:val="none"/>
              </w:rPr>
            </w:pPr>
            <w:r>
              <w:rPr>
                <w:snapToGrid w:val="0"/>
                <w:color w:val="auto"/>
                <w:sz w:val="24"/>
                <w:highlight w:val="none"/>
              </w:rPr>
              <w:t>T----预测计算的时间段；S；</w:t>
            </w:r>
          </w:p>
          <w:p w14:paraId="7F845324">
            <w:pPr>
              <w:snapToGrid w:val="0"/>
              <w:spacing w:line="360" w:lineRule="auto"/>
              <w:ind w:left="0" w:leftChars="0" w:firstLine="1058" w:firstLineChars="441"/>
              <w:rPr>
                <w:snapToGrid w:val="0"/>
                <w:color w:val="auto"/>
                <w:sz w:val="24"/>
                <w:highlight w:val="none"/>
              </w:rPr>
            </w:pPr>
            <w:r>
              <w:rPr>
                <w:snapToGrid w:val="0"/>
                <w:color w:val="auto"/>
                <w:sz w:val="24"/>
                <w:highlight w:val="none"/>
              </w:rPr>
              <w:t>t</w:t>
            </w:r>
            <w:r>
              <w:rPr>
                <w:snapToGrid w:val="0"/>
                <w:color w:val="auto"/>
                <w:sz w:val="24"/>
                <w:highlight w:val="none"/>
                <w:vertAlign w:val="subscript"/>
              </w:rPr>
              <w:t>i</w:t>
            </w:r>
            <w:r>
              <w:rPr>
                <w:snapToGrid w:val="0"/>
                <w:color w:val="auto"/>
                <w:sz w:val="24"/>
                <w:highlight w:val="none"/>
              </w:rPr>
              <w:t>----i声源在T时段内的运行时间；S；</w:t>
            </w:r>
          </w:p>
          <w:p w14:paraId="3EEF88B4">
            <w:pPr>
              <w:snapToGrid w:val="0"/>
              <w:spacing w:line="360" w:lineRule="auto"/>
              <w:ind w:left="0" w:leftChars="0" w:firstLine="1058" w:firstLineChars="441"/>
              <w:rPr>
                <w:snapToGrid w:val="0"/>
                <w:color w:val="auto"/>
                <w:sz w:val="24"/>
                <w:highlight w:val="none"/>
              </w:rPr>
            </w:pPr>
            <w:r>
              <w:rPr>
                <w:snapToGrid w:val="0"/>
                <w:color w:val="auto"/>
                <w:sz w:val="24"/>
                <w:highlight w:val="none"/>
              </w:rPr>
              <w:t>L</w:t>
            </w:r>
            <w:r>
              <w:rPr>
                <w:snapToGrid w:val="0"/>
                <w:color w:val="auto"/>
                <w:sz w:val="24"/>
                <w:highlight w:val="none"/>
                <w:vertAlign w:val="subscript"/>
              </w:rPr>
              <w:t>Ai</w:t>
            </w:r>
            <w:r>
              <w:rPr>
                <w:snapToGrid w:val="0"/>
                <w:color w:val="auto"/>
                <w:sz w:val="24"/>
                <w:highlight w:val="none"/>
              </w:rPr>
              <w:t>----i声源在预测点产生的等效连续A声级；dB。</w:t>
            </w:r>
          </w:p>
          <w:p w14:paraId="70FDDCCD">
            <w:pPr>
              <w:spacing w:line="360" w:lineRule="auto"/>
              <w:ind w:firstLine="480" w:firstLineChars="200"/>
              <w:rPr>
                <w:bCs/>
                <w:color w:val="auto"/>
                <w:sz w:val="24"/>
                <w:highlight w:val="none"/>
              </w:rPr>
            </w:pPr>
            <w:r>
              <w:rPr>
                <w:bCs/>
                <w:color w:val="auto"/>
                <w:sz w:val="24"/>
                <w:highlight w:val="none"/>
              </w:rPr>
              <w:t>根据《环境影响评价技术导则声环境》（HJ2.4-2021）规定，结合项目场区平面布置图，经噪声衰减</w:t>
            </w:r>
            <w:r>
              <w:rPr>
                <w:rFonts w:hint="eastAsia"/>
                <w:bCs/>
                <w:color w:val="auto"/>
                <w:sz w:val="24"/>
                <w:highlight w:val="none"/>
                <w:lang w:eastAsia="zh-CN"/>
              </w:rPr>
              <w:t>分析</w:t>
            </w:r>
            <w:r>
              <w:rPr>
                <w:bCs/>
                <w:color w:val="auto"/>
                <w:sz w:val="24"/>
                <w:highlight w:val="none"/>
              </w:rPr>
              <w:t>，运营期项目主要产噪设备对厂界噪声贡献值的预测结果见表4-</w:t>
            </w:r>
            <w:r>
              <w:rPr>
                <w:rFonts w:hint="eastAsia"/>
                <w:bCs/>
                <w:color w:val="auto"/>
                <w:sz w:val="24"/>
                <w:highlight w:val="none"/>
                <w:lang w:val="en-US" w:eastAsia="zh-CN"/>
              </w:rPr>
              <w:t>9</w:t>
            </w:r>
            <w:r>
              <w:rPr>
                <w:bCs/>
                <w:color w:val="auto"/>
                <w:sz w:val="24"/>
                <w:highlight w:val="none"/>
              </w:rPr>
              <w:t>。</w:t>
            </w:r>
          </w:p>
          <w:p w14:paraId="08484D65">
            <w:pPr>
              <w:spacing w:line="360" w:lineRule="auto"/>
              <w:jc w:val="center"/>
              <w:rPr>
                <w:b/>
                <w:color w:val="auto"/>
                <w:sz w:val="24"/>
                <w:highlight w:val="none"/>
              </w:rPr>
            </w:pPr>
            <w:r>
              <w:rPr>
                <w:b/>
                <w:color w:val="auto"/>
                <w:sz w:val="24"/>
                <w:highlight w:val="none"/>
              </w:rPr>
              <w:t>表4-</w:t>
            </w:r>
            <w:r>
              <w:rPr>
                <w:rFonts w:hint="eastAsia"/>
                <w:b/>
                <w:color w:val="auto"/>
                <w:sz w:val="24"/>
                <w:highlight w:val="none"/>
                <w:lang w:val="en-US" w:eastAsia="zh-CN"/>
              </w:rPr>
              <w:t>9</w:t>
            </w:r>
            <w:r>
              <w:rPr>
                <w:b/>
                <w:color w:val="auto"/>
                <w:sz w:val="24"/>
                <w:highlight w:val="none"/>
              </w:rPr>
              <w:t xml:space="preserve"> 主要产噪设备对厂界噪声的预测结果一览表</w:t>
            </w:r>
          </w:p>
          <w:tbl>
            <w:tblPr>
              <w:tblStyle w:val="20"/>
              <w:tblW w:w="8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927"/>
              <w:gridCol w:w="1860"/>
              <w:gridCol w:w="2605"/>
              <w:gridCol w:w="1830"/>
            </w:tblGrid>
            <w:tr w14:paraId="3B20D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61680FEB">
                  <w:pPr>
                    <w:spacing w:line="0" w:lineRule="atLeast"/>
                    <w:jc w:val="center"/>
                    <w:rPr>
                      <w:b/>
                      <w:bCs/>
                      <w:color w:val="auto"/>
                      <w:spacing w:val="-10"/>
                      <w:szCs w:val="21"/>
                      <w:highlight w:val="none"/>
                    </w:rPr>
                  </w:pPr>
                  <w:r>
                    <w:rPr>
                      <w:b/>
                      <w:bCs/>
                      <w:color w:val="auto"/>
                      <w:spacing w:val="-10"/>
                      <w:szCs w:val="21"/>
                      <w:highlight w:val="none"/>
                    </w:rPr>
                    <w:t>预测点位</w:t>
                  </w:r>
                </w:p>
              </w:tc>
              <w:tc>
                <w:tcPr>
                  <w:tcW w:w="1131" w:type="pct"/>
                  <w:vAlign w:val="center"/>
                </w:tcPr>
                <w:p w14:paraId="0D09AFBB">
                  <w:pPr>
                    <w:spacing w:line="0" w:lineRule="atLeast"/>
                    <w:jc w:val="center"/>
                    <w:rPr>
                      <w:b/>
                      <w:bCs/>
                      <w:color w:val="auto"/>
                      <w:spacing w:val="-10"/>
                      <w:szCs w:val="21"/>
                      <w:highlight w:val="none"/>
                    </w:rPr>
                  </w:pPr>
                  <w:r>
                    <w:rPr>
                      <w:b/>
                      <w:bCs/>
                      <w:color w:val="auto"/>
                      <w:spacing w:val="-10"/>
                      <w:szCs w:val="21"/>
                      <w:highlight w:val="none"/>
                    </w:rPr>
                    <w:t>贡献值/dB（A）</w:t>
                  </w:r>
                </w:p>
              </w:tc>
              <w:tc>
                <w:tcPr>
                  <w:tcW w:w="1584" w:type="pct"/>
                  <w:vAlign w:val="center"/>
                </w:tcPr>
                <w:p w14:paraId="0E80CDCC">
                  <w:pPr>
                    <w:spacing w:line="0" w:lineRule="atLeast"/>
                    <w:jc w:val="center"/>
                    <w:rPr>
                      <w:b/>
                      <w:bCs/>
                      <w:color w:val="auto"/>
                      <w:spacing w:val="-10"/>
                      <w:szCs w:val="21"/>
                      <w:highlight w:val="none"/>
                    </w:rPr>
                  </w:pPr>
                  <w:r>
                    <w:rPr>
                      <w:b/>
                      <w:bCs/>
                      <w:color w:val="auto"/>
                      <w:spacing w:val="-10"/>
                      <w:szCs w:val="21"/>
                      <w:highlight w:val="none"/>
                    </w:rPr>
                    <w:t>标准值/dB（A）</w:t>
                  </w:r>
                </w:p>
              </w:tc>
              <w:tc>
                <w:tcPr>
                  <w:tcW w:w="1113" w:type="pct"/>
                  <w:vAlign w:val="center"/>
                </w:tcPr>
                <w:p w14:paraId="1C3756A3">
                  <w:pPr>
                    <w:spacing w:line="0" w:lineRule="atLeast"/>
                    <w:jc w:val="center"/>
                    <w:rPr>
                      <w:b/>
                      <w:bCs/>
                      <w:color w:val="auto"/>
                      <w:spacing w:val="-10"/>
                      <w:szCs w:val="21"/>
                      <w:highlight w:val="none"/>
                    </w:rPr>
                  </w:pPr>
                  <w:r>
                    <w:rPr>
                      <w:b/>
                      <w:bCs/>
                      <w:color w:val="auto"/>
                      <w:spacing w:val="-10"/>
                      <w:szCs w:val="21"/>
                      <w:highlight w:val="none"/>
                    </w:rPr>
                    <w:t>达标情况</w:t>
                  </w:r>
                </w:p>
              </w:tc>
            </w:tr>
            <w:tr w14:paraId="43C5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4C968E27">
                  <w:pPr>
                    <w:spacing w:line="0" w:lineRule="atLeast"/>
                    <w:jc w:val="center"/>
                    <w:rPr>
                      <w:color w:val="auto"/>
                      <w:spacing w:val="-10"/>
                      <w:szCs w:val="21"/>
                      <w:highlight w:val="none"/>
                    </w:rPr>
                  </w:pPr>
                  <w:r>
                    <w:rPr>
                      <w:color w:val="auto"/>
                      <w:spacing w:val="-10"/>
                      <w:szCs w:val="21"/>
                      <w:highlight w:val="none"/>
                    </w:rPr>
                    <w:t>东厂界</w:t>
                  </w:r>
                </w:p>
              </w:tc>
              <w:tc>
                <w:tcPr>
                  <w:tcW w:w="1131" w:type="pct"/>
                  <w:vAlign w:val="center"/>
                </w:tcPr>
                <w:p w14:paraId="299DEC35">
                  <w:pPr>
                    <w:spacing w:line="0" w:lineRule="atLeast"/>
                    <w:jc w:val="center"/>
                    <w:rPr>
                      <w:color w:val="auto"/>
                      <w:spacing w:val="-10"/>
                      <w:szCs w:val="21"/>
                      <w:highlight w:val="none"/>
                    </w:rPr>
                  </w:pPr>
                  <w:r>
                    <w:rPr>
                      <w:color w:val="auto"/>
                      <w:spacing w:val="-10"/>
                      <w:szCs w:val="21"/>
                      <w:highlight w:val="none"/>
                    </w:rPr>
                    <w:t>25.1</w:t>
                  </w:r>
                </w:p>
              </w:tc>
              <w:tc>
                <w:tcPr>
                  <w:tcW w:w="1584" w:type="pct"/>
                  <w:vMerge w:val="restart"/>
                  <w:vAlign w:val="center"/>
                </w:tcPr>
                <w:p w14:paraId="29FB6FCB">
                  <w:pPr>
                    <w:spacing w:line="0" w:lineRule="atLeast"/>
                    <w:jc w:val="center"/>
                    <w:rPr>
                      <w:color w:val="auto"/>
                      <w:spacing w:val="-10"/>
                      <w:szCs w:val="21"/>
                      <w:highlight w:val="none"/>
                    </w:rPr>
                  </w:pPr>
                  <w:r>
                    <w:rPr>
                      <w:color w:val="auto"/>
                      <w:spacing w:val="-10"/>
                      <w:szCs w:val="21"/>
                      <w:highlight w:val="none"/>
                    </w:rPr>
                    <w:t>昼间：55</w:t>
                  </w:r>
                </w:p>
                <w:p w14:paraId="20D308C8">
                  <w:pPr>
                    <w:spacing w:line="0" w:lineRule="atLeast"/>
                    <w:jc w:val="center"/>
                    <w:rPr>
                      <w:color w:val="auto"/>
                      <w:spacing w:val="-10"/>
                      <w:szCs w:val="21"/>
                      <w:highlight w:val="none"/>
                    </w:rPr>
                  </w:pPr>
                  <w:r>
                    <w:rPr>
                      <w:color w:val="auto"/>
                      <w:spacing w:val="-10"/>
                      <w:szCs w:val="21"/>
                      <w:highlight w:val="none"/>
                    </w:rPr>
                    <w:t>夜间：45</w:t>
                  </w:r>
                </w:p>
              </w:tc>
              <w:tc>
                <w:tcPr>
                  <w:tcW w:w="1113" w:type="pct"/>
                  <w:vAlign w:val="center"/>
                </w:tcPr>
                <w:p w14:paraId="22F207EF">
                  <w:pPr>
                    <w:spacing w:line="0" w:lineRule="atLeast"/>
                    <w:jc w:val="center"/>
                    <w:rPr>
                      <w:color w:val="auto"/>
                      <w:spacing w:val="-10"/>
                      <w:szCs w:val="21"/>
                      <w:highlight w:val="none"/>
                    </w:rPr>
                  </w:pPr>
                  <w:r>
                    <w:rPr>
                      <w:color w:val="auto"/>
                      <w:spacing w:val="-10"/>
                      <w:szCs w:val="21"/>
                      <w:highlight w:val="none"/>
                    </w:rPr>
                    <w:t>达标</w:t>
                  </w:r>
                </w:p>
              </w:tc>
            </w:tr>
            <w:tr w14:paraId="2E905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230261D1">
                  <w:pPr>
                    <w:spacing w:line="0" w:lineRule="atLeast"/>
                    <w:jc w:val="center"/>
                    <w:rPr>
                      <w:color w:val="auto"/>
                      <w:spacing w:val="-10"/>
                      <w:szCs w:val="21"/>
                      <w:highlight w:val="none"/>
                    </w:rPr>
                  </w:pPr>
                  <w:r>
                    <w:rPr>
                      <w:color w:val="auto"/>
                      <w:spacing w:val="-10"/>
                      <w:szCs w:val="21"/>
                      <w:highlight w:val="none"/>
                    </w:rPr>
                    <w:t>南厂界</w:t>
                  </w:r>
                </w:p>
              </w:tc>
              <w:tc>
                <w:tcPr>
                  <w:tcW w:w="1131" w:type="pct"/>
                  <w:vAlign w:val="center"/>
                </w:tcPr>
                <w:p w14:paraId="1537CC47">
                  <w:pPr>
                    <w:spacing w:line="0" w:lineRule="atLeast"/>
                    <w:jc w:val="center"/>
                    <w:rPr>
                      <w:color w:val="auto"/>
                      <w:spacing w:val="-10"/>
                      <w:szCs w:val="21"/>
                      <w:highlight w:val="none"/>
                    </w:rPr>
                  </w:pPr>
                  <w:r>
                    <w:rPr>
                      <w:color w:val="auto"/>
                      <w:spacing w:val="-10"/>
                      <w:szCs w:val="21"/>
                      <w:highlight w:val="none"/>
                    </w:rPr>
                    <w:t>30.2</w:t>
                  </w:r>
                </w:p>
              </w:tc>
              <w:tc>
                <w:tcPr>
                  <w:tcW w:w="1584" w:type="pct"/>
                  <w:vMerge w:val="continue"/>
                  <w:vAlign w:val="center"/>
                </w:tcPr>
                <w:p w14:paraId="3B9816EF">
                  <w:pPr>
                    <w:spacing w:line="0" w:lineRule="atLeast"/>
                    <w:jc w:val="center"/>
                    <w:rPr>
                      <w:color w:val="auto"/>
                      <w:spacing w:val="-10"/>
                      <w:szCs w:val="21"/>
                      <w:highlight w:val="none"/>
                    </w:rPr>
                  </w:pPr>
                </w:p>
              </w:tc>
              <w:tc>
                <w:tcPr>
                  <w:tcW w:w="1113" w:type="pct"/>
                  <w:vAlign w:val="center"/>
                </w:tcPr>
                <w:p w14:paraId="3EE0E715">
                  <w:pPr>
                    <w:spacing w:line="0" w:lineRule="atLeast"/>
                    <w:jc w:val="center"/>
                    <w:rPr>
                      <w:color w:val="auto"/>
                      <w:spacing w:val="-10"/>
                      <w:szCs w:val="21"/>
                      <w:highlight w:val="none"/>
                    </w:rPr>
                  </w:pPr>
                  <w:r>
                    <w:rPr>
                      <w:color w:val="auto"/>
                      <w:spacing w:val="-10"/>
                      <w:szCs w:val="21"/>
                      <w:highlight w:val="none"/>
                    </w:rPr>
                    <w:t>达标</w:t>
                  </w:r>
                </w:p>
              </w:tc>
            </w:tr>
            <w:tr w14:paraId="3A74F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0D0E6B8E">
                  <w:pPr>
                    <w:spacing w:line="0" w:lineRule="atLeast"/>
                    <w:jc w:val="center"/>
                    <w:rPr>
                      <w:color w:val="auto"/>
                      <w:spacing w:val="-10"/>
                      <w:szCs w:val="21"/>
                      <w:highlight w:val="none"/>
                    </w:rPr>
                  </w:pPr>
                  <w:r>
                    <w:rPr>
                      <w:color w:val="auto"/>
                      <w:spacing w:val="-10"/>
                      <w:szCs w:val="21"/>
                      <w:highlight w:val="none"/>
                    </w:rPr>
                    <w:t>西厂界</w:t>
                  </w:r>
                </w:p>
              </w:tc>
              <w:tc>
                <w:tcPr>
                  <w:tcW w:w="1131" w:type="pct"/>
                  <w:vAlign w:val="center"/>
                </w:tcPr>
                <w:p w14:paraId="003A77EA">
                  <w:pPr>
                    <w:spacing w:line="0" w:lineRule="atLeast"/>
                    <w:jc w:val="center"/>
                    <w:rPr>
                      <w:color w:val="auto"/>
                      <w:spacing w:val="-10"/>
                      <w:szCs w:val="21"/>
                      <w:highlight w:val="none"/>
                    </w:rPr>
                  </w:pPr>
                  <w:r>
                    <w:rPr>
                      <w:color w:val="auto"/>
                      <w:spacing w:val="-10"/>
                      <w:szCs w:val="21"/>
                      <w:highlight w:val="none"/>
                    </w:rPr>
                    <w:t>18.6</w:t>
                  </w:r>
                </w:p>
              </w:tc>
              <w:tc>
                <w:tcPr>
                  <w:tcW w:w="1584" w:type="pct"/>
                  <w:vMerge w:val="continue"/>
                  <w:vAlign w:val="center"/>
                </w:tcPr>
                <w:p w14:paraId="4DC02B91">
                  <w:pPr>
                    <w:spacing w:line="0" w:lineRule="atLeast"/>
                    <w:jc w:val="center"/>
                    <w:rPr>
                      <w:color w:val="auto"/>
                      <w:spacing w:val="-10"/>
                      <w:szCs w:val="21"/>
                      <w:highlight w:val="none"/>
                    </w:rPr>
                  </w:pPr>
                </w:p>
              </w:tc>
              <w:tc>
                <w:tcPr>
                  <w:tcW w:w="1113" w:type="pct"/>
                  <w:vAlign w:val="center"/>
                </w:tcPr>
                <w:p w14:paraId="558010E9">
                  <w:pPr>
                    <w:spacing w:line="0" w:lineRule="atLeast"/>
                    <w:jc w:val="center"/>
                    <w:rPr>
                      <w:color w:val="auto"/>
                      <w:spacing w:val="-10"/>
                      <w:szCs w:val="21"/>
                      <w:highlight w:val="none"/>
                    </w:rPr>
                  </w:pPr>
                  <w:r>
                    <w:rPr>
                      <w:color w:val="auto"/>
                      <w:spacing w:val="-10"/>
                      <w:szCs w:val="21"/>
                      <w:highlight w:val="none"/>
                    </w:rPr>
                    <w:t>达标</w:t>
                  </w:r>
                </w:p>
              </w:tc>
            </w:tr>
            <w:tr w14:paraId="52D56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0D80D230">
                  <w:pPr>
                    <w:spacing w:line="0" w:lineRule="atLeast"/>
                    <w:jc w:val="center"/>
                    <w:rPr>
                      <w:color w:val="auto"/>
                      <w:spacing w:val="-10"/>
                      <w:szCs w:val="21"/>
                      <w:highlight w:val="none"/>
                    </w:rPr>
                  </w:pPr>
                  <w:r>
                    <w:rPr>
                      <w:color w:val="auto"/>
                      <w:spacing w:val="-10"/>
                      <w:szCs w:val="21"/>
                      <w:highlight w:val="none"/>
                    </w:rPr>
                    <w:t>北厂界</w:t>
                  </w:r>
                </w:p>
              </w:tc>
              <w:tc>
                <w:tcPr>
                  <w:tcW w:w="1131" w:type="pct"/>
                  <w:vAlign w:val="center"/>
                </w:tcPr>
                <w:p w14:paraId="1A51A3F3">
                  <w:pPr>
                    <w:spacing w:line="0" w:lineRule="atLeast"/>
                    <w:jc w:val="center"/>
                    <w:rPr>
                      <w:color w:val="auto"/>
                      <w:spacing w:val="-10"/>
                      <w:szCs w:val="21"/>
                      <w:highlight w:val="none"/>
                    </w:rPr>
                  </w:pPr>
                  <w:r>
                    <w:rPr>
                      <w:color w:val="auto"/>
                      <w:spacing w:val="-10"/>
                      <w:szCs w:val="21"/>
                      <w:highlight w:val="none"/>
                    </w:rPr>
                    <w:t>10.2</w:t>
                  </w:r>
                </w:p>
              </w:tc>
              <w:tc>
                <w:tcPr>
                  <w:tcW w:w="1584" w:type="pct"/>
                  <w:vMerge w:val="continue"/>
                  <w:vAlign w:val="center"/>
                </w:tcPr>
                <w:p w14:paraId="509A8F58">
                  <w:pPr>
                    <w:spacing w:line="0" w:lineRule="atLeast"/>
                    <w:jc w:val="center"/>
                    <w:rPr>
                      <w:color w:val="auto"/>
                      <w:spacing w:val="-10"/>
                      <w:szCs w:val="21"/>
                      <w:highlight w:val="none"/>
                    </w:rPr>
                  </w:pPr>
                </w:p>
              </w:tc>
              <w:tc>
                <w:tcPr>
                  <w:tcW w:w="1113" w:type="pct"/>
                  <w:vAlign w:val="center"/>
                </w:tcPr>
                <w:p w14:paraId="7779798E">
                  <w:pPr>
                    <w:spacing w:line="0" w:lineRule="atLeast"/>
                    <w:jc w:val="center"/>
                    <w:rPr>
                      <w:color w:val="auto"/>
                      <w:spacing w:val="-10"/>
                      <w:szCs w:val="21"/>
                      <w:highlight w:val="none"/>
                    </w:rPr>
                  </w:pPr>
                  <w:r>
                    <w:rPr>
                      <w:color w:val="auto"/>
                      <w:spacing w:val="-10"/>
                      <w:szCs w:val="21"/>
                      <w:highlight w:val="none"/>
                    </w:rPr>
                    <w:t>达标</w:t>
                  </w:r>
                </w:p>
              </w:tc>
            </w:tr>
          </w:tbl>
          <w:p w14:paraId="17B112A1">
            <w:pPr>
              <w:spacing w:before="240" w:line="360" w:lineRule="auto"/>
              <w:ind w:firstLine="480" w:firstLineChars="200"/>
              <w:rPr>
                <w:bCs/>
                <w:color w:val="auto"/>
                <w:sz w:val="24"/>
                <w:highlight w:val="none"/>
              </w:rPr>
            </w:pPr>
            <w:r>
              <w:rPr>
                <w:bCs/>
                <w:color w:val="auto"/>
                <w:sz w:val="24"/>
                <w:highlight w:val="none"/>
              </w:rPr>
              <w:t>设备噪声采取减振、隔声处理等措施后，对厂区各厂界噪声贡献值为18.6-30.2dB(A)，满足《工业企业厂界环境噪声排放标准》（GB12348-2008）1类标准，对环境产生影响较小。</w:t>
            </w:r>
          </w:p>
          <w:p w14:paraId="650BF265">
            <w:pPr>
              <w:adjustRightInd w:val="0"/>
              <w:snapToGrid w:val="0"/>
              <w:spacing w:line="360" w:lineRule="auto"/>
              <w:rPr>
                <w:b/>
                <w:bCs/>
                <w:color w:val="auto"/>
                <w:sz w:val="24"/>
                <w:highlight w:val="none"/>
              </w:rPr>
            </w:pPr>
            <w:r>
              <w:rPr>
                <w:b/>
                <w:bCs/>
                <w:color w:val="auto"/>
                <w:sz w:val="24"/>
                <w:highlight w:val="none"/>
              </w:rPr>
              <w:t>3.3噪声排放环境监测要求</w:t>
            </w:r>
          </w:p>
          <w:p w14:paraId="20CD80D9">
            <w:pPr>
              <w:pStyle w:val="9"/>
              <w:spacing w:after="0" w:line="360" w:lineRule="auto"/>
              <w:ind w:left="0" w:leftChars="0" w:firstLine="480" w:firstLineChars="200"/>
              <w:rPr>
                <w:color w:val="auto"/>
                <w:szCs w:val="24"/>
                <w:highlight w:val="none"/>
              </w:rPr>
            </w:pPr>
            <w:r>
              <w:rPr>
                <w:color w:val="auto"/>
                <w:szCs w:val="24"/>
                <w:highlight w:val="none"/>
              </w:rPr>
              <w:t>根据《排污单位自行监测技术指南 总则》（HJ819-2017）中相关要求，制定了本项目监测计划，具体见下表：</w:t>
            </w:r>
          </w:p>
          <w:p w14:paraId="25FCA5E9">
            <w:pPr>
              <w:pStyle w:val="29"/>
              <w:rPr>
                <w:color w:val="auto"/>
                <w:highlight w:val="none"/>
              </w:rPr>
            </w:pPr>
            <w:r>
              <w:rPr>
                <w:color w:val="auto"/>
                <w:highlight w:val="none"/>
              </w:rPr>
              <w:t>表4-1</w:t>
            </w:r>
            <w:r>
              <w:rPr>
                <w:rFonts w:hint="eastAsia"/>
                <w:color w:val="auto"/>
                <w:highlight w:val="none"/>
                <w:lang w:val="en-US" w:eastAsia="zh-CN"/>
              </w:rPr>
              <w:t>0</w:t>
            </w:r>
            <w:r>
              <w:rPr>
                <w:color w:val="auto"/>
                <w:highlight w:val="none"/>
              </w:rPr>
              <w:t xml:space="preserve"> 噪声环境监测计划一览表</w:t>
            </w:r>
          </w:p>
          <w:tbl>
            <w:tblPr>
              <w:tblStyle w:val="20"/>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
              <w:gridCol w:w="1137"/>
              <w:gridCol w:w="1482"/>
              <w:gridCol w:w="1362"/>
              <w:gridCol w:w="919"/>
              <w:gridCol w:w="2484"/>
            </w:tblGrid>
            <w:tr w14:paraId="2C53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25" w:type="pct"/>
                  <w:gridSpan w:val="2"/>
                  <w:vAlign w:val="center"/>
                </w:tcPr>
                <w:p w14:paraId="0D73026C">
                  <w:pPr>
                    <w:adjustRightInd w:val="0"/>
                    <w:snapToGrid w:val="0"/>
                    <w:jc w:val="center"/>
                    <w:rPr>
                      <w:b/>
                      <w:color w:val="auto"/>
                      <w:kern w:val="0"/>
                      <w:szCs w:val="21"/>
                      <w:highlight w:val="none"/>
                    </w:rPr>
                  </w:pPr>
                  <w:r>
                    <w:rPr>
                      <w:b/>
                      <w:color w:val="auto"/>
                      <w:kern w:val="0"/>
                      <w:szCs w:val="21"/>
                      <w:highlight w:val="none"/>
                    </w:rPr>
                    <w:t>类别</w:t>
                  </w:r>
                </w:p>
              </w:tc>
              <w:tc>
                <w:tcPr>
                  <w:tcW w:w="896" w:type="pct"/>
                  <w:vAlign w:val="center"/>
                </w:tcPr>
                <w:p w14:paraId="41653D76">
                  <w:pPr>
                    <w:adjustRightInd w:val="0"/>
                    <w:snapToGrid w:val="0"/>
                    <w:jc w:val="center"/>
                    <w:rPr>
                      <w:b/>
                      <w:color w:val="auto"/>
                      <w:kern w:val="0"/>
                      <w:szCs w:val="21"/>
                      <w:highlight w:val="none"/>
                    </w:rPr>
                  </w:pPr>
                  <w:r>
                    <w:rPr>
                      <w:b/>
                      <w:color w:val="auto"/>
                      <w:kern w:val="0"/>
                      <w:szCs w:val="21"/>
                      <w:highlight w:val="none"/>
                    </w:rPr>
                    <w:t>监测项目</w:t>
                  </w:r>
                </w:p>
              </w:tc>
              <w:tc>
                <w:tcPr>
                  <w:tcW w:w="823" w:type="pct"/>
                  <w:vAlign w:val="center"/>
                </w:tcPr>
                <w:p w14:paraId="602B20EC">
                  <w:pPr>
                    <w:adjustRightInd w:val="0"/>
                    <w:snapToGrid w:val="0"/>
                    <w:jc w:val="center"/>
                    <w:rPr>
                      <w:b/>
                      <w:color w:val="auto"/>
                      <w:kern w:val="0"/>
                      <w:szCs w:val="21"/>
                      <w:highlight w:val="none"/>
                    </w:rPr>
                  </w:pPr>
                  <w:r>
                    <w:rPr>
                      <w:b/>
                      <w:color w:val="auto"/>
                      <w:kern w:val="0"/>
                      <w:szCs w:val="21"/>
                      <w:highlight w:val="none"/>
                    </w:rPr>
                    <w:t>监测点位置</w:t>
                  </w:r>
                </w:p>
              </w:tc>
              <w:tc>
                <w:tcPr>
                  <w:tcW w:w="555" w:type="pct"/>
                  <w:vAlign w:val="center"/>
                </w:tcPr>
                <w:p w14:paraId="58FDC9C3">
                  <w:pPr>
                    <w:adjustRightInd w:val="0"/>
                    <w:snapToGrid w:val="0"/>
                    <w:jc w:val="center"/>
                    <w:rPr>
                      <w:b/>
                      <w:color w:val="auto"/>
                      <w:kern w:val="0"/>
                      <w:szCs w:val="21"/>
                      <w:highlight w:val="none"/>
                    </w:rPr>
                  </w:pPr>
                  <w:r>
                    <w:rPr>
                      <w:b/>
                      <w:color w:val="auto"/>
                      <w:kern w:val="0"/>
                      <w:szCs w:val="21"/>
                      <w:highlight w:val="none"/>
                    </w:rPr>
                    <w:t>监测频率</w:t>
                  </w:r>
                </w:p>
              </w:tc>
              <w:tc>
                <w:tcPr>
                  <w:tcW w:w="1501" w:type="pct"/>
                  <w:vAlign w:val="center"/>
                </w:tcPr>
                <w:p w14:paraId="41A130F9">
                  <w:pPr>
                    <w:adjustRightInd w:val="0"/>
                    <w:snapToGrid w:val="0"/>
                    <w:jc w:val="center"/>
                    <w:rPr>
                      <w:b/>
                      <w:color w:val="auto"/>
                      <w:kern w:val="0"/>
                      <w:szCs w:val="21"/>
                      <w:highlight w:val="none"/>
                    </w:rPr>
                  </w:pPr>
                  <w:r>
                    <w:rPr>
                      <w:b/>
                      <w:color w:val="auto"/>
                      <w:kern w:val="0"/>
                      <w:szCs w:val="21"/>
                      <w:highlight w:val="none"/>
                    </w:rPr>
                    <w:t>执行标准</w:t>
                  </w:r>
                </w:p>
              </w:tc>
            </w:tr>
            <w:tr w14:paraId="646DE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38" w:type="pct"/>
                  <w:vAlign w:val="center"/>
                </w:tcPr>
                <w:p w14:paraId="3E9D0927">
                  <w:pPr>
                    <w:adjustRightInd w:val="0"/>
                    <w:snapToGrid w:val="0"/>
                    <w:jc w:val="center"/>
                    <w:rPr>
                      <w:bCs/>
                      <w:color w:val="auto"/>
                      <w:kern w:val="0"/>
                      <w:szCs w:val="21"/>
                      <w:highlight w:val="none"/>
                    </w:rPr>
                  </w:pPr>
                  <w:r>
                    <w:rPr>
                      <w:bCs/>
                      <w:color w:val="auto"/>
                      <w:kern w:val="0"/>
                      <w:szCs w:val="21"/>
                      <w:highlight w:val="none"/>
                    </w:rPr>
                    <w:t>噪声</w:t>
                  </w:r>
                </w:p>
              </w:tc>
              <w:tc>
                <w:tcPr>
                  <w:tcW w:w="687" w:type="pct"/>
                  <w:vAlign w:val="center"/>
                </w:tcPr>
                <w:p w14:paraId="35CE589E">
                  <w:pPr>
                    <w:adjustRightInd w:val="0"/>
                    <w:snapToGrid w:val="0"/>
                    <w:jc w:val="center"/>
                    <w:rPr>
                      <w:bCs/>
                      <w:color w:val="auto"/>
                      <w:kern w:val="0"/>
                      <w:szCs w:val="21"/>
                      <w:highlight w:val="none"/>
                    </w:rPr>
                  </w:pPr>
                  <w:r>
                    <w:rPr>
                      <w:bCs/>
                      <w:color w:val="auto"/>
                      <w:kern w:val="0"/>
                      <w:szCs w:val="21"/>
                      <w:highlight w:val="none"/>
                    </w:rPr>
                    <w:t>厂界</w:t>
                  </w:r>
                </w:p>
              </w:tc>
              <w:tc>
                <w:tcPr>
                  <w:tcW w:w="896" w:type="pct"/>
                  <w:vAlign w:val="center"/>
                </w:tcPr>
                <w:p w14:paraId="6CCE4A8A">
                  <w:pPr>
                    <w:adjustRightInd w:val="0"/>
                    <w:snapToGrid w:val="0"/>
                    <w:jc w:val="center"/>
                    <w:rPr>
                      <w:bCs/>
                      <w:color w:val="auto"/>
                      <w:kern w:val="0"/>
                      <w:szCs w:val="21"/>
                      <w:highlight w:val="none"/>
                    </w:rPr>
                  </w:pPr>
                  <w:r>
                    <w:rPr>
                      <w:bCs/>
                      <w:color w:val="auto"/>
                      <w:kern w:val="0"/>
                      <w:szCs w:val="21"/>
                      <w:highlight w:val="none"/>
                    </w:rPr>
                    <w:t>Leq（A）</w:t>
                  </w:r>
                </w:p>
              </w:tc>
              <w:tc>
                <w:tcPr>
                  <w:tcW w:w="823" w:type="pct"/>
                  <w:vAlign w:val="center"/>
                </w:tcPr>
                <w:p w14:paraId="6B588FA3">
                  <w:pPr>
                    <w:adjustRightInd w:val="0"/>
                    <w:snapToGrid w:val="0"/>
                    <w:jc w:val="center"/>
                    <w:rPr>
                      <w:bCs/>
                      <w:color w:val="auto"/>
                      <w:kern w:val="0"/>
                      <w:szCs w:val="21"/>
                      <w:highlight w:val="none"/>
                    </w:rPr>
                  </w:pPr>
                  <w:r>
                    <w:rPr>
                      <w:bCs/>
                      <w:color w:val="auto"/>
                      <w:kern w:val="0"/>
                      <w:szCs w:val="21"/>
                      <w:highlight w:val="none"/>
                    </w:rPr>
                    <w:t>厂界四周</w:t>
                  </w:r>
                </w:p>
              </w:tc>
              <w:tc>
                <w:tcPr>
                  <w:tcW w:w="555" w:type="pct"/>
                  <w:vAlign w:val="center"/>
                </w:tcPr>
                <w:p w14:paraId="7F8BAC9B">
                  <w:pPr>
                    <w:adjustRightInd w:val="0"/>
                    <w:snapToGrid w:val="0"/>
                    <w:jc w:val="center"/>
                    <w:rPr>
                      <w:bCs/>
                      <w:color w:val="auto"/>
                      <w:kern w:val="0"/>
                      <w:szCs w:val="21"/>
                      <w:highlight w:val="none"/>
                    </w:rPr>
                  </w:pPr>
                  <w:r>
                    <w:rPr>
                      <w:bCs/>
                      <w:color w:val="auto"/>
                      <w:kern w:val="0"/>
                      <w:szCs w:val="21"/>
                      <w:highlight w:val="none"/>
                    </w:rPr>
                    <w:t>1次/季度</w:t>
                  </w:r>
                </w:p>
              </w:tc>
              <w:tc>
                <w:tcPr>
                  <w:tcW w:w="1501" w:type="pct"/>
                  <w:vAlign w:val="center"/>
                </w:tcPr>
                <w:p w14:paraId="3EDD0941">
                  <w:pPr>
                    <w:adjustRightInd w:val="0"/>
                    <w:snapToGrid w:val="0"/>
                    <w:jc w:val="center"/>
                    <w:rPr>
                      <w:rFonts w:hint="eastAsia" w:eastAsia="宋体"/>
                      <w:bCs/>
                      <w:color w:val="auto"/>
                      <w:kern w:val="0"/>
                      <w:szCs w:val="21"/>
                      <w:highlight w:val="none"/>
                      <w:lang w:eastAsia="zh-CN"/>
                    </w:rPr>
                  </w:pPr>
                  <w:r>
                    <w:rPr>
                      <w:bCs/>
                      <w:color w:val="auto"/>
                      <w:kern w:val="0"/>
                      <w:szCs w:val="21"/>
                      <w:highlight w:val="none"/>
                    </w:rPr>
                    <w:t>《工业企业厂界环境噪声排放标准》（GB12348-2008）1类标准</w:t>
                  </w:r>
                  <w:r>
                    <w:rPr>
                      <w:rFonts w:hint="eastAsia"/>
                      <w:bCs/>
                      <w:color w:val="auto"/>
                      <w:kern w:val="0"/>
                      <w:szCs w:val="21"/>
                      <w:highlight w:val="none"/>
                      <w:lang w:eastAsia="zh-CN"/>
                    </w:rPr>
                    <w:t>。</w:t>
                  </w:r>
                </w:p>
              </w:tc>
            </w:tr>
          </w:tbl>
          <w:p w14:paraId="0BD25F24">
            <w:pPr>
              <w:spacing w:before="240" w:line="360" w:lineRule="auto"/>
              <w:rPr>
                <w:bCs/>
                <w:color w:val="auto"/>
                <w:sz w:val="24"/>
                <w:highlight w:val="none"/>
              </w:rPr>
            </w:pPr>
            <w:r>
              <w:rPr>
                <w:b/>
                <w:color w:val="auto"/>
                <w:kern w:val="0"/>
                <w:sz w:val="24"/>
                <w:highlight w:val="none"/>
              </w:rPr>
              <w:t>4.固体废物</w:t>
            </w:r>
          </w:p>
          <w:p w14:paraId="464B177F">
            <w:pPr>
              <w:spacing w:line="360" w:lineRule="auto"/>
              <w:ind w:firstLine="480" w:firstLineChars="200"/>
              <w:rPr>
                <w:color w:val="auto"/>
                <w:sz w:val="24"/>
                <w:highlight w:val="none"/>
              </w:rPr>
            </w:pPr>
            <w:r>
              <w:rPr>
                <w:color w:val="auto"/>
                <w:sz w:val="24"/>
                <w:highlight w:val="none"/>
              </w:rPr>
              <w:t>本项目固体废物主要有：生活垃圾、</w:t>
            </w:r>
            <w:r>
              <w:rPr>
                <w:rFonts w:hint="eastAsia"/>
                <w:color w:val="auto"/>
                <w:sz w:val="24"/>
                <w:highlight w:val="none"/>
                <w:lang w:eastAsia="zh-CN"/>
              </w:rPr>
              <w:t>除尘灰（含废活性炭）</w:t>
            </w:r>
            <w:r>
              <w:rPr>
                <w:color w:val="auto"/>
                <w:sz w:val="24"/>
                <w:highlight w:val="none"/>
              </w:rPr>
              <w:t>、焚烧炉渣、</w:t>
            </w:r>
            <w:r>
              <w:rPr>
                <w:rFonts w:hint="eastAsia"/>
                <w:color w:val="auto"/>
                <w:sz w:val="24"/>
                <w:highlight w:val="none"/>
              </w:rPr>
              <w:t>除酸废渣、</w:t>
            </w:r>
            <w:r>
              <w:rPr>
                <w:color w:val="auto"/>
                <w:sz w:val="24"/>
                <w:highlight w:val="none"/>
              </w:rPr>
              <w:t>废</w:t>
            </w:r>
            <w:r>
              <w:rPr>
                <w:rFonts w:hint="eastAsia"/>
                <w:color w:val="auto"/>
                <w:sz w:val="24"/>
                <w:highlight w:val="none"/>
              </w:rPr>
              <w:t>布袋</w:t>
            </w:r>
            <w:r>
              <w:rPr>
                <w:rFonts w:hint="eastAsia"/>
                <w:color w:val="auto"/>
                <w:sz w:val="24"/>
                <w:highlight w:val="none"/>
                <w:lang w:eastAsia="zh-CN"/>
              </w:rPr>
              <w:t>、</w:t>
            </w:r>
            <w:r>
              <w:rPr>
                <w:rFonts w:hint="eastAsia"/>
                <w:color w:val="auto"/>
                <w:sz w:val="24"/>
                <w:highlight w:val="none"/>
                <w:lang w:val="en-US" w:eastAsia="zh-CN"/>
              </w:rPr>
              <w:t>废矿物油、废油桶</w:t>
            </w:r>
            <w:r>
              <w:rPr>
                <w:color w:val="auto"/>
                <w:sz w:val="24"/>
                <w:highlight w:val="none"/>
              </w:rPr>
              <w:t>等。</w:t>
            </w:r>
          </w:p>
          <w:p w14:paraId="7C6FAE67">
            <w:pPr>
              <w:spacing w:line="360" w:lineRule="auto"/>
              <w:ind w:firstLine="480" w:firstLineChars="200"/>
              <w:rPr>
                <w:color w:val="auto"/>
                <w:sz w:val="24"/>
                <w:highlight w:val="none"/>
              </w:rPr>
            </w:pPr>
            <w:r>
              <w:rPr>
                <w:color w:val="auto"/>
                <w:sz w:val="24"/>
                <w:highlight w:val="none"/>
              </w:rPr>
              <w:t>（1）生活垃圾</w:t>
            </w:r>
          </w:p>
          <w:p w14:paraId="0BAF23D7">
            <w:pPr>
              <w:spacing w:line="360" w:lineRule="auto"/>
              <w:ind w:firstLine="480" w:firstLineChars="200"/>
              <w:rPr>
                <w:color w:val="auto"/>
                <w:sz w:val="24"/>
                <w:highlight w:val="none"/>
              </w:rPr>
            </w:pPr>
            <w:r>
              <w:rPr>
                <w:color w:val="auto"/>
                <w:sz w:val="24"/>
                <w:highlight w:val="none"/>
              </w:rPr>
              <w:t>生活垃圾主要为殡仪馆工作人员以及外来人员所产生，产生量为15.33t/a，经厂内垃圾箱收集后交由当地环卫部门定期清运处理。</w:t>
            </w:r>
          </w:p>
          <w:p w14:paraId="3DCF60E5">
            <w:pPr>
              <w:spacing w:line="360" w:lineRule="auto"/>
              <w:ind w:firstLine="480" w:firstLineChars="200"/>
              <w:rPr>
                <w:color w:val="auto"/>
                <w:sz w:val="24"/>
                <w:highlight w:val="none"/>
              </w:rPr>
            </w:pPr>
            <w:r>
              <w:rPr>
                <w:color w:val="auto"/>
                <w:sz w:val="24"/>
                <w:highlight w:val="none"/>
              </w:rPr>
              <w:t>（2）危险废物</w:t>
            </w:r>
          </w:p>
          <w:p w14:paraId="09DF6AF9">
            <w:pPr>
              <w:spacing w:line="360" w:lineRule="auto"/>
              <w:ind w:firstLine="480" w:firstLineChars="200"/>
              <w:rPr>
                <w:rFonts w:hint="eastAsia" w:eastAsia="宋体"/>
                <w:color w:val="auto"/>
                <w:sz w:val="24"/>
                <w:highlight w:val="none"/>
                <w:lang w:eastAsia="zh-CN"/>
              </w:rPr>
            </w:pPr>
            <w:r>
              <w:rPr>
                <w:color w:val="auto"/>
                <w:sz w:val="24"/>
                <w:highlight w:val="none"/>
              </w:rPr>
              <w:t>①</w:t>
            </w:r>
            <w:r>
              <w:rPr>
                <w:rFonts w:hint="eastAsia"/>
                <w:color w:val="auto"/>
                <w:sz w:val="24"/>
                <w:highlight w:val="none"/>
              </w:rPr>
              <w:t>除尘灰</w:t>
            </w:r>
            <w:r>
              <w:rPr>
                <w:rFonts w:hint="eastAsia"/>
                <w:color w:val="auto"/>
                <w:sz w:val="24"/>
                <w:highlight w:val="none"/>
                <w:lang w:eastAsia="zh-CN"/>
              </w:rPr>
              <w:t>（</w:t>
            </w:r>
            <w:r>
              <w:rPr>
                <w:rFonts w:hint="eastAsia"/>
                <w:color w:val="auto"/>
                <w:sz w:val="24"/>
                <w:highlight w:val="none"/>
                <w:lang w:val="en-US" w:eastAsia="zh-CN"/>
              </w:rPr>
              <w:t>含废活性炭</w:t>
            </w:r>
            <w:r>
              <w:rPr>
                <w:rFonts w:hint="eastAsia"/>
                <w:color w:val="auto"/>
                <w:sz w:val="24"/>
                <w:highlight w:val="none"/>
                <w:lang w:eastAsia="zh-CN"/>
              </w:rPr>
              <w:t>）</w:t>
            </w:r>
          </w:p>
          <w:p w14:paraId="3D4C8F8B">
            <w:pPr>
              <w:spacing w:line="360" w:lineRule="auto"/>
              <w:ind w:firstLine="480" w:firstLineChars="200"/>
              <w:rPr>
                <w:color w:val="auto"/>
                <w:sz w:val="24"/>
                <w:highlight w:val="none"/>
              </w:rPr>
            </w:pPr>
            <w:r>
              <w:rPr>
                <w:color w:val="auto"/>
                <w:sz w:val="24"/>
                <w:highlight w:val="none"/>
              </w:rPr>
              <w:t>本项目</w:t>
            </w:r>
            <w:r>
              <w:rPr>
                <w:rFonts w:hint="eastAsia"/>
                <w:color w:val="auto"/>
                <w:sz w:val="24"/>
                <w:highlight w:val="none"/>
              </w:rPr>
              <w:t>将</w:t>
            </w:r>
            <w:r>
              <w:rPr>
                <w:color w:val="auto"/>
                <w:sz w:val="24"/>
                <w:highlight w:val="none"/>
              </w:rPr>
              <w:t>活性炭</w:t>
            </w:r>
            <w:r>
              <w:rPr>
                <w:rFonts w:hint="eastAsia"/>
                <w:color w:val="auto"/>
                <w:sz w:val="24"/>
                <w:highlight w:val="none"/>
              </w:rPr>
              <w:t>喷射</w:t>
            </w:r>
            <w:r>
              <w:rPr>
                <w:color w:val="auto"/>
                <w:sz w:val="24"/>
                <w:highlight w:val="none"/>
              </w:rPr>
              <w:t>在废气里对氯化氢、汞以及二噁英进行吸附，废活性炭产生量约为0.</w:t>
            </w:r>
            <w:r>
              <w:rPr>
                <w:rFonts w:hint="eastAsia"/>
                <w:color w:val="auto"/>
                <w:sz w:val="24"/>
                <w:highlight w:val="none"/>
                <w:lang w:val="en-US" w:eastAsia="zh-CN"/>
              </w:rPr>
              <w:t>3</w:t>
            </w:r>
            <w:r>
              <w:rPr>
                <w:color w:val="auto"/>
                <w:sz w:val="24"/>
                <w:highlight w:val="none"/>
              </w:rPr>
              <w:t>t/a，</w:t>
            </w:r>
            <w:r>
              <w:rPr>
                <w:rFonts w:hint="eastAsia"/>
                <w:color w:val="auto"/>
                <w:sz w:val="24"/>
                <w:highlight w:val="none"/>
              </w:rPr>
              <w:t>焚烧飞灰</w:t>
            </w:r>
            <w:r>
              <w:rPr>
                <w:color w:val="auto"/>
                <w:sz w:val="24"/>
                <w:highlight w:val="none"/>
              </w:rPr>
              <w:t>产生量为0.</w:t>
            </w:r>
            <w:r>
              <w:rPr>
                <w:rFonts w:hint="eastAsia"/>
                <w:color w:val="auto"/>
                <w:sz w:val="24"/>
                <w:highlight w:val="none"/>
              </w:rPr>
              <w:t>36</w:t>
            </w:r>
            <w:r>
              <w:rPr>
                <w:color w:val="auto"/>
                <w:sz w:val="24"/>
                <w:highlight w:val="none"/>
              </w:rPr>
              <w:t>t/a，</w:t>
            </w:r>
            <w:r>
              <w:rPr>
                <w:rFonts w:hint="eastAsia"/>
                <w:color w:val="auto"/>
                <w:sz w:val="24"/>
                <w:highlight w:val="none"/>
              </w:rPr>
              <w:t>合计除尘灰产生量为</w:t>
            </w:r>
            <w:r>
              <w:rPr>
                <w:rFonts w:hint="eastAsia"/>
                <w:color w:val="auto"/>
                <w:sz w:val="24"/>
                <w:highlight w:val="none"/>
                <w:lang w:eastAsia="zh-CN"/>
              </w:rPr>
              <w:t>0.66</w:t>
            </w:r>
            <w:r>
              <w:rPr>
                <w:rFonts w:hint="eastAsia"/>
                <w:color w:val="auto"/>
                <w:sz w:val="24"/>
                <w:highlight w:val="none"/>
              </w:rPr>
              <w:t>t/a，二者经由布袋收集。</w:t>
            </w:r>
            <w:r>
              <w:rPr>
                <w:color w:val="auto"/>
                <w:sz w:val="24"/>
                <w:highlight w:val="none"/>
              </w:rPr>
              <w:t>属于危险废物，废物类别为HW18，危废代码为772-002-18</w:t>
            </w:r>
            <w:r>
              <w:rPr>
                <w:rFonts w:hint="eastAsia"/>
                <w:color w:val="auto"/>
                <w:sz w:val="24"/>
                <w:highlight w:val="none"/>
              </w:rPr>
              <w:t>、772-005-18</w:t>
            </w:r>
            <w:r>
              <w:rPr>
                <w:color w:val="auto"/>
                <w:sz w:val="24"/>
                <w:highlight w:val="none"/>
              </w:rPr>
              <w:t>，集中收集至危废暂存间暂存</w:t>
            </w:r>
            <w:r>
              <w:rPr>
                <w:rFonts w:hint="eastAsia"/>
                <w:color w:val="auto"/>
                <w:sz w:val="24"/>
                <w:highlight w:val="none"/>
              </w:rPr>
              <w:t>，最终交有资质单位处置</w:t>
            </w:r>
            <w:r>
              <w:rPr>
                <w:color w:val="auto"/>
                <w:sz w:val="24"/>
                <w:highlight w:val="none"/>
              </w:rPr>
              <w:t>。</w:t>
            </w:r>
          </w:p>
          <w:p w14:paraId="62A6FAA6">
            <w:pPr>
              <w:spacing w:line="360" w:lineRule="auto"/>
              <w:ind w:firstLine="480" w:firstLineChars="200"/>
              <w:rPr>
                <w:color w:val="auto"/>
                <w:sz w:val="24"/>
                <w:highlight w:val="none"/>
              </w:rPr>
            </w:pPr>
            <w:r>
              <w:rPr>
                <w:color w:val="auto"/>
                <w:sz w:val="24"/>
                <w:highlight w:val="none"/>
              </w:rPr>
              <w:t>②焚烧炉渣</w:t>
            </w:r>
          </w:p>
          <w:p w14:paraId="40258451">
            <w:pPr>
              <w:spacing w:line="360" w:lineRule="auto"/>
              <w:ind w:firstLine="480" w:firstLineChars="200"/>
              <w:rPr>
                <w:color w:val="auto"/>
                <w:sz w:val="24"/>
                <w:highlight w:val="none"/>
              </w:rPr>
            </w:pPr>
            <w:r>
              <w:rPr>
                <w:color w:val="auto"/>
                <w:sz w:val="24"/>
                <w:highlight w:val="none"/>
              </w:rPr>
              <w:t>遗物</w:t>
            </w:r>
            <w:r>
              <w:rPr>
                <w:rFonts w:hint="eastAsia"/>
                <w:color w:val="auto"/>
                <w:sz w:val="24"/>
                <w:highlight w:val="none"/>
                <w:lang w:eastAsia="zh-CN"/>
              </w:rPr>
              <w:t>及</w:t>
            </w:r>
            <w:r>
              <w:rPr>
                <w:color w:val="auto"/>
                <w:sz w:val="24"/>
                <w:highlight w:val="none"/>
              </w:rPr>
              <w:t>祭品焚烧后会产生焚烧炉渣，产生量约为0.13t/a，遗物及祭品焚烧灰渣与飞灰成分基本相同，属于危险废物，废物类别为HW18，危废代码为772-003-18，集中收集至危废暂存间暂存，</w:t>
            </w:r>
            <w:r>
              <w:rPr>
                <w:rFonts w:hint="eastAsia"/>
                <w:color w:val="auto"/>
                <w:sz w:val="24"/>
                <w:highlight w:val="none"/>
              </w:rPr>
              <w:t>最终交有资质单位处置</w:t>
            </w:r>
            <w:r>
              <w:rPr>
                <w:color w:val="auto"/>
                <w:sz w:val="24"/>
                <w:highlight w:val="none"/>
              </w:rPr>
              <w:t>。</w:t>
            </w:r>
          </w:p>
          <w:p w14:paraId="5B66DEC2">
            <w:pPr>
              <w:spacing w:line="360" w:lineRule="auto"/>
              <w:ind w:firstLine="480" w:firstLineChars="200"/>
              <w:rPr>
                <w:color w:val="auto"/>
                <w:sz w:val="24"/>
                <w:highlight w:val="none"/>
              </w:rPr>
            </w:pPr>
            <w:r>
              <w:rPr>
                <w:color w:val="auto"/>
                <w:sz w:val="24"/>
                <w:highlight w:val="none"/>
              </w:rPr>
              <w:t>③</w:t>
            </w:r>
            <w:r>
              <w:rPr>
                <w:rFonts w:hint="eastAsia"/>
                <w:color w:val="auto"/>
                <w:sz w:val="24"/>
                <w:highlight w:val="none"/>
              </w:rPr>
              <w:t>除酸废渣</w:t>
            </w:r>
          </w:p>
          <w:p w14:paraId="2D3A7AED">
            <w:pPr>
              <w:spacing w:line="360" w:lineRule="auto"/>
              <w:ind w:firstLine="480" w:firstLineChars="200"/>
              <w:rPr>
                <w:color w:val="auto"/>
                <w:sz w:val="24"/>
                <w:highlight w:val="none"/>
              </w:rPr>
            </w:pPr>
            <w:r>
              <w:rPr>
                <w:rFonts w:hint="eastAsia"/>
                <w:color w:val="auto"/>
                <w:sz w:val="24"/>
                <w:highlight w:val="none"/>
              </w:rPr>
              <w:t>除酸废渣属于危险废物，产生量约为0.</w:t>
            </w:r>
            <w:r>
              <w:rPr>
                <w:rFonts w:hint="eastAsia"/>
                <w:color w:val="auto"/>
                <w:sz w:val="24"/>
                <w:highlight w:val="none"/>
                <w:lang w:val="en-US" w:eastAsia="zh-CN"/>
              </w:rPr>
              <w:t>3</w:t>
            </w:r>
            <w:r>
              <w:rPr>
                <w:rFonts w:hint="eastAsia"/>
                <w:color w:val="auto"/>
                <w:sz w:val="24"/>
                <w:highlight w:val="none"/>
              </w:rPr>
              <w:t>t/a，废物类别为HW49，危废代码为900-041-49，集中收集至危废暂存间内，最终交有资质单位处置。</w:t>
            </w:r>
          </w:p>
          <w:p w14:paraId="7BEBC5D3">
            <w:pPr>
              <w:spacing w:line="360" w:lineRule="auto"/>
              <w:ind w:firstLine="480" w:firstLineChars="200"/>
              <w:rPr>
                <w:color w:val="auto"/>
                <w:sz w:val="24"/>
                <w:highlight w:val="none"/>
              </w:rPr>
            </w:pPr>
            <w:r>
              <w:rPr>
                <w:rFonts w:hint="eastAsia"/>
                <w:color w:val="auto"/>
                <w:sz w:val="24"/>
                <w:highlight w:val="none"/>
              </w:rPr>
              <w:t>④</w:t>
            </w:r>
            <w:r>
              <w:rPr>
                <w:color w:val="auto"/>
                <w:sz w:val="24"/>
                <w:highlight w:val="none"/>
              </w:rPr>
              <w:t>废</w:t>
            </w:r>
            <w:r>
              <w:rPr>
                <w:rFonts w:hint="eastAsia"/>
                <w:color w:val="auto"/>
                <w:sz w:val="24"/>
                <w:highlight w:val="none"/>
              </w:rPr>
              <w:t>布袋</w:t>
            </w:r>
          </w:p>
          <w:p w14:paraId="4DDED18F">
            <w:pPr>
              <w:spacing w:line="360" w:lineRule="auto"/>
              <w:ind w:firstLine="480" w:firstLineChars="200"/>
              <w:rPr>
                <w:color w:val="auto"/>
                <w:sz w:val="24"/>
                <w:highlight w:val="none"/>
              </w:rPr>
            </w:pPr>
            <w:r>
              <w:rPr>
                <w:rFonts w:hint="eastAsia"/>
                <w:color w:val="auto"/>
                <w:sz w:val="24"/>
                <w:highlight w:val="none"/>
              </w:rPr>
              <w:t>除尘器</w:t>
            </w:r>
            <w:r>
              <w:rPr>
                <w:color w:val="auto"/>
                <w:sz w:val="24"/>
                <w:highlight w:val="none"/>
              </w:rPr>
              <w:t>废</w:t>
            </w:r>
            <w:r>
              <w:rPr>
                <w:rFonts w:hint="eastAsia"/>
                <w:color w:val="auto"/>
                <w:sz w:val="24"/>
                <w:highlight w:val="none"/>
              </w:rPr>
              <w:t>布袋</w:t>
            </w:r>
            <w:r>
              <w:rPr>
                <w:color w:val="auto"/>
                <w:sz w:val="24"/>
                <w:highlight w:val="none"/>
              </w:rPr>
              <w:t>属于危险废物，产生量约为</w:t>
            </w:r>
            <w:r>
              <w:rPr>
                <w:rFonts w:hint="eastAsia"/>
                <w:color w:val="auto"/>
                <w:sz w:val="24"/>
                <w:highlight w:val="none"/>
              </w:rPr>
              <w:t>2个</w:t>
            </w:r>
            <w:r>
              <w:rPr>
                <w:color w:val="auto"/>
                <w:sz w:val="24"/>
                <w:highlight w:val="none"/>
              </w:rPr>
              <w:t>/a，废物类别为</w:t>
            </w:r>
            <w:r>
              <w:rPr>
                <w:rFonts w:hint="eastAsia"/>
                <w:color w:val="auto"/>
                <w:sz w:val="24"/>
                <w:highlight w:val="none"/>
              </w:rPr>
              <w:t>HW49，危废代码为900-041-49</w:t>
            </w:r>
            <w:r>
              <w:rPr>
                <w:color w:val="auto"/>
                <w:sz w:val="24"/>
                <w:highlight w:val="none"/>
              </w:rPr>
              <w:t>，集中收集至危废暂存间内，最终交有资质单位处置。</w:t>
            </w:r>
          </w:p>
          <w:p w14:paraId="79CA859A">
            <w:pPr>
              <w:spacing w:line="360" w:lineRule="auto"/>
              <w:ind w:firstLine="480" w:firstLineChars="200"/>
              <w:rPr>
                <w:rFonts w:hint="eastAsia"/>
                <w:color w:val="auto"/>
                <w:sz w:val="24"/>
                <w:highlight w:val="none"/>
                <w:lang w:val="en-US" w:eastAsia="zh-CN"/>
              </w:rPr>
            </w:pPr>
            <w:r>
              <w:rPr>
                <w:rFonts w:hint="eastAsia"/>
                <w:color w:val="auto"/>
                <w:sz w:val="24"/>
                <w:highlight w:val="none"/>
                <w:lang w:val="en-US" w:eastAsia="zh-CN"/>
              </w:rPr>
              <w:t>⑤废矿物油、废油桶</w:t>
            </w:r>
          </w:p>
          <w:p w14:paraId="1925CED2">
            <w:pPr>
              <w:spacing w:line="360" w:lineRule="auto"/>
              <w:ind w:firstLine="480" w:firstLineChars="200"/>
              <w:rPr>
                <w:color w:val="auto"/>
                <w:sz w:val="24"/>
                <w:highlight w:val="none"/>
              </w:rPr>
            </w:pPr>
            <w:r>
              <w:rPr>
                <w:rFonts w:hint="default"/>
                <w:color w:val="auto"/>
                <w:sz w:val="24"/>
                <w:highlight w:val="none"/>
                <w:lang w:val="en-US" w:eastAsia="zh-CN"/>
              </w:rPr>
              <w:t>设备保养维修产生的少量废矿物油</w:t>
            </w:r>
            <w:r>
              <w:rPr>
                <w:rFonts w:hint="eastAsia"/>
                <w:color w:val="auto"/>
                <w:sz w:val="24"/>
                <w:highlight w:val="none"/>
                <w:lang w:val="en-US" w:eastAsia="zh-CN"/>
              </w:rPr>
              <w:t>，产生量约为0.02t/a，废油桶产生量约为3个/a，废物类别HW08，危废代码为900-249-08。</w:t>
            </w:r>
            <w:r>
              <w:rPr>
                <w:rFonts w:hint="default"/>
                <w:color w:val="auto"/>
                <w:sz w:val="24"/>
                <w:highlight w:val="none"/>
                <w:lang w:val="en-US" w:eastAsia="zh-CN"/>
              </w:rPr>
              <w:t>集中收集至危废暂存间内，最终交有资质单位处置。</w:t>
            </w:r>
          </w:p>
          <w:p w14:paraId="211DD89C">
            <w:pPr>
              <w:spacing w:line="360" w:lineRule="auto"/>
              <w:ind w:firstLine="480" w:firstLineChars="200"/>
              <w:rPr>
                <w:color w:val="auto"/>
                <w:sz w:val="24"/>
                <w:highlight w:val="none"/>
              </w:rPr>
            </w:pPr>
            <w:r>
              <w:rPr>
                <w:color w:val="auto"/>
                <w:sz w:val="24"/>
                <w:highlight w:val="none"/>
              </w:rPr>
              <w:t>各类固体废物产生量及处置措施见表4-1</w:t>
            </w:r>
            <w:r>
              <w:rPr>
                <w:rFonts w:hint="eastAsia"/>
                <w:color w:val="auto"/>
                <w:sz w:val="24"/>
                <w:highlight w:val="none"/>
                <w:lang w:val="en-US" w:eastAsia="zh-CN"/>
              </w:rPr>
              <w:t>1</w:t>
            </w:r>
            <w:r>
              <w:rPr>
                <w:color w:val="auto"/>
                <w:sz w:val="24"/>
                <w:highlight w:val="none"/>
              </w:rPr>
              <w:t>。</w:t>
            </w:r>
          </w:p>
          <w:p w14:paraId="7B8ADEE0">
            <w:pPr>
              <w:pStyle w:val="29"/>
              <w:rPr>
                <w:color w:val="auto"/>
                <w:szCs w:val="21"/>
                <w:highlight w:val="none"/>
              </w:rPr>
            </w:pPr>
            <w:r>
              <w:rPr>
                <w:color w:val="auto"/>
                <w:highlight w:val="none"/>
              </w:rPr>
              <w:t>表4-1</w:t>
            </w:r>
            <w:r>
              <w:rPr>
                <w:rFonts w:hint="eastAsia"/>
                <w:color w:val="auto"/>
                <w:highlight w:val="none"/>
                <w:lang w:val="en-US" w:eastAsia="zh-CN"/>
              </w:rPr>
              <w:t>1</w:t>
            </w:r>
            <w:r>
              <w:rPr>
                <w:color w:val="auto"/>
                <w:highlight w:val="none"/>
              </w:rPr>
              <w:t xml:space="preserve"> 固体废物产污环节及利用或处置情况一览表</w:t>
            </w:r>
          </w:p>
          <w:tbl>
            <w:tblPr>
              <w:tblStyle w:val="20"/>
              <w:tblW w:w="8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124"/>
              <w:gridCol w:w="1055"/>
              <w:gridCol w:w="1320"/>
              <w:gridCol w:w="2027"/>
              <w:gridCol w:w="1758"/>
            </w:tblGrid>
            <w:tr w14:paraId="7B7A2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281" w:type="pct"/>
                  <w:tcBorders>
                    <w:tl2br w:val="nil"/>
                    <w:tr2bl w:val="nil"/>
                  </w:tcBorders>
                  <w:vAlign w:val="center"/>
                </w:tcPr>
                <w:p w14:paraId="0CCC4635">
                  <w:pPr>
                    <w:adjustRightInd w:val="0"/>
                    <w:snapToGrid w:val="0"/>
                    <w:jc w:val="center"/>
                    <w:rPr>
                      <w:b/>
                      <w:color w:val="auto"/>
                      <w:sz w:val="21"/>
                      <w:szCs w:val="21"/>
                      <w:highlight w:val="none"/>
                    </w:rPr>
                  </w:pPr>
                  <w:r>
                    <w:rPr>
                      <w:b/>
                      <w:color w:val="auto"/>
                      <w:sz w:val="21"/>
                      <w:szCs w:val="21"/>
                      <w:highlight w:val="none"/>
                    </w:rPr>
                    <w:t>固废</w:t>
                  </w:r>
                </w:p>
                <w:p w14:paraId="3DF4DCA9">
                  <w:pPr>
                    <w:adjustRightInd w:val="0"/>
                    <w:snapToGrid w:val="0"/>
                    <w:jc w:val="center"/>
                    <w:rPr>
                      <w:b/>
                      <w:color w:val="auto"/>
                      <w:sz w:val="21"/>
                      <w:szCs w:val="21"/>
                      <w:highlight w:val="none"/>
                    </w:rPr>
                  </w:pPr>
                  <w:r>
                    <w:rPr>
                      <w:b/>
                      <w:color w:val="auto"/>
                      <w:sz w:val="21"/>
                      <w:szCs w:val="21"/>
                      <w:highlight w:val="none"/>
                    </w:rPr>
                    <w:t>名称</w:t>
                  </w:r>
                </w:p>
              </w:tc>
              <w:tc>
                <w:tcPr>
                  <w:tcW w:w="636" w:type="pct"/>
                  <w:tcBorders>
                    <w:tl2br w:val="nil"/>
                    <w:tr2bl w:val="nil"/>
                  </w:tcBorders>
                  <w:vAlign w:val="center"/>
                </w:tcPr>
                <w:p w14:paraId="085D27D7">
                  <w:pPr>
                    <w:adjustRightInd w:val="0"/>
                    <w:snapToGrid w:val="0"/>
                    <w:jc w:val="center"/>
                    <w:rPr>
                      <w:b/>
                      <w:color w:val="auto"/>
                      <w:sz w:val="21"/>
                      <w:szCs w:val="21"/>
                      <w:highlight w:val="none"/>
                    </w:rPr>
                  </w:pPr>
                  <w:r>
                    <w:rPr>
                      <w:b/>
                      <w:color w:val="auto"/>
                      <w:sz w:val="21"/>
                      <w:szCs w:val="21"/>
                      <w:highlight w:val="none"/>
                    </w:rPr>
                    <w:t>固废</w:t>
                  </w:r>
                </w:p>
                <w:p w14:paraId="56B6549E">
                  <w:pPr>
                    <w:adjustRightInd w:val="0"/>
                    <w:snapToGrid w:val="0"/>
                    <w:jc w:val="center"/>
                    <w:rPr>
                      <w:b/>
                      <w:color w:val="auto"/>
                      <w:sz w:val="21"/>
                      <w:szCs w:val="21"/>
                      <w:highlight w:val="none"/>
                    </w:rPr>
                  </w:pPr>
                  <w:r>
                    <w:rPr>
                      <w:b/>
                      <w:color w:val="auto"/>
                      <w:sz w:val="21"/>
                      <w:szCs w:val="21"/>
                      <w:highlight w:val="none"/>
                    </w:rPr>
                    <w:t>属性</w:t>
                  </w:r>
                </w:p>
              </w:tc>
              <w:tc>
                <w:tcPr>
                  <w:tcW w:w="796" w:type="pct"/>
                  <w:tcBorders>
                    <w:tl2br w:val="nil"/>
                    <w:tr2bl w:val="nil"/>
                  </w:tcBorders>
                  <w:vAlign w:val="center"/>
                </w:tcPr>
                <w:p w14:paraId="2A575B2B">
                  <w:pPr>
                    <w:adjustRightInd w:val="0"/>
                    <w:snapToGrid w:val="0"/>
                    <w:jc w:val="center"/>
                    <w:rPr>
                      <w:b/>
                      <w:bCs/>
                      <w:color w:val="auto"/>
                      <w:sz w:val="21"/>
                      <w:szCs w:val="21"/>
                      <w:highlight w:val="none"/>
                    </w:rPr>
                  </w:pPr>
                  <w:r>
                    <w:rPr>
                      <w:b/>
                      <w:bCs/>
                      <w:color w:val="auto"/>
                      <w:sz w:val="21"/>
                      <w:szCs w:val="21"/>
                      <w:highlight w:val="none"/>
                    </w:rPr>
                    <w:t>年度产生量（t/a）</w:t>
                  </w:r>
                </w:p>
              </w:tc>
              <w:tc>
                <w:tcPr>
                  <w:tcW w:w="1223" w:type="pct"/>
                  <w:tcBorders>
                    <w:tl2br w:val="nil"/>
                    <w:tr2bl w:val="nil"/>
                  </w:tcBorders>
                  <w:vAlign w:val="center"/>
                </w:tcPr>
                <w:p w14:paraId="329ED012">
                  <w:pPr>
                    <w:adjustRightInd w:val="0"/>
                    <w:snapToGrid w:val="0"/>
                    <w:jc w:val="center"/>
                    <w:rPr>
                      <w:b/>
                      <w:bCs/>
                      <w:color w:val="auto"/>
                      <w:sz w:val="21"/>
                      <w:szCs w:val="21"/>
                      <w:highlight w:val="none"/>
                    </w:rPr>
                  </w:pPr>
                  <w:r>
                    <w:rPr>
                      <w:b/>
                      <w:bCs/>
                      <w:color w:val="auto"/>
                      <w:sz w:val="21"/>
                      <w:szCs w:val="21"/>
                      <w:highlight w:val="none"/>
                    </w:rPr>
                    <w:t>利用方式或去向</w:t>
                  </w:r>
                </w:p>
              </w:tc>
              <w:tc>
                <w:tcPr>
                  <w:tcW w:w="1061" w:type="pct"/>
                  <w:tcBorders>
                    <w:tl2br w:val="nil"/>
                    <w:tr2bl w:val="nil"/>
                  </w:tcBorders>
                  <w:vAlign w:val="center"/>
                </w:tcPr>
                <w:p w14:paraId="6599B6D3">
                  <w:pPr>
                    <w:adjustRightInd w:val="0"/>
                    <w:snapToGrid w:val="0"/>
                    <w:jc w:val="center"/>
                    <w:rPr>
                      <w:b/>
                      <w:color w:val="auto"/>
                      <w:sz w:val="21"/>
                      <w:szCs w:val="21"/>
                      <w:highlight w:val="none"/>
                    </w:rPr>
                  </w:pPr>
                  <w:r>
                    <w:rPr>
                      <w:b/>
                      <w:color w:val="auto"/>
                      <w:sz w:val="21"/>
                      <w:szCs w:val="21"/>
                      <w:highlight w:val="none"/>
                    </w:rPr>
                    <w:t>环境管理要求</w:t>
                  </w:r>
                </w:p>
              </w:tc>
            </w:tr>
            <w:tr w14:paraId="27CBF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281" w:type="pct"/>
                  <w:tcBorders>
                    <w:tl2br w:val="nil"/>
                    <w:tr2bl w:val="nil"/>
                  </w:tcBorders>
                  <w:shd w:val="clear" w:color="auto" w:fill="auto"/>
                  <w:vAlign w:val="center"/>
                </w:tcPr>
                <w:p w14:paraId="6CD13FFF">
                  <w:pPr>
                    <w:adjustRightInd w:val="0"/>
                    <w:snapToGrid w:val="0"/>
                    <w:jc w:val="center"/>
                    <w:rPr>
                      <w:bCs/>
                      <w:color w:val="auto"/>
                      <w:sz w:val="21"/>
                      <w:szCs w:val="21"/>
                      <w:highlight w:val="none"/>
                    </w:rPr>
                  </w:pPr>
                  <w:r>
                    <w:rPr>
                      <w:bCs/>
                      <w:color w:val="auto"/>
                      <w:sz w:val="21"/>
                      <w:szCs w:val="21"/>
                      <w:highlight w:val="none"/>
                    </w:rPr>
                    <w:t>生活垃圾</w:t>
                  </w:r>
                </w:p>
              </w:tc>
              <w:tc>
                <w:tcPr>
                  <w:tcW w:w="636" w:type="pct"/>
                  <w:tcBorders>
                    <w:tl2br w:val="nil"/>
                    <w:tr2bl w:val="nil"/>
                  </w:tcBorders>
                  <w:shd w:val="clear" w:color="auto" w:fill="auto"/>
                  <w:vAlign w:val="center"/>
                </w:tcPr>
                <w:p w14:paraId="7DBA40AF">
                  <w:pPr>
                    <w:adjustRightInd w:val="0"/>
                    <w:snapToGrid w:val="0"/>
                    <w:jc w:val="center"/>
                    <w:rPr>
                      <w:bCs/>
                      <w:color w:val="auto"/>
                      <w:sz w:val="21"/>
                      <w:szCs w:val="21"/>
                      <w:highlight w:val="none"/>
                    </w:rPr>
                  </w:pPr>
                  <w:r>
                    <w:rPr>
                      <w:bCs/>
                      <w:color w:val="auto"/>
                      <w:sz w:val="21"/>
                      <w:szCs w:val="21"/>
                      <w:highlight w:val="none"/>
                    </w:rPr>
                    <w:t>生活垃圾</w:t>
                  </w:r>
                </w:p>
              </w:tc>
              <w:tc>
                <w:tcPr>
                  <w:tcW w:w="796" w:type="pct"/>
                  <w:tcBorders>
                    <w:tl2br w:val="nil"/>
                    <w:tr2bl w:val="nil"/>
                  </w:tcBorders>
                  <w:shd w:val="clear" w:color="auto" w:fill="auto"/>
                  <w:vAlign w:val="center"/>
                </w:tcPr>
                <w:p w14:paraId="7DB4FAB2">
                  <w:pPr>
                    <w:adjustRightInd w:val="0"/>
                    <w:snapToGrid w:val="0"/>
                    <w:jc w:val="center"/>
                    <w:rPr>
                      <w:bCs/>
                      <w:color w:val="auto"/>
                      <w:sz w:val="21"/>
                      <w:szCs w:val="21"/>
                      <w:highlight w:val="none"/>
                    </w:rPr>
                  </w:pPr>
                  <w:r>
                    <w:rPr>
                      <w:color w:val="auto"/>
                      <w:sz w:val="21"/>
                      <w:szCs w:val="21"/>
                      <w:highlight w:val="none"/>
                    </w:rPr>
                    <w:t>15.33</w:t>
                  </w:r>
                </w:p>
              </w:tc>
              <w:tc>
                <w:tcPr>
                  <w:tcW w:w="1223" w:type="pct"/>
                  <w:tcBorders>
                    <w:tl2br w:val="nil"/>
                    <w:tr2bl w:val="nil"/>
                  </w:tcBorders>
                  <w:shd w:val="clear" w:color="auto" w:fill="auto"/>
                  <w:vAlign w:val="center"/>
                </w:tcPr>
                <w:p w14:paraId="0531E803">
                  <w:pPr>
                    <w:adjustRightInd w:val="0"/>
                    <w:snapToGrid w:val="0"/>
                    <w:jc w:val="center"/>
                    <w:rPr>
                      <w:rFonts w:hint="eastAsia" w:eastAsia="宋体"/>
                      <w:bCs/>
                      <w:color w:val="auto"/>
                      <w:sz w:val="21"/>
                      <w:szCs w:val="21"/>
                      <w:highlight w:val="none"/>
                      <w:lang w:eastAsia="zh-CN"/>
                    </w:rPr>
                  </w:pPr>
                  <w:r>
                    <w:rPr>
                      <w:color w:val="auto"/>
                      <w:sz w:val="21"/>
                      <w:szCs w:val="21"/>
                      <w:highlight w:val="none"/>
                    </w:rPr>
                    <w:t>经厂内垃圾箱收集后交由当地环卫部门定期清运处理</w:t>
                  </w:r>
                  <w:r>
                    <w:rPr>
                      <w:rFonts w:hint="eastAsia"/>
                      <w:color w:val="auto"/>
                      <w:sz w:val="21"/>
                      <w:szCs w:val="21"/>
                      <w:highlight w:val="none"/>
                      <w:lang w:eastAsia="zh-CN"/>
                    </w:rPr>
                    <w:t>。</w:t>
                  </w:r>
                </w:p>
              </w:tc>
              <w:tc>
                <w:tcPr>
                  <w:tcW w:w="1061" w:type="pct"/>
                  <w:tcBorders>
                    <w:tl2br w:val="nil"/>
                    <w:tr2bl w:val="nil"/>
                  </w:tcBorders>
                  <w:shd w:val="clear" w:color="auto" w:fill="auto"/>
                  <w:vAlign w:val="center"/>
                </w:tcPr>
                <w:p w14:paraId="7FFE695A">
                  <w:pPr>
                    <w:adjustRightInd w:val="0"/>
                    <w:snapToGrid w:val="0"/>
                    <w:jc w:val="center"/>
                    <w:rPr>
                      <w:bCs/>
                      <w:color w:val="auto"/>
                      <w:sz w:val="21"/>
                      <w:szCs w:val="21"/>
                      <w:highlight w:val="none"/>
                    </w:rPr>
                  </w:pPr>
                  <w:r>
                    <w:rPr>
                      <w:bCs/>
                      <w:color w:val="auto"/>
                      <w:sz w:val="21"/>
                      <w:szCs w:val="21"/>
                      <w:highlight w:val="none"/>
                    </w:rPr>
                    <w:t>/</w:t>
                  </w:r>
                </w:p>
              </w:tc>
            </w:tr>
            <w:tr w14:paraId="5079D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281" w:type="pct"/>
                  <w:tcBorders>
                    <w:tl2br w:val="nil"/>
                    <w:tr2bl w:val="nil"/>
                  </w:tcBorders>
                  <w:vAlign w:val="center"/>
                </w:tcPr>
                <w:p w14:paraId="457FCB2F">
                  <w:pPr>
                    <w:adjustRightInd w:val="0"/>
                    <w:snapToGrid w:val="0"/>
                    <w:jc w:val="center"/>
                    <w:rPr>
                      <w:rFonts w:hint="eastAsia" w:eastAsia="宋体"/>
                      <w:bCs/>
                      <w:color w:val="auto"/>
                      <w:sz w:val="21"/>
                      <w:szCs w:val="21"/>
                      <w:highlight w:val="none"/>
                      <w:lang w:eastAsia="zh-CN"/>
                    </w:rPr>
                  </w:pPr>
                  <w:r>
                    <w:rPr>
                      <w:rFonts w:hint="eastAsia"/>
                      <w:bCs/>
                      <w:color w:val="auto"/>
                      <w:sz w:val="21"/>
                      <w:szCs w:val="21"/>
                      <w:highlight w:val="none"/>
                      <w:lang w:eastAsia="zh-CN"/>
                    </w:rPr>
                    <w:t>除尘灰（含废活性炭）</w:t>
                  </w:r>
                </w:p>
              </w:tc>
              <w:tc>
                <w:tcPr>
                  <w:tcW w:w="636" w:type="pct"/>
                  <w:vMerge w:val="restart"/>
                  <w:tcBorders>
                    <w:tl2br w:val="nil"/>
                    <w:tr2bl w:val="nil"/>
                  </w:tcBorders>
                  <w:vAlign w:val="center"/>
                </w:tcPr>
                <w:p w14:paraId="7B3B6080">
                  <w:pPr>
                    <w:adjustRightInd w:val="0"/>
                    <w:snapToGrid w:val="0"/>
                    <w:jc w:val="center"/>
                    <w:rPr>
                      <w:bCs/>
                      <w:color w:val="auto"/>
                      <w:sz w:val="21"/>
                      <w:szCs w:val="21"/>
                      <w:highlight w:val="none"/>
                    </w:rPr>
                  </w:pPr>
                  <w:r>
                    <w:rPr>
                      <w:bCs/>
                      <w:color w:val="auto"/>
                      <w:sz w:val="21"/>
                      <w:szCs w:val="21"/>
                      <w:highlight w:val="none"/>
                    </w:rPr>
                    <w:t>危险废物</w:t>
                  </w:r>
                </w:p>
              </w:tc>
              <w:tc>
                <w:tcPr>
                  <w:tcW w:w="796" w:type="pct"/>
                  <w:tcBorders>
                    <w:tl2br w:val="nil"/>
                    <w:tr2bl w:val="nil"/>
                  </w:tcBorders>
                  <w:vAlign w:val="center"/>
                </w:tcPr>
                <w:p w14:paraId="35674E46">
                  <w:pPr>
                    <w:adjustRightInd w:val="0"/>
                    <w:snapToGrid w:val="0"/>
                    <w:jc w:val="center"/>
                    <w:rPr>
                      <w:rFonts w:hint="eastAsia" w:eastAsia="宋体"/>
                      <w:color w:val="auto"/>
                      <w:sz w:val="21"/>
                      <w:szCs w:val="21"/>
                      <w:highlight w:val="none"/>
                      <w:lang w:eastAsia="zh-CN"/>
                    </w:rPr>
                  </w:pPr>
                  <w:r>
                    <w:rPr>
                      <w:rFonts w:hint="eastAsia"/>
                      <w:color w:val="auto"/>
                      <w:sz w:val="21"/>
                      <w:szCs w:val="21"/>
                      <w:highlight w:val="none"/>
                      <w:lang w:eastAsia="zh-CN"/>
                    </w:rPr>
                    <w:t>0.66</w:t>
                  </w:r>
                </w:p>
              </w:tc>
              <w:tc>
                <w:tcPr>
                  <w:tcW w:w="1223" w:type="pct"/>
                  <w:vMerge w:val="restart"/>
                  <w:tcBorders>
                    <w:tl2br w:val="nil"/>
                    <w:tr2bl w:val="nil"/>
                  </w:tcBorders>
                  <w:vAlign w:val="center"/>
                </w:tcPr>
                <w:p w14:paraId="5B5A4211">
                  <w:pPr>
                    <w:adjustRightInd w:val="0"/>
                    <w:snapToGrid w:val="0"/>
                    <w:jc w:val="center"/>
                    <w:rPr>
                      <w:rFonts w:hint="eastAsia" w:eastAsia="宋体"/>
                      <w:bCs/>
                      <w:color w:val="auto"/>
                      <w:sz w:val="21"/>
                      <w:szCs w:val="21"/>
                      <w:highlight w:val="none"/>
                      <w:lang w:eastAsia="zh-CN"/>
                    </w:rPr>
                  </w:pPr>
                  <w:r>
                    <w:rPr>
                      <w:bCs/>
                      <w:color w:val="auto"/>
                      <w:sz w:val="21"/>
                      <w:szCs w:val="21"/>
                      <w:highlight w:val="none"/>
                    </w:rPr>
                    <w:t>集中收集至危废暂存间内，最终交有资质单位处置</w:t>
                  </w:r>
                  <w:r>
                    <w:rPr>
                      <w:rFonts w:hint="eastAsia"/>
                      <w:bCs/>
                      <w:color w:val="auto"/>
                      <w:sz w:val="21"/>
                      <w:szCs w:val="21"/>
                      <w:highlight w:val="none"/>
                      <w:lang w:eastAsia="zh-CN"/>
                    </w:rPr>
                    <w:t>。</w:t>
                  </w:r>
                </w:p>
              </w:tc>
              <w:tc>
                <w:tcPr>
                  <w:tcW w:w="1061" w:type="pct"/>
                  <w:vMerge w:val="restart"/>
                  <w:tcBorders>
                    <w:tl2br w:val="nil"/>
                    <w:tr2bl w:val="nil"/>
                  </w:tcBorders>
                  <w:vAlign w:val="center"/>
                </w:tcPr>
                <w:p w14:paraId="26CF3A00">
                  <w:pPr>
                    <w:adjustRightInd w:val="0"/>
                    <w:snapToGrid w:val="0"/>
                    <w:jc w:val="center"/>
                    <w:rPr>
                      <w:color w:val="auto"/>
                      <w:sz w:val="21"/>
                      <w:szCs w:val="21"/>
                      <w:highlight w:val="none"/>
                    </w:rPr>
                  </w:pPr>
                  <w:r>
                    <w:rPr>
                      <w:color w:val="auto"/>
                      <w:sz w:val="21"/>
                      <w:szCs w:val="21"/>
                      <w:highlight w:val="none"/>
                    </w:rPr>
                    <w:t>《危险废物贮存污染控制标准》（GB18597-2023）</w:t>
                  </w:r>
                </w:p>
              </w:tc>
            </w:tr>
            <w:tr w14:paraId="04F43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281" w:type="pct"/>
                  <w:tcBorders>
                    <w:tl2br w:val="nil"/>
                    <w:tr2bl w:val="nil"/>
                  </w:tcBorders>
                  <w:vAlign w:val="center"/>
                </w:tcPr>
                <w:p w14:paraId="508066B8">
                  <w:pPr>
                    <w:adjustRightInd w:val="0"/>
                    <w:snapToGrid w:val="0"/>
                    <w:jc w:val="center"/>
                    <w:rPr>
                      <w:bCs/>
                      <w:color w:val="auto"/>
                      <w:sz w:val="21"/>
                      <w:szCs w:val="21"/>
                      <w:highlight w:val="none"/>
                    </w:rPr>
                  </w:pPr>
                  <w:r>
                    <w:rPr>
                      <w:bCs/>
                      <w:color w:val="auto"/>
                      <w:sz w:val="21"/>
                      <w:szCs w:val="21"/>
                      <w:highlight w:val="none"/>
                    </w:rPr>
                    <w:t>焚烧炉渣</w:t>
                  </w:r>
                </w:p>
              </w:tc>
              <w:tc>
                <w:tcPr>
                  <w:tcW w:w="636" w:type="pct"/>
                  <w:vMerge w:val="continue"/>
                  <w:tcBorders>
                    <w:tl2br w:val="nil"/>
                    <w:tr2bl w:val="nil"/>
                  </w:tcBorders>
                  <w:vAlign w:val="center"/>
                </w:tcPr>
                <w:p w14:paraId="36E05566">
                  <w:pPr>
                    <w:adjustRightInd w:val="0"/>
                    <w:snapToGrid w:val="0"/>
                    <w:jc w:val="center"/>
                    <w:rPr>
                      <w:bCs/>
                      <w:color w:val="auto"/>
                      <w:sz w:val="21"/>
                      <w:szCs w:val="21"/>
                      <w:highlight w:val="none"/>
                    </w:rPr>
                  </w:pPr>
                </w:p>
              </w:tc>
              <w:tc>
                <w:tcPr>
                  <w:tcW w:w="796" w:type="pct"/>
                  <w:tcBorders>
                    <w:tl2br w:val="nil"/>
                    <w:tr2bl w:val="nil"/>
                  </w:tcBorders>
                  <w:vAlign w:val="center"/>
                </w:tcPr>
                <w:p w14:paraId="57475F29">
                  <w:pPr>
                    <w:adjustRightInd w:val="0"/>
                    <w:snapToGrid w:val="0"/>
                    <w:jc w:val="center"/>
                    <w:rPr>
                      <w:color w:val="auto"/>
                      <w:sz w:val="21"/>
                      <w:szCs w:val="21"/>
                      <w:highlight w:val="none"/>
                    </w:rPr>
                  </w:pPr>
                  <w:r>
                    <w:rPr>
                      <w:color w:val="auto"/>
                      <w:sz w:val="21"/>
                      <w:szCs w:val="21"/>
                      <w:highlight w:val="none"/>
                    </w:rPr>
                    <w:t>0.13</w:t>
                  </w:r>
                </w:p>
              </w:tc>
              <w:tc>
                <w:tcPr>
                  <w:tcW w:w="1223" w:type="pct"/>
                  <w:vMerge w:val="continue"/>
                  <w:tcBorders>
                    <w:tl2br w:val="nil"/>
                    <w:tr2bl w:val="nil"/>
                  </w:tcBorders>
                  <w:vAlign w:val="center"/>
                </w:tcPr>
                <w:p w14:paraId="61E36685">
                  <w:pPr>
                    <w:adjustRightInd w:val="0"/>
                    <w:snapToGrid w:val="0"/>
                    <w:jc w:val="center"/>
                    <w:rPr>
                      <w:color w:val="auto"/>
                      <w:sz w:val="21"/>
                      <w:szCs w:val="21"/>
                      <w:highlight w:val="none"/>
                    </w:rPr>
                  </w:pPr>
                </w:p>
              </w:tc>
              <w:tc>
                <w:tcPr>
                  <w:tcW w:w="1061" w:type="pct"/>
                  <w:vMerge w:val="continue"/>
                  <w:tcBorders>
                    <w:tl2br w:val="nil"/>
                    <w:tr2bl w:val="nil"/>
                  </w:tcBorders>
                  <w:vAlign w:val="center"/>
                </w:tcPr>
                <w:p w14:paraId="4C2EB33F">
                  <w:pPr>
                    <w:adjustRightInd w:val="0"/>
                    <w:snapToGrid w:val="0"/>
                    <w:jc w:val="center"/>
                    <w:rPr>
                      <w:color w:val="auto"/>
                      <w:sz w:val="21"/>
                      <w:szCs w:val="21"/>
                      <w:highlight w:val="none"/>
                    </w:rPr>
                  </w:pPr>
                </w:p>
              </w:tc>
            </w:tr>
            <w:tr w14:paraId="2AB5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281" w:type="pct"/>
                  <w:tcBorders>
                    <w:tl2br w:val="nil"/>
                    <w:tr2bl w:val="nil"/>
                  </w:tcBorders>
                  <w:vAlign w:val="center"/>
                </w:tcPr>
                <w:p w14:paraId="5F87FFED">
                  <w:pPr>
                    <w:adjustRightInd w:val="0"/>
                    <w:snapToGrid w:val="0"/>
                    <w:jc w:val="center"/>
                    <w:rPr>
                      <w:bCs/>
                      <w:color w:val="auto"/>
                      <w:sz w:val="21"/>
                      <w:szCs w:val="21"/>
                      <w:highlight w:val="none"/>
                    </w:rPr>
                  </w:pPr>
                  <w:r>
                    <w:rPr>
                      <w:rFonts w:hint="eastAsia"/>
                      <w:bCs/>
                      <w:color w:val="auto"/>
                      <w:sz w:val="21"/>
                      <w:szCs w:val="21"/>
                      <w:highlight w:val="none"/>
                    </w:rPr>
                    <w:t>除酸废渣</w:t>
                  </w:r>
                </w:p>
              </w:tc>
              <w:tc>
                <w:tcPr>
                  <w:tcW w:w="636" w:type="pct"/>
                  <w:vMerge w:val="continue"/>
                  <w:tcBorders>
                    <w:tl2br w:val="nil"/>
                    <w:tr2bl w:val="nil"/>
                  </w:tcBorders>
                  <w:vAlign w:val="center"/>
                </w:tcPr>
                <w:p w14:paraId="33EE5427">
                  <w:pPr>
                    <w:adjustRightInd w:val="0"/>
                    <w:snapToGrid w:val="0"/>
                    <w:jc w:val="center"/>
                    <w:rPr>
                      <w:bCs/>
                      <w:color w:val="auto"/>
                      <w:sz w:val="21"/>
                      <w:szCs w:val="21"/>
                      <w:highlight w:val="none"/>
                    </w:rPr>
                  </w:pPr>
                </w:p>
              </w:tc>
              <w:tc>
                <w:tcPr>
                  <w:tcW w:w="796" w:type="pct"/>
                  <w:tcBorders>
                    <w:tl2br w:val="nil"/>
                    <w:tr2bl w:val="nil"/>
                  </w:tcBorders>
                  <w:vAlign w:val="center"/>
                </w:tcPr>
                <w:p w14:paraId="04F1385C">
                  <w:pPr>
                    <w:adjustRightInd w:val="0"/>
                    <w:snapToGrid w:val="0"/>
                    <w:jc w:val="center"/>
                    <w:rPr>
                      <w:rFonts w:hint="eastAsia" w:eastAsia="宋体"/>
                      <w:color w:val="auto"/>
                      <w:sz w:val="21"/>
                      <w:szCs w:val="21"/>
                      <w:highlight w:val="none"/>
                      <w:lang w:eastAsia="zh-CN"/>
                    </w:rPr>
                  </w:pPr>
                  <w:r>
                    <w:rPr>
                      <w:rFonts w:hint="eastAsia"/>
                      <w:color w:val="auto"/>
                      <w:sz w:val="21"/>
                      <w:szCs w:val="21"/>
                      <w:highlight w:val="none"/>
                    </w:rPr>
                    <w:t>0.</w:t>
                  </w:r>
                  <w:r>
                    <w:rPr>
                      <w:rFonts w:hint="eastAsia"/>
                      <w:color w:val="auto"/>
                      <w:sz w:val="21"/>
                      <w:szCs w:val="21"/>
                      <w:highlight w:val="none"/>
                      <w:lang w:val="en-US" w:eastAsia="zh-CN"/>
                    </w:rPr>
                    <w:t>3</w:t>
                  </w:r>
                </w:p>
              </w:tc>
              <w:tc>
                <w:tcPr>
                  <w:tcW w:w="1223" w:type="pct"/>
                  <w:vMerge w:val="continue"/>
                  <w:tcBorders>
                    <w:tl2br w:val="nil"/>
                    <w:tr2bl w:val="nil"/>
                  </w:tcBorders>
                  <w:vAlign w:val="center"/>
                </w:tcPr>
                <w:p w14:paraId="29C7ACC7">
                  <w:pPr>
                    <w:adjustRightInd w:val="0"/>
                    <w:snapToGrid w:val="0"/>
                    <w:jc w:val="center"/>
                    <w:rPr>
                      <w:bCs/>
                      <w:color w:val="auto"/>
                      <w:sz w:val="21"/>
                      <w:szCs w:val="21"/>
                      <w:highlight w:val="none"/>
                    </w:rPr>
                  </w:pPr>
                </w:p>
              </w:tc>
              <w:tc>
                <w:tcPr>
                  <w:tcW w:w="1061" w:type="pct"/>
                  <w:vMerge w:val="continue"/>
                  <w:tcBorders>
                    <w:tl2br w:val="nil"/>
                    <w:tr2bl w:val="nil"/>
                  </w:tcBorders>
                  <w:vAlign w:val="center"/>
                </w:tcPr>
                <w:p w14:paraId="14358A3B">
                  <w:pPr>
                    <w:adjustRightInd w:val="0"/>
                    <w:snapToGrid w:val="0"/>
                    <w:jc w:val="center"/>
                    <w:rPr>
                      <w:color w:val="auto"/>
                      <w:sz w:val="21"/>
                      <w:szCs w:val="21"/>
                      <w:highlight w:val="none"/>
                    </w:rPr>
                  </w:pPr>
                </w:p>
              </w:tc>
            </w:tr>
            <w:tr w14:paraId="6D98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281" w:type="pct"/>
                  <w:tcBorders>
                    <w:tl2br w:val="nil"/>
                    <w:tr2bl w:val="nil"/>
                  </w:tcBorders>
                  <w:shd w:val="clear" w:color="auto" w:fill="auto"/>
                  <w:vAlign w:val="center"/>
                </w:tcPr>
                <w:p w14:paraId="56661BB8">
                  <w:pPr>
                    <w:adjustRightInd w:val="0"/>
                    <w:snapToGrid w:val="0"/>
                    <w:jc w:val="center"/>
                    <w:rPr>
                      <w:bCs/>
                      <w:color w:val="auto"/>
                      <w:sz w:val="21"/>
                      <w:szCs w:val="21"/>
                      <w:highlight w:val="none"/>
                    </w:rPr>
                  </w:pPr>
                  <w:r>
                    <w:rPr>
                      <w:bCs/>
                      <w:color w:val="auto"/>
                      <w:sz w:val="21"/>
                      <w:szCs w:val="21"/>
                      <w:highlight w:val="none"/>
                    </w:rPr>
                    <w:t>废</w:t>
                  </w:r>
                  <w:r>
                    <w:rPr>
                      <w:rFonts w:hint="eastAsia"/>
                      <w:bCs/>
                      <w:color w:val="auto"/>
                      <w:sz w:val="21"/>
                      <w:szCs w:val="21"/>
                      <w:highlight w:val="none"/>
                    </w:rPr>
                    <w:t>布袋</w:t>
                  </w:r>
                </w:p>
              </w:tc>
              <w:tc>
                <w:tcPr>
                  <w:tcW w:w="636" w:type="pct"/>
                  <w:vMerge w:val="continue"/>
                  <w:tcBorders>
                    <w:tl2br w:val="nil"/>
                    <w:tr2bl w:val="nil"/>
                  </w:tcBorders>
                  <w:shd w:val="clear" w:color="auto" w:fill="auto"/>
                  <w:vAlign w:val="center"/>
                </w:tcPr>
                <w:p w14:paraId="0585E74B">
                  <w:pPr>
                    <w:adjustRightInd w:val="0"/>
                    <w:snapToGrid w:val="0"/>
                    <w:jc w:val="center"/>
                    <w:rPr>
                      <w:bCs/>
                      <w:color w:val="auto"/>
                      <w:sz w:val="21"/>
                      <w:szCs w:val="21"/>
                      <w:highlight w:val="none"/>
                    </w:rPr>
                  </w:pPr>
                </w:p>
              </w:tc>
              <w:tc>
                <w:tcPr>
                  <w:tcW w:w="796" w:type="pct"/>
                  <w:tcBorders>
                    <w:tl2br w:val="nil"/>
                    <w:tr2bl w:val="nil"/>
                  </w:tcBorders>
                  <w:shd w:val="clear" w:color="auto" w:fill="auto"/>
                  <w:vAlign w:val="center"/>
                </w:tcPr>
                <w:p w14:paraId="329D22BB">
                  <w:pPr>
                    <w:adjustRightInd w:val="0"/>
                    <w:snapToGrid w:val="0"/>
                    <w:jc w:val="center"/>
                    <w:rPr>
                      <w:color w:val="auto"/>
                      <w:sz w:val="21"/>
                      <w:szCs w:val="21"/>
                      <w:highlight w:val="none"/>
                    </w:rPr>
                  </w:pPr>
                  <w:r>
                    <w:rPr>
                      <w:rFonts w:hint="eastAsia"/>
                      <w:color w:val="auto"/>
                      <w:sz w:val="21"/>
                      <w:szCs w:val="21"/>
                      <w:highlight w:val="none"/>
                    </w:rPr>
                    <w:t>2个</w:t>
                  </w:r>
                  <w:r>
                    <w:rPr>
                      <w:color w:val="auto"/>
                      <w:sz w:val="21"/>
                      <w:szCs w:val="21"/>
                      <w:highlight w:val="none"/>
                    </w:rPr>
                    <w:t>/a</w:t>
                  </w:r>
                </w:p>
              </w:tc>
              <w:tc>
                <w:tcPr>
                  <w:tcW w:w="1223" w:type="pct"/>
                  <w:vMerge w:val="continue"/>
                  <w:tcBorders>
                    <w:tl2br w:val="nil"/>
                    <w:tr2bl w:val="nil"/>
                  </w:tcBorders>
                  <w:vAlign w:val="center"/>
                </w:tcPr>
                <w:p w14:paraId="1621909D">
                  <w:pPr>
                    <w:adjustRightInd w:val="0"/>
                    <w:snapToGrid w:val="0"/>
                    <w:jc w:val="center"/>
                    <w:rPr>
                      <w:bCs/>
                      <w:color w:val="auto"/>
                      <w:sz w:val="21"/>
                      <w:szCs w:val="21"/>
                      <w:highlight w:val="none"/>
                    </w:rPr>
                  </w:pPr>
                </w:p>
              </w:tc>
              <w:tc>
                <w:tcPr>
                  <w:tcW w:w="1061" w:type="pct"/>
                  <w:vMerge w:val="continue"/>
                  <w:tcBorders>
                    <w:tl2br w:val="nil"/>
                    <w:tr2bl w:val="nil"/>
                  </w:tcBorders>
                  <w:vAlign w:val="center"/>
                </w:tcPr>
                <w:p w14:paraId="4C607373">
                  <w:pPr>
                    <w:adjustRightInd w:val="0"/>
                    <w:snapToGrid w:val="0"/>
                    <w:jc w:val="center"/>
                    <w:rPr>
                      <w:bCs/>
                      <w:color w:val="auto"/>
                      <w:sz w:val="21"/>
                      <w:szCs w:val="21"/>
                      <w:highlight w:val="none"/>
                    </w:rPr>
                  </w:pPr>
                </w:p>
              </w:tc>
            </w:tr>
            <w:tr w14:paraId="21416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281" w:type="pct"/>
                  <w:tcBorders>
                    <w:tl2br w:val="nil"/>
                    <w:tr2bl w:val="nil"/>
                  </w:tcBorders>
                  <w:shd w:val="clear" w:color="auto" w:fill="auto"/>
                  <w:vAlign w:val="center"/>
                </w:tcPr>
                <w:p w14:paraId="6A17238C">
                  <w:pPr>
                    <w:adjustRightInd w:val="0"/>
                    <w:snapToGrid w:val="0"/>
                    <w:jc w:val="center"/>
                    <w:rPr>
                      <w:bCs/>
                      <w:color w:val="auto"/>
                      <w:sz w:val="21"/>
                      <w:szCs w:val="21"/>
                      <w:highlight w:val="none"/>
                    </w:rPr>
                  </w:pPr>
                  <w:r>
                    <w:rPr>
                      <w:rFonts w:hint="eastAsia"/>
                      <w:bCs/>
                      <w:color w:val="auto"/>
                      <w:sz w:val="21"/>
                      <w:szCs w:val="21"/>
                      <w:highlight w:val="none"/>
                      <w:lang w:val="en-US" w:eastAsia="zh-CN"/>
                    </w:rPr>
                    <w:t>废矿物油</w:t>
                  </w:r>
                </w:p>
              </w:tc>
              <w:tc>
                <w:tcPr>
                  <w:tcW w:w="636" w:type="pct"/>
                  <w:vMerge w:val="continue"/>
                  <w:tcBorders>
                    <w:tl2br w:val="nil"/>
                    <w:tr2bl w:val="nil"/>
                  </w:tcBorders>
                  <w:shd w:val="clear" w:color="auto" w:fill="auto"/>
                  <w:vAlign w:val="center"/>
                </w:tcPr>
                <w:p w14:paraId="72EB3428">
                  <w:pPr>
                    <w:adjustRightInd w:val="0"/>
                    <w:snapToGrid w:val="0"/>
                    <w:jc w:val="center"/>
                    <w:rPr>
                      <w:bCs/>
                      <w:color w:val="auto"/>
                      <w:sz w:val="21"/>
                      <w:szCs w:val="21"/>
                      <w:highlight w:val="none"/>
                    </w:rPr>
                  </w:pPr>
                </w:p>
              </w:tc>
              <w:tc>
                <w:tcPr>
                  <w:tcW w:w="796" w:type="pct"/>
                  <w:tcBorders>
                    <w:tl2br w:val="nil"/>
                    <w:tr2bl w:val="nil"/>
                  </w:tcBorders>
                  <w:shd w:val="clear" w:color="auto" w:fill="auto"/>
                  <w:vAlign w:val="center"/>
                </w:tcPr>
                <w:p w14:paraId="493AEE8C">
                  <w:pPr>
                    <w:adjustRightInd w:val="0"/>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0.02</w:t>
                  </w:r>
                </w:p>
              </w:tc>
              <w:tc>
                <w:tcPr>
                  <w:tcW w:w="1223" w:type="pct"/>
                  <w:vMerge w:val="continue"/>
                  <w:tcBorders>
                    <w:tl2br w:val="nil"/>
                    <w:tr2bl w:val="nil"/>
                  </w:tcBorders>
                  <w:vAlign w:val="center"/>
                </w:tcPr>
                <w:p w14:paraId="0BA0E698">
                  <w:pPr>
                    <w:adjustRightInd w:val="0"/>
                    <w:snapToGrid w:val="0"/>
                    <w:jc w:val="center"/>
                    <w:rPr>
                      <w:bCs/>
                      <w:color w:val="auto"/>
                      <w:sz w:val="21"/>
                      <w:szCs w:val="21"/>
                      <w:highlight w:val="none"/>
                    </w:rPr>
                  </w:pPr>
                </w:p>
              </w:tc>
              <w:tc>
                <w:tcPr>
                  <w:tcW w:w="1061" w:type="pct"/>
                  <w:vMerge w:val="continue"/>
                  <w:tcBorders>
                    <w:tl2br w:val="nil"/>
                    <w:tr2bl w:val="nil"/>
                  </w:tcBorders>
                  <w:vAlign w:val="center"/>
                </w:tcPr>
                <w:p w14:paraId="42ED0DAD">
                  <w:pPr>
                    <w:adjustRightInd w:val="0"/>
                    <w:snapToGrid w:val="0"/>
                    <w:jc w:val="center"/>
                    <w:rPr>
                      <w:bCs/>
                      <w:color w:val="auto"/>
                      <w:sz w:val="21"/>
                      <w:szCs w:val="21"/>
                      <w:highlight w:val="none"/>
                    </w:rPr>
                  </w:pPr>
                </w:p>
              </w:tc>
            </w:tr>
            <w:tr w14:paraId="0F377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281" w:type="pct"/>
                  <w:tcBorders>
                    <w:tl2br w:val="nil"/>
                    <w:tr2bl w:val="nil"/>
                  </w:tcBorders>
                  <w:shd w:val="clear" w:color="auto" w:fill="auto"/>
                  <w:vAlign w:val="center"/>
                </w:tcPr>
                <w:p w14:paraId="6C812248">
                  <w:pPr>
                    <w:adjustRightInd w:val="0"/>
                    <w:snapToGrid w:val="0"/>
                    <w:jc w:val="center"/>
                    <w:rPr>
                      <w:bCs/>
                      <w:color w:val="auto"/>
                      <w:sz w:val="21"/>
                      <w:szCs w:val="21"/>
                      <w:highlight w:val="none"/>
                    </w:rPr>
                  </w:pPr>
                  <w:r>
                    <w:rPr>
                      <w:rFonts w:hint="eastAsia"/>
                      <w:bCs/>
                      <w:color w:val="auto"/>
                      <w:sz w:val="21"/>
                      <w:szCs w:val="21"/>
                      <w:highlight w:val="none"/>
                      <w:lang w:val="en-US" w:eastAsia="zh-CN"/>
                    </w:rPr>
                    <w:t>废油桶</w:t>
                  </w:r>
                </w:p>
              </w:tc>
              <w:tc>
                <w:tcPr>
                  <w:tcW w:w="636" w:type="pct"/>
                  <w:vMerge w:val="continue"/>
                  <w:tcBorders>
                    <w:tl2br w:val="nil"/>
                    <w:tr2bl w:val="nil"/>
                  </w:tcBorders>
                  <w:shd w:val="clear" w:color="auto" w:fill="auto"/>
                  <w:vAlign w:val="center"/>
                </w:tcPr>
                <w:p w14:paraId="08432665">
                  <w:pPr>
                    <w:adjustRightInd w:val="0"/>
                    <w:snapToGrid w:val="0"/>
                    <w:jc w:val="center"/>
                    <w:rPr>
                      <w:bCs/>
                      <w:color w:val="auto"/>
                      <w:sz w:val="21"/>
                      <w:szCs w:val="21"/>
                      <w:highlight w:val="none"/>
                    </w:rPr>
                  </w:pPr>
                </w:p>
              </w:tc>
              <w:tc>
                <w:tcPr>
                  <w:tcW w:w="796" w:type="pct"/>
                  <w:tcBorders>
                    <w:tl2br w:val="nil"/>
                    <w:tr2bl w:val="nil"/>
                  </w:tcBorders>
                  <w:shd w:val="clear" w:color="auto" w:fill="auto"/>
                  <w:vAlign w:val="center"/>
                </w:tcPr>
                <w:p w14:paraId="3FDB633C">
                  <w:pPr>
                    <w:adjustRightInd w:val="0"/>
                    <w:snapToGrid w:val="0"/>
                    <w:jc w:val="center"/>
                    <w:rPr>
                      <w:rFonts w:hint="eastAsia"/>
                      <w:color w:val="auto"/>
                      <w:sz w:val="21"/>
                      <w:szCs w:val="21"/>
                      <w:highlight w:val="none"/>
                    </w:rPr>
                  </w:pPr>
                  <w:r>
                    <w:rPr>
                      <w:rFonts w:hint="eastAsia"/>
                      <w:color w:val="auto"/>
                      <w:sz w:val="21"/>
                      <w:szCs w:val="21"/>
                      <w:highlight w:val="none"/>
                      <w:lang w:val="en-US" w:eastAsia="zh-CN"/>
                    </w:rPr>
                    <w:t>3</w:t>
                  </w:r>
                  <w:r>
                    <w:rPr>
                      <w:rFonts w:hint="eastAsia"/>
                      <w:color w:val="auto"/>
                      <w:sz w:val="21"/>
                      <w:szCs w:val="21"/>
                      <w:highlight w:val="none"/>
                    </w:rPr>
                    <w:t>个/a</w:t>
                  </w:r>
                </w:p>
              </w:tc>
              <w:tc>
                <w:tcPr>
                  <w:tcW w:w="1223" w:type="pct"/>
                  <w:vMerge w:val="continue"/>
                  <w:tcBorders>
                    <w:tl2br w:val="nil"/>
                    <w:tr2bl w:val="nil"/>
                  </w:tcBorders>
                  <w:vAlign w:val="center"/>
                </w:tcPr>
                <w:p w14:paraId="2C3E8065">
                  <w:pPr>
                    <w:adjustRightInd w:val="0"/>
                    <w:snapToGrid w:val="0"/>
                    <w:jc w:val="center"/>
                    <w:rPr>
                      <w:bCs/>
                      <w:color w:val="auto"/>
                      <w:sz w:val="21"/>
                      <w:szCs w:val="21"/>
                      <w:highlight w:val="none"/>
                    </w:rPr>
                  </w:pPr>
                </w:p>
              </w:tc>
              <w:tc>
                <w:tcPr>
                  <w:tcW w:w="1061" w:type="pct"/>
                  <w:vMerge w:val="continue"/>
                  <w:tcBorders>
                    <w:tl2br w:val="nil"/>
                    <w:tr2bl w:val="nil"/>
                  </w:tcBorders>
                  <w:vAlign w:val="center"/>
                </w:tcPr>
                <w:p w14:paraId="5BBCCAEE">
                  <w:pPr>
                    <w:adjustRightInd w:val="0"/>
                    <w:snapToGrid w:val="0"/>
                    <w:jc w:val="center"/>
                    <w:rPr>
                      <w:bCs/>
                      <w:color w:val="auto"/>
                      <w:sz w:val="21"/>
                      <w:szCs w:val="21"/>
                      <w:highlight w:val="none"/>
                    </w:rPr>
                  </w:pPr>
                </w:p>
              </w:tc>
            </w:tr>
          </w:tbl>
          <w:p w14:paraId="7B60C977">
            <w:pPr>
              <w:adjustRightInd w:val="0"/>
              <w:snapToGrid w:val="0"/>
              <w:spacing w:before="240" w:line="360" w:lineRule="auto"/>
              <w:ind w:firstLine="480" w:firstLineChars="200"/>
              <w:jc w:val="left"/>
              <w:rPr>
                <w:bCs/>
                <w:color w:val="auto"/>
                <w:kern w:val="28"/>
                <w:sz w:val="24"/>
                <w:highlight w:val="none"/>
              </w:rPr>
            </w:pPr>
            <w:r>
              <w:rPr>
                <w:bCs/>
                <w:color w:val="auto"/>
                <w:kern w:val="28"/>
                <w:sz w:val="24"/>
                <w:highlight w:val="none"/>
              </w:rPr>
              <w:t>采取以上措施后，本项目运营</w:t>
            </w:r>
            <w:r>
              <w:rPr>
                <w:rFonts w:hint="eastAsia"/>
                <w:bCs/>
                <w:color w:val="auto"/>
                <w:kern w:val="28"/>
                <w:sz w:val="24"/>
                <w:highlight w:val="none"/>
                <w:lang w:eastAsia="zh-CN"/>
              </w:rPr>
              <w:t>期间</w:t>
            </w:r>
            <w:r>
              <w:rPr>
                <w:bCs/>
                <w:color w:val="auto"/>
                <w:kern w:val="28"/>
                <w:sz w:val="24"/>
                <w:highlight w:val="none"/>
              </w:rPr>
              <w:t>产生的固体废物均</w:t>
            </w:r>
            <w:r>
              <w:rPr>
                <w:rFonts w:hint="eastAsia"/>
                <w:bCs/>
                <w:color w:val="auto"/>
                <w:kern w:val="28"/>
                <w:sz w:val="24"/>
                <w:highlight w:val="none"/>
                <w:lang w:eastAsia="zh-CN"/>
              </w:rPr>
              <w:t>能</w:t>
            </w:r>
            <w:r>
              <w:rPr>
                <w:bCs/>
                <w:color w:val="auto"/>
                <w:kern w:val="28"/>
                <w:sz w:val="24"/>
                <w:highlight w:val="none"/>
              </w:rPr>
              <w:t>得到合理处置。</w:t>
            </w:r>
          </w:p>
          <w:p w14:paraId="111AF031">
            <w:pPr>
              <w:adjustRightInd w:val="0"/>
              <w:snapToGrid w:val="0"/>
              <w:spacing w:line="360" w:lineRule="auto"/>
              <w:jc w:val="left"/>
              <w:rPr>
                <w:bCs/>
                <w:color w:val="auto"/>
                <w:kern w:val="28"/>
                <w:sz w:val="24"/>
                <w:highlight w:val="none"/>
              </w:rPr>
            </w:pPr>
            <w:r>
              <w:rPr>
                <w:b/>
                <w:bCs/>
                <w:color w:val="auto"/>
                <w:sz w:val="24"/>
                <w:highlight w:val="none"/>
              </w:rPr>
              <w:t>5.地下水及土壤环境</w:t>
            </w:r>
          </w:p>
          <w:p w14:paraId="38956658">
            <w:pPr>
              <w:spacing w:line="360" w:lineRule="auto"/>
              <w:ind w:firstLine="480" w:firstLineChars="200"/>
              <w:rPr>
                <w:color w:val="auto"/>
                <w:kern w:val="0"/>
                <w:sz w:val="24"/>
                <w:highlight w:val="none"/>
              </w:rPr>
            </w:pPr>
            <w:r>
              <w:rPr>
                <w:color w:val="auto"/>
                <w:kern w:val="0"/>
                <w:sz w:val="24"/>
                <w:highlight w:val="none"/>
              </w:rPr>
              <w:t>（1）污染途径</w:t>
            </w:r>
          </w:p>
          <w:p w14:paraId="4BB91178">
            <w:pPr>
              <w:spacing w:line="360" w:lineRule="auto"/>
              <w:ind w:firstLine="480" w:firstLineChars="200"/>
              <w:rPr>
                <w:color w:val="auto"/>
                <w:kern w:val="0"/>
                <w:sz w:val="24"/>
                <w:highlight w:val="none"/>
              </w:rPr>
            </w:pPr>
            <w:r>
              <w:rPr>
                <w:color w:val="auto"/>
                <w:kern w:val="0"/>
                <w:sz w:val="24"/>
                <w:highlight w:val="none"/>
              </w:rPr>
              <w:t>本项目危废储存于危废暂存间中，柴油储存于储油间油罐中，废水收集至化粪池中，二噁英通过尾气处理设施处理后可达标排放，正常情况下不会发生污染事故，非正常情况下储存设施或者是防渗设施发生故障或者破损导致污染物泄漏以及尾气处理设施发生故障导致二噁英未经处理直排大气，通过自然沉降至土壤，会对土壤及地下水造成污染。</w:t>
            </w:r>
          </w:p>
          <w:p w14:paraId="38FDFAC9">
            <w:pPr>
              <w:spacing w:line="360" w:lineRule="auto"/>
              <w:ind w:left="420" w:leftChars="200"/>
              <w:rPr>
                <w:bCs/>
                <w:color w:val="auto"/>
                <w:kern w:val="0"/>
                <w:sz w:val="24"/>
                <w:highlight w:val="none"/>
              </w:rPr>
            </w:pPr>
            <w:r>
              <w:rPr>
                <w:color w:val="auto"/>
                <w:kern w:val="0"/>
                <w:sz w:val="24"/>
                <w:highlight w:val="none"/>
              </w:rPr>
              <w:t>（2）分区防控措施</w:t>
            </w:r>
          </w:p>
          <w:p w14:paraId="49671205">
            <w:pPr>
              <w:spacing w:line="360" w:lineRule="auto"/>
              <w:ind w:firstLine="480" w:firstLineChars="200"/>
              <w:rPr>
                <w:color w:val="auto"/>
                <w:kern w:val="0"/>
                <w:sz w:val="24"/>
                <w:highlight w:val="none"/>
              </w:rPr>
            </w:pPr>
            <w:r>
              <w:rPr>
                <w:color w:val="auto"/>
                <w:kern w:val="0"/>
                <w:sz w:val="24"/>
                <w:highlight w:val="none"/>
              </w:rPr>
              <w:t>根据《环境影响评价技术导则 地下水环境》（HJ610-2016）中地下水环境保护措施及对策的要求，本项目实行分区防控</w:t>
            </w:r>
            <w:r>
              <w:rPr>
                <w:rFonts w:hint="eastAsia"/>
                <w:color w:val="auto"/>
                <w:kern w:val="0"/>
                <w:sz w:val="24"/>
                <w:highlight w:val="none"/>
                <w:lang w:eastAsia="zh-CN"/>
              </w:rPr>
              <w:t>。</w:t>
            </w:r>
            <w:r>
              <w:rPr>
                <w:color w:val="auto"/>
                <w:kern w:val="0"/>
                <w:sz w:val="24"/>
                <w:highlight w:val="none"/>
              </w:rPr>
              <w:t>危废暂存间、储油间为重点防渗区，</w:t>
            </w:r>
            <w:r>
              <w:rPr>
                <w:rFonts w:hint="eastAsia"/>
                <w:color w:val="auto"/>
                <w:kern w:val="0"/>
                <w:sz w:val="24"/>
                <w:highlight w:val="none"/>
                <w:lang w:eastAsia="zh-CN"/>
              </w:rPr>
              <w:t>按照</w:t>
            </w:r>
            <w:r>
              <w:rPr>
                <w:color w:val="auto"/>
                <w:kern w:val="0"/>
                <w:sz w:val="24"/>
                <w:highlight w:val="none"/>
              </w:rPr>
              <w:t>重点防渗区</w:t>
            </w:r>
            <w:r>
              <w:rPr>
                <w:rFonts w:hint="eastAsia"/>
                <w:color w:val="auto"/>
                <w:kern w:val="0"/>
                <w:sz w:val="24"/>
                <w:highlight w:val="none"/>
                <w:lang w:eastAsia="zh-CN"/>
              </w:rPr>
              <w:t>的</w:t>
            </w:r>
            <w:r>
              <w:rPr>
                <w:color w:val="auto"/>
                <w:kern w:val="0"/>
                <w:sz w:val="24"/>
                <w:highlight w:val="none"/>
              </w:rPr>
              <w:t>要求</w:t>
            </w:r>
            <w:r>
              <w:rPr>
                <w:rFonts w:hint="eastAsia"/>
                <w:color w:val="auto"/>
                <w:kern w:val="0"/>
                <w:sz w:val="24"/>
                <w:highlight w:val="none"/>
                <w:lang w:eastAsia="zh-CN"/>
              </w:rPr>
              <w:t>进行</w:t>
            </w:r>
            <w:r>
              <w:rPr>
                <w:color w:val="auto"/>
                <w:kern w:val="0"/>
                <w:sz w:val="24"/>
                <w:highlight w:val="none"/>
              </w:rPr>
              <w:t>防渗</w:t>
            </w:r>
            <w:r>
              <w:rPr>
                <w:rFonts w:hint="eastAsia"/>
                <w:color w:val="auto"/>
                <w:kern w:val="0"/>
                <w:sz w:val="24"/>
                <w:highlight w:val="none"/>
                <w:lang w:eastAsia="zh-CN"/>
              </w:rPr>
              <w:t>；</w:t>
            </w:r>
            <w:r>
              <w:rPr>
                <w:color w:val="auto"/>
                <w:kern w:val="0"/>
                <w:sz w:val="24"/>
                <w:highlight w:val="none"/>
              </w:rPr>
              <w:t>化粪池为一般防渗区，</w:t>
            </w:r>
            <w:r>
              <w:rPr>
                <w:rFonts w:hint="eastAsia"/>
                <w:color w:val="auto"/>
                <w:kern w:val="0"/>
                <w:sz w:val="24"/>
                <w:highlight w:val="none"/>
                <w:lang w:eastAsia="zh-CN"/>
              </w:rPr>
              <w:t>按照</w:t>
            </w:r>
            <w:r>
              <w:rPr>
                <w:color w:val="auto"/>
                <w:kern w:val="0"/>
                <w:sz w:val="24"/>
                <w:highlight w:val="none"/>
              </w:rPr>
              <w:t>一般防渗区</w:t>
            </w:r>
            <w:r>
              <w:rPr>
                <w:rFonts w:hint="eastAsia"/>
                <w:color w:val="auto"/>
                <w:kern w:val="0"/>
                <w:sz w:val="24"/>
                <w:highlight w:val="none"/>
                <w:lang w:eastAsia="zh-CN"/>
              </w:rPr>
              <w:t>的</w:t>
            </w:r>
            <w:r>
              <w:rPr>
                <w:color w:val="auto"/>
                <w:kern w:val="0"/>
                <w:sz w:val="24"/>
                <w:highlight w:val="none"/>
              </w:rPr>
              <w:t>要求</w:t>
            </w:r>
            <w:r>
              <w:rPr>
                <w:rFonts w:hint="eastAsia"/>
                <w:color w:val="auto"/>
                <w:kern w:val="0"/>
                <w:sz w:val="24"/>
                <w:highlight w:val="none"/>
                <w:lang w:eastAsia="zh-CN"/>
              </w:rPr>
              <w:t>进行</w:t>
            </w:r>
            <w:r>
              <w:rPr>
                <w:color w:val="auto"/>
                <w:kern w:val="0"/>
                <w:sz w:val="24"/>
                <w:highlight w:val="none"/>
              </w:rPr>
              <w:t>防渗</w:t>
            </w:r>
            <w:r>
              <w:rPr>
                <w:rFonts w:hint="eastAsia"/>
                <w:color w:val="auto"/>
                <w:kern w:val="0"/>
                <w:sz w:val="24"/>
                <w:highlight w:val="none"/>
                <w:lang w:eastAsia="zh-CN"/>
              </w:rPr>
              <w:t>；</w:t>
            </w:r>
            <w:r>
              <w:rPr>
                <w:color w:val="auto"/>
                <w:kern w:val="0"/>
                <w:sz w:val="24"/>
                <w:highlight w:val="none"/>
              </w:rPr>
              <w:t>其</w:t>
            </w:r>
            <w:r>
              <w:rPr>
                <w:rFonts w:hint="eastAsia"/>
                <w:color w:val="auto"/>
                <w:kern w:val="0"/>
                <w:sz w:val="24"/>
                <w:highlight w:val="none"/>
                <w:lang w:eastAsia="zh-CN"/>
              </w:rPr>
              <w:t>他</w:t>
            </w:r>
            <w:r>
              <w:rPr>
                <w:color w:val="auto"/>
                <w:kern w:val="0"/>
                <w:sz w:val="24"/>
                <w:highlight w:val="none"/>
              </w:rPr>
              <w:t>区域为简单防渗区，</w:t>
            </w:r>
            <w:r>
              <w:rPr>
                <w:rFonts w:hint="eastAsia"/>
                <w:color w:val="auto"/>
                <w:kern w:val="0"/>
                <w:sz w:val="24"/>
                <w:highlight w:val="none"/>
                <w:lang w:eastAsia="zh-CN"/>
              </w:rPr>
              <w:t>按照</w:t>
            </w:r>
            <w:r>
              <w:rPr>
                <w:color w:val="auto"/>
                <w:kern w:val="0"/>
                <w:sz w:val="24"/>
                <w:highlight w:val="none"/>
              </w:rPr>
              <w:t>简单防渗区</w:t>
            </w:r>
            <w:r>
              <w:rPr>
                <w:rFonts w:hint="eastAsia"/>
                <w:color w:val="auto"/>
                <w:kern w:val="0"/>
                <w:sz w:val="24"/>
                <w:highlight w:val="none"/>
                <w:lang w:eastAsia="zh-CN"/>
              </w:rPr>
              <w:t>的</w:t>
            </w:r>
            <w:r>
              <w:rPr>
                <w:color w:val="auto"/>
                <w:kern w:val="0"/>
                <w:sz w:val="24"/>
                <w:highlight w:val="none"/>
              </w:rPr>
              <w:t>要求进行防渗。具体防渗方法如下：</w:t>
            </w:r>
          </w:p>
          <w:p w14:paraId="544A293B">
            <w:pPr>
              <w:adjustRightInd w:val="0"/>
              <w:snapToGrid w:val="0"/>
              <w:ind w:firstLine="482" w:firstLineChars="200"/>
              <w:jc w:val="center"/>
              <w:rPr>
                <w:b/>
                <w:bCs/>
                <w:color w:val="auto"/>
                <w:sz w:val="24"/>
                <w:highlight w:val="none"/>
              </w:rPr>
            </w:pPr>
            <w:r>
              <w:rPr>
                <w:b/>
                <w:bCs/>
                <w:color w:val="auto"/>
                <w:sz w:val="24"/>
                <w:highlight w:val="none"/>
              </w:rPr>
              <w:t>表4-1</w:t>
            </w:r>
            <w:r>
              <w:rPr>
                <w:rFonts w:hint="eastAsia"/>
                <w:b/>
                <w:bCs/>
                <w:color w:val="auto"/>
                <w:sz w:val="24"/>
                <w:highlight w:val="none"/>
                <w:lang w:val="en-US" w:eastAsia="zh-CN"/>
              </w:rPr>
              <w:t>2</w:t>
            </w:r>
            <w:r>
              <w:rPr>
                <w:b/>
                <w:bCs/>
                <w:color w:val="auto"/>
                <w:sz w:val="24"/>
                <w:highlight w:val="none"/>
              </w:rPr>
              <w:t xml:space="preserve"> 分区防渗方法一览表</w:t>
            </w:r>
          </w:p>
          <w:tbl>
            <w:tblPr>
              <w:tblStyle w:val="20"/>
              <w:tblW w:w="5000"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1757"/>
              <w:gridCol w:w="1395"/>
              <w:gridCol w:w="5122"/>
            </w:tblGrid>
            <w:tr w14:paraId="06477F9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62" w:type="pct"/>
                  <w:tcBorders>
                    <w:tl2br w:val="nil"/>
                    <w:tr2bl w:val="nil"/>
                  </w:tcBorders>
                  <w:vAlign w:val="center"/>
                </w:tcPr>
                <w:p w14:paraId="067273A6">
                  <w:pPr>
                    <w:pStyle w:val="27"/>
                    <w:rPr>
                      <w:b/>
                      <w:bCs/>
                      <w:color w:val="auto"/>
                      <w:highlight w:val="none"/>
                    </w:rPr>
                  </w:pPr>
                  <w:r>
                    <w:rPr>
                      <w:b/>
                      <w:bCs/>
                      <w:color w:val="auto"/>
                      <w:highlight w:val="none"/>
                    </w:rPr>
                    <w:t>防渗位置</w:t>
                  </w:r>
                </w:p>
              </w:tc>
              <w:tc>
                <w:tcPr>
                  <w:tcW w:w="843" w:type="pct"/>
                  <w:tcBorders>
                    <w:tl2br w:val="nil"/>
                    <w:tr2bl w:val="nil"/>
                  </w:tcBorders>
                  <w:vAlign w:val="center"/>
                </w:tcPr>
                <w:p w14:paraId="719D46C3">
                  <w:pPr>
                    <w:pStyle w:val="27"/>
                    <w:rPr>
                      <w:b/>
                      <w:bCs/>
                      <w:color w:val="auto"/>
                      <w:highlight w:val="none"/>
                    </w:rPr>
                  </w:pPr>
                  <w:r>
                    <w:rPr>
                      <w:b/>
                      <w:bCs/>
                      <w:color w:val="auto"/>
                      <w:highlight w:val="none"/>
                    </w:rPr>
                    <w:t>防渗等级</w:t>
                  </w:r>
                </w:p>
              </w:tc>
              <w:tc>
                <w:tcPr>
                  <w:tcW w:w="3094" w:type="pct"/>
                  <w:tcBorders>
                    <w:tl2br w:val="nil"/>
                    <w:tr2bl w:val="nil"/>
                  </w:tcBorders>
                  <w:vAlign w:val="center"/>
                </w:tcPr>
                <w:p w14:paraId="410D310F">
                  <w:pPr>
                    <w:pStyle w:val="27"/>
                    <w:rPr>
                      <w:b/>
                      <w:bCs/>
                      <w:color w:val="auto"/>
                      <w:highlight w:val="none"/>
                    </w:rPr>
                  </w:pPr>
                  <w:r>
                    <w:rPr>
                      <w:b/>
                      <w:bCs/>
                      <w:color w:val="auto"/>
                      <w:highlight w:val="none"/>
                    </w:rPr>
                    <w:t>防渗技术要求</w:t>
                  </w:r>
                </w:p>
              </w:tc>
            </w:tr>
            <w:tr w14:paraId="5106D91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62" w:type="pct"/>
                  <w:tcBorders>
                    <w:tl2br w:val="nil"/>
                    <w:tr2bl w:val="nil"/>
                  </w:tcBorders>
                  <w:vAlign w:val="center"/>
                </w:tcPr>
                <w:p w14:paraId="63D4B876">
                  <w:pPr>
                    <w:pStyle w:val="27"/>
                    <w:rPr>
                      <w:color w:val="auto"/>
                      <w:highlight w:val="none"/>
                    </w:rPr>
                  </w:pPr>
                  <w:r>
                    <w:rPr>
                      <w:color w:val="auto"/>
                      <w:highlight w:val="none"/>
                    </w:rPr>
                    <w:t>危废暂存间、储油间</w:t>
                  </w:r>
                </w:p>
              </w:tc>
              <w:tc>
                <w:tcPr>
                  <w:tcW w:w="843" w:type="pct"/>
                  <w:tcBorders>
                    <w:tl2br w:val="nil"/>
                    <w:tr2bl w:val="nil"/>
                  </w:tcBorders>
                  <w:vAlign w:val="center"/>
                </w:tcPr>
                <w:p w14:paraId="2430C099">
                  <w:pPr>
                    <w:pStyle w:val="27"/>
                    <w:rPr>
                      <w:color w:val="auto"/>
                      <w:highlight w:val="none"/>
                    </w:rPr>
                  </w:pPr>
                  <w:r>
                    <w:rPr>
                      <w:color w:val="auto"/>
                      <w:highlight w:val="none"/>
                    </w:rPr>
                    <w:t>重点</w:t>
                  </w:r>
                </w:p>
                <w:p w14:paraId="3B5E66B8">
                  <w:pPr>
                    <w:pStyle w:val="27"/>
                    <w:rPr>
                      <w:color w:val="auto"/>
                      <w:highlight w:val="none"/>
                    </w:rPr>
                  </w:pPr>
                  <w:r>
                    <w:rPr>
                      <w:color w:val="auto"/>
                      <w:highlight w:val="none"/>
                    </w:rPr>
                    <w:t>防渗区</w:t>
                  </w:r>
                </w:p>
              </w:tc>
              <w:tc>
                <w:tcPr>
                  <w:tcW w:w="3094" w:type="pct"/>
                  <w:tcBorders>
                    <w:tl2br w:val="nil"/>
                    <w:tr2bl w:val="nil"/>
                  </w:tcBorders>
                  <w:vAlign w:val="center"/>
                </w:tcPr>
                <w:p w14:paraId="3D7811A7">
                  <w:pPr>
                    <w:pStyle w:val="27"/>
                    <w:rPr>
                      <w:color w:val="auto"/>
                      <w:highlight w:val="none"/>
                    </w:rPr>
                  </w:pPr>
                  <w:r>
                    <w:rPr>
                      <w:color w:val="auto"/>
                      <w:highlight w:val="none"/>
                    </w:rPr>
                    <w:t>危废暂存间、储油间地面、裙角以及导流槽、集液池基础防渗措施：防渗层为至少2</w:t>
                  </w:r>
                  <w:r>
                    <w:rPr>
                      <w:rFonts w:hint="eastAsia"/>
                      <w:color w:val="auto"/>
                      <w:highlight w:val="none"/>
                      <w:lang w:eastAsia="zh-CN"/>
                    </w:rPr>
                    <w:t>mm</w:t>
                  </w:r>
                  <w:r>
                    <w:rPr>
                      <w:color w:val="auto"/>
                      <w:highlight w:val="none"/>
                    </w:rPr>
                    <w:t>厚</w:t>
                  </w:r>
                  <w:r>
                    <w:rPr>
                      <w:rFonts w:hint="eastAsia"/>
                      <w:color w:val="auto"/>
                      <w:highlight w:val="none"/>
                      <w:lang w:eastAsia="zh-CN"/>
                    </w:rPr>
                    <w:t>的</w:t>
                  </w:r>
                  <w:r>
                    <w:rPr>
                      <w:color w:val="auto"/>
                      <w:highlight w:val="none"/>
                    </w:rPr>
                    <w:t>高密度聚乙烯膜（渗透系数不大于10</w:t>
                  </w:r>
                  <w:r>
                    <w:rPr>
                      <w:color w:val="auto"/>
                      <w:highlight w:val="none"/>
                      <w:vertAlign w:val="superscript"/>
                    </w:rPr>
                    <w:t>-10</w:t>
                  </w:r>
                  <w:r>
                    <w:rPr>
                      <w:color w:val="auto"/>
                      <w:highlight w:val="none"/>
                    </w:rPr>
                    <w:t>c</w:t>
                  </w:r>
                  <w:r>
                    <w:rPr>
                      <w:rFonts w:hint="eastAsia"/>
                      <w:color w:val="auto"/>
                      <w:highlight w:val="none"/>
                      <w:lang w:eastAsia="zh-CN"/>
                    </w:rPr>
                    <w:t>m</w:t>
                  </w:r>
                  <w:r>
                    <w:rPr>
                      <w:color w:val="auto"/>
                      <w:highlight w:val="none"/>
                    </w:rPr>
                    <w:t>/s），地面、裙角以及导流槽、集液池表面防渗采用抗渗混凝土。</w:t>
                  </w:r>
                </w:p>
              </w:tc>
            </w:tr>
            <w:tr w14:paraId="29FD183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62" w:type="pct"/>
                  <w:tcBorders>
                    <w:tl2br w:val="nil"/>
                    <w:tr2bl w:val="nil"/>
                  </w:tcBorders>
                  <w:vAlign w:val="center"/>
                </w:tcPr>
                <w:p w14:paraId="2AAA50F8">
                  <w:pPr>
                    <w:pStyle w:val="27"/>
                    <w:rPr>
                      <w:color w:val="auto"/>
                      <w:highlight w:val="none"/>
                    </w:rPr>
                  </w:pPr>
                  <w:r>
                    <w:rPr>
                      <w:color w:val="auto"/>
                      <w:highlight w:val="none"/>
                    </w:rPr>
                    <w:t>化粪池</w:t>
                  </w:r>
                </w:p>
              </w:tc>
              <w:tc>
                <w:tcPr>
                  <w:tcW w:w="843" w:type="pct"/>
                  <w:tcBorders>
                    <w:tl2br w:val="nil"/>
                    <w:tr2bl w:val="nil"/>
                  </w:tcBorders>
                  <w:vAlign w:val="center"/>
                </w:tcPr>
                <w:p w14:paraId="3B7D0F7B">
                  <w:pPr>
                    <w:pStyle w:val="27"/>
                    <w:rPr>
                      <w:color w:val="auto"/>
                      <w:highlight w:val="none"/>
                    </w:rPr>
                  </w:pPr>
                  <w:r>
                    <w:rPr>
                      <w:color w:val="auto"/>
                      <w:highlight w:val="none"/>
                    </w:rPr>
                    <w:t>一般</w:t>
                  </w:r>
                </w:p>
                <w:p w14:paraId="4860E0FD">
                  <w:pPr>
                    <w:pStyle w:val="27"/>
                    <w:rPr>
                      <w:color w:val="auto"/>
                      <w:highlight w:val="none"/>
                    </w:rPr>
                  </w:pPr>
                  <w:r>
                    <w:rPr>
                      <w:color w:val="auto"/>
                      <w:highlight w:val="none"/>
                    </w:rPr>
                    <w:t>防渗区</w:t>
                  </w:r>
                </w:p>
              </w:tc>
              <w:tc>
                <w:tcPr>
                  <w:tcW w:w="3094" w:type="pct"/>
                  <w:tcBorders>
                    <w:tl2br w:val="nil"/>
                    <w:tr2bl w:val="nil"/>
                  </w:tcBorders>
                  <w:vAlign w:val="center"/>
                </w:tcPr>
                <w:p w14:paraId="76579B05">
                  <w:pPr>
                    <w:pStyle w:val="27"/>
                    <w:rPr>
                      <w:color w:val="auto"/>
                      <w:highlight w:val="none"/>
                    </w:rPr>
                  </w:pPr>
                  <w:r>
                    <w:rPr>
                      <w:rFonts w:hint="eastAsia"/>
                      <w:color w:val="auto"/>
                      <w:highlight w:val="none"/>
                      <w:lang w:eastAsia="zh-CN"/>
                    </w:rPr>
                    <w:t>采用</w:t>
                  </w:r>
                  <w:r>
                    <w:rPr>
                      <w:color w:val="auto"/>
                      <w:highlight w:val="none"/>
                    </w:rPr>
                    <w:t>玻璃钢</w:t>
                  </w:r>
                </w:p>
              </w:tc>
            </w:tr>
            <w:tr w14:paraId="1172518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62" w:type="pct"/>
                  <w:tcBorders>
                    <w:tl2br w:val="nil"/>
                    <w:tr2bl w:val="nil"/>
                  </w:tcBorders>
                  <w:vAlign w:val="center"/>
                </w:tcPr>
                <w:p w14:paraId="428E21EE">
                  <w:pPr>
                    <w:pStyle w:val="27"/>
                    <w:rPr>
                      <w:color w:val="auto"/>
                      <w:highlight w:val="none"/>
                    </w:rPr>
                  </w:pPr>
                  <w:r>
                    <w:rPr>
                      <w:color w:val="auto"/>
                      <w:highlight w:val="none"/>
                    </w:rPr>
                    <w:t>其他区域</w:t>
                  </w:r>
                </w:p>
              </w:tc>
              <w:tc>
                <w:tcPr>
                  <w:tcW w:w="843" w:type="pct"/>
                  <w:tcBorders>
                    <w:tl2br w:val="nil"/>
                    <w:tr2bl w:val="nil"/>
                  </w:tcBorders>
                  <w:vAlign w:val="center"/>
                </w:tcPr>
                <w:p w14:paraId="0B72044A">
                  <w:pPr>
                    <w:pStyle w:val="27"/>
                    <w:rPr>
                      <w:color w:val="auto"/>
                      <w:highlight w:val="none"/>
                    </w:rPr>
                  </w:pPr>
                  <w:r>
                    <w:rPr>
                      <w:color w:val="auto"/>
                      <w:highlight w:val="none"/>
                    </w:rPr>
                    <w:t>简单</w:t>
                  </w:r>
                </w:p>
                <w:p w14:paraId="103C6A4C">
                  <w:pPr>
                    <w:pStyle w:val="27"/>
                    <w:rPr>
                      <w:color w:val="auto"/>
                      <w:highlight w:val="none"/>
                    </w:rPr>
                  </w:pPr>
                  <w:r>
                    <w:rPr>
                      <w:color w:val="auto"/>
                      <w:highlight w:val="none"/>
                    </w:rPr>
                    <w:t>防渗区</w:t>
                  </w:r>
                </w:p>
              </w:tc>
              <w:tc>
                <w:tcPr>
                  <w:tcW w:w="3094" w:type="pct"/>
                  <w:tcBorders>
                    <w:tl2br w:val="nil"/>
                    <w:tr2bl w:val="nil"/>
                  </w:tcBorders>
                  <w:vAlign w:val="center"/>
                </w:tcPr>
                <w:p w14:paraId="462D4E1C">
                  <w:pPr>
                    <w:pStyle w:val="27"/>
                    <w:rPr>
                      <w:rFonts w:hint="eastAsia" w:eastAsia="宋体"/>
                      <w:color w:val="auto"/>
                      <w:highlight w:val="none"/>
                      <w:lang w:eastAsia="zh-CN"/>
                    </w:rPr>
                  </w:pPr>
                  <w:r>
                    <w:rPr>
                      <w:color w:val="auto"/>
                      <w:highlight w:val="none"/>
                    </w:rPr>
                    <w:t>采用水泥进行地面硬化</w:t>
                  </w:r>
                  <w:r>
                    <w:rPr>
                      <w:rFonts w:hint="eastAsia"/>
                      <w:color w:val="auto"/>
                      <w:highlight w:val="none"/>
                      <w:lang w:eastAsia="zh-CN"/>
                    </w:rPr>
                    <w:t>。</w:t>
                  </w:r>
                </w:p>
              </w:tc>
            </w:tr>
          </w:tbl>
          <w:p w14:paraId="282A9646">
            <w:pPr>
              <w:pStyle w:val="31"/>
              <w:ind w:firstLine="0" w:firstLineChars="0"/>
              <w:rPr>
                <w:b/>
                <w:bCs/>
                <w:color w:val="auto"/>
                <w:highlight w:val="none"/>
              </w:rPr>
            </w:pPr>
            <w:r>
              <w:rPr>
                <w:b/>
                <w:bCs/>
                <w:color w:val="auto"/>
                <w:highlight w:val="none"/>
              </w:rPr>
              <w:t>6.环境风险分析</w:t>
            </w:r>
          </w:p>
          <w:p w14:paraId="57926CA5">
            <w:pPr>
              <w:spacing w:line="360" w:lineRule="auto"/>
              <w:ind w:firstLine="480" w:firstLineChars="200"/>
              <w:rPr>
                <w:color w:val="auto"/>
                <w:sz w:val="24"/>
                <w:highlight w:val="none"/>
              </w:rPr>
            </w:pPr>
            <w:r>
              <w:rPr>
                <w:color w:val="auto"/>
                <w:sz w:val="24"/>
                <w:highlight w:val="none"/>
              </w:rPr>
              <w:t>（1）风险源调查</w:t>
            </w:r>
          </w:p>
          <w:p w14:paraId="1B9C3499">
            <w:pPr>
              <w:spacing w:line="360" w:lineRule="auto"/>
              <w:ind w:firstLine="480" w:firstLineChars="200"/>
              <w:rPr>
                <w:color w:val="auto"/>
                <w:sz w:val="24"/>
                <w:highlight w:val="none"/>
              </w:rPr>
            </w:pPr>
            <w:r>
              <w:rPr>
                <w:color w:val="auto"/>
                <w:sz w:val="24"/>
                <w:highlight w:val="none"/>
              </w:rPr>
              <w:t>根据《建设项目环境风险评价技术导则》（HJ169-2018）附录B，拟建项目涉及的危险物质主要为</w:t>
            </w:r>
            <w:r>
              <w:rPr>
                <w:rFonts w:hint="eastAsia"/>
                <w:color w:val="auto"/>
                <w:sz w:val="24"/>
                <w:highlight w:val="none"/>
                <w:lang w:val="en-US" w:eastAsia="zh-CN"/>
              </w:rPr>
              <w:t>油类物质（</w:t>
            </w:r>
            <w:r>
              <w:rPr>
                <w:color w:val="auto"/>
                <w:sz w:val="24"/>
                <w:highlight w:val="none"/>
              </w:rPr>
              <w:t>柴油</w:t>
            </w:r>
            <w:r>
              <w:rPr>
                <w:rFonts w:hint="eastAsia"/>
                <w:color w:val="auto"/>
                <w:sz w:val="24"/>
                <w:highlight w:val="none"/>
                <w:lang w:eastAsia="zh-CN"/>
              </w:rPr>
              <w:t>、</w:t>
            </w:r>
            <w:r>
              <w:rPr>
                <w:rFonts w:hint="eastAsia"/>
                <w:color w:val="auto"/>
                <w:sz w:val="24"/>
                <w:highlight w:val="none"/>
                <w:lang w:val="en-US" w:eastAsia="zh-CN"/>
              </w:rPr>
              <w:t>废矿物油等）</w:t>
            </w:r>
            <w:r>
              <w:rPr>
                <w:color w:val="auto"/>
                <w:sz w:val="24"/>
                <w:highlight w:val="none"/>
              </w:rPr>
              <w:t>。</w:t>
            </w:r>
          </w:p>
          <w:p w14:paraId="07A1C966">
            <w:pPr>
              <w:spacing w:line="360" w:lineRule="auto"/>
              <w:ind w:firstLine="480" w:firstLineChars="200"/>
              <w:rPr>
                <w:color w:val="auto"/>
                <w:sz w:val="24"/>
                <w:highlight w:val="none"/>
              </w:rPr>
            </w:pPr>
            <w:r>
              <w:rPr>
                <w:color w:val="auto"/>
                <w:sz w:val="24"/>
                <w:highlight w:val="none"/>
              </w:rPr>
              <w:t>（2）风险潜势初判</w:t>
            </w:r>
          </w:p>
          <w:p w14:paraId="1C0A96D9">
            <w:pPr>
              <w:spacing w:line="360" w:lineRule="auto"/>
              <w:ind w:firstLine="480" w:firstLineChars="200"/>
              <w:rPr>
                <w:color w:val="auto"/>
                <w:sz w:val="24"/>
                <w:highlight w:val="none"/>
              </w:rPr>
            </w:pPr>
            <w:r>
              <w:rPr>
                <w:color w:val="auto"/>
                <w:sz w:val="24"/>
                <w:highlight w:val="none"/>
              </w:rPr>
              <w:t>①危险物质及工艺系统危险性（P）的分级</w:t>
            </w:r>
          </w:p>
          <w:p w14:paraId="6E37517B">
            <w:pPr>
              <w:spacing w:line="360" w:lineRule="auto"/>
              <w:ind w:firstLine="480" w:firstLineChars="200"/>
              <w:rPr>
                <w:color w:val="auto"/>
                <w:sz w:val="24"/>
                <w:highlight w:val="none"/>
              </w:rPr>
            </w:pPr>
            <w:r>
              <w:rPr>
                <w:color w:val="auto"/>
                <w:sz w:val="24"/>
                <w:highlight w:val="none"/>
              </w:rPr>
              <w:t>1.危险物质数量与临界量</w:t>
            </w:r>
            <w:r>
              <w:rPr>
                <w:rFonts w:hint="eastAsia"/>
                <w:color w:val="auto"/>
                <w:sz w:val="24"/>
                <w:highlight w:val="none"/>
                <w:lang w:eastAsia="zh-CN"/>
              </w:rPr>
              <w:t>的</w:t>
            </w:r>
            <w:r>
              <w:rPr>
                <w:color w:val="auto"/>
                <w:sz w:val="24"/>
                <w:highlight w:val="none"/>
              </w:rPr>
              <w:t>比值（Q）</w:t>
            </w:r>
          </w:p>
          <w:p w14:paraId="0C74F7F7">
            <w:pPr>
              <w:spacing w:line="360" w:lineRule="auto"/>
              <w:ind w:firstLine="480" w:firstLineChars="200"/>
              <w:rPr>
                <w:color w:val="auto"/>
                <w:sz w:val="24"/>
                <w:highlight w:val="none"/>
              </w:rPr>
            </w:pPr>
            <w:r>
              <w:rPr>
                <w:color w:val="auto"/>
                <w:sz w:val="24"/>
                <w:highlight w:val="none"/>
              </w:rPr>
              <w:t>计算所涉及的每种危险物质在厂界内的最大存在总量与其在附录B中对应临界量的比值Q。在不同厂区的同一种物质，按其在厂界内的最大存在总量计算。</w:t>
            </w:r>
          </w:p>
          <w:p w14:paraId="6F9E015B">
            <w:pPr>
              <w:spacing w:line="360" w:lineRule="auto"/>
              <w:ind w:firstLine="480" w:firstLineChars="200"/>
              <w:rPr>
                <w:color w:val="auto"/>
                <w:sz w:val="24"/>
                <w:highlight w:val="none"/>
              </w:rPr>
            </w:pPr>
            <w:r>
              <w:rPr>
                <w:color w:val="auto"/>
                <w:sz w:val="24"/>
                <w:highlight w:val="none"/>
              </w:rPr>
              <w:t>当只涉及一种危险物质时，计算该物质的总量与其临界量</w:t>
            </w:r>
            <w:r>
              <w:rPr>
                <w:rFonts w:hint="eastAsia"/>
                <w:color w:val="auto"/>
                <w:sz w:val="24"/>
                <w:highlight w:val="none"/>
                <w:lang w:eastAsia="zh-CN"/>
              </w:rPr>
              <w:t>的</w:t>
            </w:r>
            <w:r>
              <w:rPr>
                <w:color w:val="auto"/>
                <w:sz w:val="24"/>
                <w:highlight w:val="none"/>
              </w:rPr>
              <w:t>比值，即为Q；</w:t>
            </w:r>
          </w:p>
          <w:p w14:paraId="0CC36054">
            <w:pPr>
              <w:spacing w:line="360" w:lineRule="auto"/>
              <w:ind w:firstLine="480" w:firstLineChars="200"/>
              <w:rPr>
                <w:color w:val="auto"/>
                <w:sz w:val="24"/>
                <w:highlight w:val="none"/>
              </w:rPr>
            </w:pPr>
            <w:r>
              <w:rPr>
                <w:color w:val="auto"/>
                <w:sz w:val="24"/>
                <w:highlight w:val="none"/>
              </w:rPr>
              <w:t>当存在多种危险物质时，则按下式计算</w:t>
            </w:r>
            <w:r>
              <w:rPr>
                <w:rFonts w:hint="eastAsia"/>
                <w:color w:val="auto"/>
                <w:sz w:val="24"/>
                <w:highlight w:val="none"/>
                <w:lang w:eastAsia="zh-CN"/>
              </w:rPr>
              <w:t>危险</w:t>
            </w:r>
            <w:r>
              <w:rPr>
                <w:color w:val="auto"/>
                <w:sz w:val="24"/>
                <w:highlight w:val="none"/>
              </w:rPr>
              <w:t>物质总量与其临界量</w:t>
            </w:r>
            <w:r>
              <w:rPr>
                <w:rFonts w:hint="eastAsia"/>
                <w:color w:val="auto"/>
                <w:sz w:val="24"/>
                <w:highlight w:val="none"/>
                <w:lang w:eastAsia="zh-CN"/>
              </w:rPr>
              <w:t>的</w:t>
            </w:r>
            <w:r>
              <w:rPr>
                <w:color w:val="auto"/>
                <w:sz w:val="24"/>
                <w:highlight w:val="none"/>
              </w:rPr>
              <w:t>比值（Q）；</w:t>
            </w:r>
          </w:p>
          <w:p w14:paraId="3663AEA7">
            <w:pPr>
              <w:spacing w:line="360" w:lineRule="auto"/>
              <w:jc w:val="center"/>
              <w:rPr>
                <w:color w:val="auto"/>
                <w:sz w:val="24"/>
                <w:highlight w:val="none"/>
              </w:rPr>
            </w:pPr>
            <w:r>
              <w:rPr>
                <w:color w:val="auto"/>
                <w:sz w:val="24"/>
                <w:highlight w:val="none"/>
              </w:rPr>
              <w:t>Q=q1/Q1+q2/Q2+…+qn/Qn</w:t>
            </w:r>
          </w:p>
          <w:p w14:paraId="38EEF5F0">
            <w:pPr>
              <w:spacing w:line="360" w:lineRule="auto"/>
              <w:ind w:firstLine="480" w:firstLineChars="200"/>
              <w:rPr>
                <w:color w:val="auto"/>
                <w:sz w:val="24"/>
                <w:highlight w:val="none"/>
              </w:rPr>
            </w:pPr>
            <w:r>
              <w:rPr>
                <w:color w:val="auto"/>
                <w:sz w:val="24"/>
                <w:highlight w:val="none"/>
              </w:rPr>
              <w:t>式中：</w:t>
            </w:r>
          </w:p>
          <w:p w14:paraId="30724862">
            <w:pPr>
              <w:spacing w:line="360" w:lineRule="auto"/>
              <w:jc w:val="center"/>
              <w:rPr>
                <w:color w:val="auto"/>
                <w:sz w:val="24"/>
                <w:highlight w:val="none"/>
              </w:rPr>
            </w:pPr>
            <w:r>
              <w:rPr>
                <w:color w:val="auto"/>
                <w:sz w:val="24"/>
                <w:highlight w:val="none"/>
              </w:rPr>
              <w:t>q1，q2，</w:t>
            </w:r>
            <w:r>
              <w:rPr>
                <w:rFonts w:ascii="微软雅黑" w:hAnsi="微软雅黑" w:eastAsia="微软雅黑" w:cs="微软雅黑"/>
                <w:i w:val="0"/>
                <w:iCs w:val="0"/>
                <w:caps w:val="0"/>
                <w:color w:val="auto"/>
                <w:spacing w:val="0"/>
                <w:sz w:val="21"/>
                <w:szCs w:val="21"/>
                <w:highlight w:val="none"/>
              </w:rPr>
              <w:t>……</w:t>
            </w:r>
            <w:r>
              <w:rPr>
                <w:color w:val="auto"/>
                <w:sz w:val="24"/>
                <w:highlight w:val="none"/>
              </w:rPr>
              <w:t>，qn———每种危险物质的最大存在量，t；</w:t>
            </w:r>
          </w:p>
          <w:p w14:paraId="25FA528B">
            <w:pPr>
              <w:spacing w:line="360" w:lineRule="auto"/>
              <w:jc w:val="center"/>
              <w:rPr>
                <w:color w:val="auto"/>
                <w:sz w:val="24"/>
                <w:highlight w:val="none"/>
              </w:rPr>
            </w:pPr>
            <w:r>
              <w:rPr>
                <w:color w:val="auto"/>
                <w:sz w:val="24"/>
                <w:highlight w:val="none"/>
              </w:rPr>
              <w:t>Q1，Q</w:t>
            </w:r>
            <w:r>
              <w:rPr>
                <w:rFonts w:hint="eastAsia"/>
                <w:color w:val="auto"/>
                <w:sz w:val="24"/>
                <w:highlight w:val="none"/>
                <w:lang w:val="en-US" w:eastAsia="zh-CN"/>
              </w:rPr>
              <w:t>2</w:t>
            </w:r>
            <w:r>
              <w:rPr>
                <w:color w:val="auto"/>
                <w:sz w:val="24"/>
                <w:highlight w:val="none"/>
              </w:rPr>
              <w:t>，</w:t>
            </w:r>
            <w:r>
              <w:rPr>
                <w:rFonts w:ascii="微软雅黑" w:hAnsi="微软雅黑" w:eastAsia="微软雅黑" w:cs="微软雅黑"/>
                <w:i w:val="0"/>
                <w:iCs w:val="0"/>
                <w:caps w:val="0"/>
                <w:color w:val="auto"/>
                <w:spacing w:val="0"/>
                <w:sz w:val="21"/>
                <w:szCs w:val="21"/>
                <w:highlight w:val="none"/>
              </w:rPr>
              <w:t>……</w:t>
            </w:r>
            <w:r>
              <w:rPr>
                <w:color w:val="auto"/>
                <w:sz w:val="24"/>
                <w:highlight w:val="none"/>
              </w:rPr>
              <w:t>，Qn———每种危险物质的临界量，t。</w:t>
            </w:r>
          </w:p>
          <w:p w14:paraId="08D22AF0">
            <w:pPr>
              <w:spacing w:line="360" w:lineRule="auto"/>
              <w:ind w:firstLine="480" w:firstLineChars="200"/>
              <w:rPr>
                <w:color w:val="auto"/>
                <w:sz w:val="24"/>
                <w:highlight w:val="none"/>
              </w:rPr>
            </w:pPr>
            <w:r>
              <w:rPr>
                <w:color w:val="auto"/>
                <w:sz w:val="24"/>
                <w:highlight w:val="none"/>
              </w:rPr>
              <w:t>当Q</w:t>
            </w:r>
            <w:r>
              <w:rPr>
                <w:rFonts w:hint="default" w:ascii="Times New Roman" w:hAnsi="Times New Roman" w:cs="Times New Roman"/>
                <w:color w:val="auto"/>
                <w:sz w:val="24"/>
                <w:highlight w:val="none"/>
              </w:rPr>
              <w:t>&lt;</w:t>
            </w:r>
            <w:r>
              <w:rPr>
                <w:color w:val="auto"/>
                <w:sz w:val="24"/>
                <w:highlight w:val="none"/>
              </w:rPr>
              <w:t>1时，该项目环境风险潜势为Ⅰ。</w:t>
            </w:r>
          </w:p>
          <w:p w14:paraId="35D2C221">
            <w:pPr>
              <w:spacing w:line="360" w:lineRule="auto"/>
              <w:ind w:firstLine="480" w:firstLineChars="200"/>
              <w:rPr>
                <w:color w:val="auto"/>
                <w:sz w:val="24"/>
                <w:highlight w:val="none"/>
              </w:rPr>
            </w:pPr>
            <w:r>
              <w:rPr>
                <w:color w:val="auto"/>
                <w:sz w:val="24"/>
                <w:highlight w:val="none"/>
              </w:rPr>
              <w:t>当Q≥1时，将Q值划分为：（1）1≤Q＜10；（2）10≤Q＜100；（3）Q≥100。</w:t>
            </w:r>
          </w:p>
          <w:p w14:paraId="179D20AA">
            <w:pPr>
              <w:spacing w:line="360" w:lineRule="auto"/>
              <w:jc w:val="center"/>
              <w:rPr>
                <w:b/>
                <w:bCs/>
                <w:color w:val="auto"/>
                <w:sz w:val="24"/>
                <w:highlight w:val="none"/>
              </w:rPr>
            </w:pPr>
            <w:r>
              <w:rPr>
                <w:b/>
                <w:bCs/>
                <w:color w:val="auto"/>
                <w:sz w:val="24"/>
                <w:highlight w:val="none"/>
              </w:rPr>
              <w:t>表4-1</w:t>
            </w:r>
            <w:r>
              <w:rPr>
                <w:rFonts w:hint="eastAsia"/>
                <w:b/>
                <w:bCs/>
                <w:color w:val="auto"/>
                <w:sz w:val="24"/>
                <w:highlight w:val="none"/>
                <w:lang w:val="en-US" w:eastAsia="zh-CN"/>
              </w:rPr>
              <w:t>3</w:t>
            </w:r>
            <w:r>
              <w:rPr>
                <w:b/>
                <w:bCs/>
                <w:color w:val="auto"/>
                <w:sz w:val="24"/>
                <w:highlight w:val="none"/>
              </w:rPr>
              <w:t xml:space="preserve"> 项目危险物质数量与临界量比值（Q）计算结果一览表</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5"/>
              <w:gridCol w:w="975"/>
              <w:gridCol w:w="1781"/>
              <w:gridCol w:w="2946"/>
              <w:gridCol w:w="1417"/>
            </w:tblGrid>
            <w:tr w14:paraId="3E7B3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7" w:type="pct"/>
                  <w:vAlign w:val="center"/>
                </w:tcPr>
                <w:p w14:paraId="5B749305">
                  <w:pPr>
                    <w:widowControl/>
                    <w:adjustRightInd w:val="0"/>
                    <w:snapToGrid w:val="0"/>
                    <w:jc w:val="center"/>
                    <w:rPr>
                      <w:b/>
                      <w:bCs/>
                      <w:color w:val="auto"/>
                      <w:kern w:val="1"/>
                      <w:szCs w:val="21"/>
                      <w:highlight w:val="none"/>
                    </w:rPr>
                  </w:pPr>
                  <w:r>
                    <w:rPr>
                      <w:b/>
                      <w:bCs/>
                      <w:color w:val="auto"/>
                      <w:kern w:val="1"/>
                      <w:szCs w:val="21"/>
                      <w:highlight w:val="none"/>
                    </w:rPr>
                    <w:t>名称</w:t>
                  </w:r>
                </w:p>
              </w:tc>
              <w:tc>
                <w:tcPr>
                  <w:tcW w:w="589" w:type="pct"/>
                  <w:vAlign w:val="center"/>
                </w:tcPr>
                <w:p w14:paraId="5D9AE8BF">
                  <w:pPr>
                    <w:widowControl/>
                    <w:adjustRightInd w:val="0"/>
                    <w:snapToGrid w:val="0"/>
                    <w:jc w:val="center"/>
                    <w:rPr>
                      <w:b/>
                      <w:bCs/>
                      <w:color w:val="auto"/>
                      <w:kern w:val="1"/>
                      <w:szCs w:val="21"/>
                      <w:highlight w:val="none"/>
                    </w:rPr>
                  </w:pPr>
                  <w:r>
                    <w:rPr>
                      <w:b/>
                      <w:bCs/>
                      <w:color w:val="auto"/>
                      <w:kern w:val="1"/>
                      <w:szCs w:val="21"/>
                      <w:highlight w:val="none"/>
                    </w:rPr>
                    <w:t>临界量t</w:t>
                  </w:r>
                </w:p>
              </w:tc>
              <w:tc>
                <w:tcPr>
                  <w:tcW w:w="1076" w:type="pct"/>
                  <w:vAlign w:val="center"/>
                </w:tcPr>
                <w:p w14:paraId="44D13030">
                  <w:pPr>
                    <w:widowControl/>
                    <w:adjustRightInd w:val="0"/>
                    <w:snapToGrid w:val="0"/>
                    <w:jc w:val="center"/>
                    <w:rPr>
                      <w:b/>
                      <w:bCs/>
                      <w:color w:val="auto"/>
                      <w:kern w:val="1"/>
                      <w:szCs w:val="21"/>
                      <w:highlight w:val="none"/>
                    </w:rPr>
                  </w:pPr>
                  <w:r>
                    <w:rPr>
                      <w:b/>
                      <w:bCs/>
                      <w:color w:val="auto"/>
                      <w:kern w:val="1"/>
                      <w:szCs w:val="21"/>
                      <w:highlight w:val="none"/>
                    </w:rPr>
                    <w:t>现实最大存在总量t</w:t>
                  </w:r>
                </w:p>
              </w:tc>
              <w:tc>
                <w:tcPr>
                  <w:tcW w:w="1780" w:type="pct"/>
                  <w:vAlign w:val="center"/>
                </w:tcPr>
                <w:p w14:paraId="0DC08247">
                  <w:pPr>
                    <w:widowControl/>
                    <w:adjustRightInd w:val="0"/>
                    <w:snapToGrid w:val="0"/>
                    <w:jc w:val="center"/>
                    <w:rPr>
                      <w:b/>
                      <w:bCs/>
                      <w:color w:val="auto"/>
                      <w:kern w:val="1"/>
                      <w:szCs w:val="21"/>
                      <w:highlight w:val="none"/>
                    </w:rPr>
                  </w:pPr>
                  <w:r>
                    <w:rPr>
                      <w:b/>
                      <w:bCs/>
                      <w:color w:val="auto"/>
                      <w:kern w:val="1"/>
                      <w:szCs w:val="21"/>
                      <w:highlight w:val="none"/>
                    </w:rPr>
                    <w:t>危险物质数量与临界量比值Q</w:t>
                  </w:r>
                </w:p>
              </w:tc>
              <w:tc>
                <w:tcPr>
                  <w:tcW w:w="856" w:type="pct"/>
                  <w:vAlign w:val="center"/>
                </w:tcPr>
                <w:p w14:paraId="685C263D">
                  <w:pPr>
                    <w:widowControl/>
                    <w:adjustRightInd w:val="0"/>
                    <w:snapToGrid w:val="0"/>
                    <w:jc w:val="center"/>
                    <w:rPr>
                      <w:b/>
                      <w:bCs/>
                      <w:color w:val="auto"/>
                      <w:kern w:val="1"/>
                      <w:szCs w:val="21"/>
                      <w:highlight w:val="none"/>
                    </w:rPr>
                  </w:pPr>
                  <w:r>
                    <w:rPr>
                      <w:b/>
                      <w:bCs/>
                      <w:color w:val="auto"/>
                      <w:kern w:val="1"/>
                      <w:szCs w:val="21"/>
                      <w:highlight w:val="none"/>
                    </w:rPr>
                    <w:t>判定结果</w:t>
                  </w:r>
                </w:p>
              </w:tc>
            </w:tr>
            <w:tr w14:paraId="65875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7" w:type="pct"/>
                  <w:vAlign w:val="center"/>
                </w:tcPr>
                <w:p w14:paraId="031B8AA3">
                  <w:pPr>
                    <w:widowControl/>
                    <w:adjustRightInd w:val="0"/>
                    <w:snapToGrid w:val="0"/>
                    <w:jc w:val="center"/>
                    <w:rPr>
                      <w:color w:val="auto"/>
                      <w:kern w:val="1"/>
                      <w:szCs w:val="21"/>
                      <w:highlight w:val="none"/>
                    </w:rPr>
                  </w:pPr>
                  <w:r>
                    <w:rPr>
                      <w:color w:val="auto"/>
                      <w:kern w:val="1"/>
                      <w:szCs w:val="21"/>
                      <w:highlight w:val="none"/>
                    </w:rPr>
                    <w:t>柴油</w:t>
                  </w:r>
                </w:p>
              </w:tc>
              <w:tc>
                <w:tcPr>
                  <w:tcW w:w="589" w:type="pct"/>
                  <w:vAlign w:val="center"/>
                </w:tcPr>
                <w:p w14:paraId="5B7A9082">
                  <w:pPr>
                    <w:widowControl/>
                    <w:adjustRightInd w:val="0"/>
                    <w:snapToGrid w:val="0"/>
                    <w:jc w:val="center"/>
                    <w:rPr>
                      <w:color w:val="auto"/>
                      <w:kern w:val="1"/>
                      <w:szCs w:val="21"/>
                      <w:highlight w:val="none"/>
                    </w:rPr>
                  </w:pPr>
                  <w:r>
                    <w:rPr>
                      <w:color w:val="auto"/>
                      <w:kern w:val="1"/>
                      <w:szCs w:val="21"/>
                      <w:highlight w:val="none"/>
                    </w:rPr>
                    <w:t>2500</w:t>
                  </w:r>
                </w:p>
              </w:tc>
              <w:tc>
                <w:tcPr>
                  <w:tcW w:w="1076" w:type="pct"/>
                  <w:vAlign w:val="center"/>
                </w:tcPr>
                <w:p w14:paraId="61DCAC01">
                  <w:pPr>
                    <w:widowControl/>
                    <w:adjustRightInd w:val="0"/>
                    <w:snapToGrid w:val="0"/>
                    <w:jc w:val="center"/>
                    <w:rPr>
                      <w:color w:val="auto"/>
                      <w:kern w:val="1"/>
                      <w:szCs w:val="21"/>
                      <w:highlight w:val="none"/>
                    </w:rPr>
                  </w:pPr>
                  <w:r>
                    <w:rPr>
                      <w:color w:val="auto"/>
                      <w:kern w:val="1"/>
                      <w:szCs w:val="21"/>
                      <w:highlight w:val="none"/>
                    </w:rPr>
                    <w:t>0.25</w:t>
                  </w:r>
                </w:p>
              </w:tc>
              <w:tc>
                <w:tcPr>
                  <w:tcW w:w="1780" w:type="pct"/>
                  <w:vAlign w:val="center"/>
                </w:tcPr>
                <w:p w14:paraId="20720042">
                  <w:pPr>
                    <w:widowControl/>
                    <w:adjustRightInd w:val="0"/>
                    <w:snapToGrid w:val="0"/>
                    <w:jc w:val="center"/>
                    <w:rPr>
                      <w:color w:val="auto"/>
                      <w:kern w:val="1"/>
                      <w:szCs w:val="21"/>
                      <w:highlight w:val="none"/>
                    </w:rPr>
                  </w:pPr>
                  <w:r>
                    <w:rPr>
                      <w:color w:val="auto"/>
                      <w:kern w:val="1"/>
                      <w:szCs w:val="21"/>
                      <w:highlight w:val="none"/>
                    </w:rPr>
                    <w:t>0.0001</w:t>
                  </w:r>
                </w:p>
              </w:tc>
              <w:tc>
                <w:tcPr>
                  <w:tcW w:w="856" w:type="pct"/>
                  <w:vAlign w:val="center"/>
                </w:tcPr>
                <w:p w14:paraId="51F59A20">
                  <w:pPr>
                    <w:widowControl/>
                    <w:adjustRightInd w:val="0"/>
                    <w:snapToGrid w:val="0"/>
                    <w:jc w:val="center"/>
                    <w:rPr>
                      <w:color w:val="auto"/>
                      <w:kern w:val="1"/>
                      <w:szCs w:val="21"/>
                      <w:highlight w:val="none"/>
                    </w:rPr>
                  </w:pPr>
                  <w:r>
                    <w:rPr>
                      <w:color w:val="auto"/>
                      <w:kern w:val="1"/>
                      <w:szCs w:val="21"/>
                      <w:highlight w:val="none"/>
                    </w:rPr>
                    <w:t>Q</w:t>
                  </w:r>
                  <w:r>
                    <w:rPr>
                      <w:rFonts w:hint="default" w:ascii="Times New Roman" w:hAnsi="Times New Roman" w:cs="Times New Roman"/>
                      <w:color w:val="auto"/>
                      <w:kern w:val="1"/>
                      <w:szCs w:val="21"/>
                      <w:highlight w:val="none"/>
                    </w:rPr>
                    <w:t>&lt;</w:t>
                  </w:r>
                  <w:r>
                    <w:rPr>
                      <w:color w:val="auto"/>
                      <w:kern w:val="1"/>
                      <w:szCs w:val="21"/>
                      <w:highlight w:val="none"/>
                    </w:rPr>
                    <w:t>1</w:t>
                  </w:r>
                </w:p>
              </w:tc>
            </w:tr>
            <w:tr w14:paraId="1195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7" w:type="pct"/>
                  <w:vAlign w:val="center"/>
                </w:tcPr>
                <w:p w14:paraId="182857A2">
                  <w:pPr>
                    <w:widowControl/>
                    <w:adjustRightInd w:val="0"/>
                    <w:snapToGrid w:val="0"/>
                    <w:jc w:val="center"/>
                    <w:rPr>
                      <w:color w:val="auto"/>
                      <w:kern w:val="1"/>
                      <w:szCs w:val="21"/>
                      <w:highlight w:val="none"/>
                    </w:rPr>
                  </w:pPr>
                  <w:r>
                    <w:rPr>
                      <w:color w:val="auto"/>
                      <w:kern w:val="1"/>
                      <w:szCs w:val="21"/>
                      <w:highlight w:val="none"/>
                    </w:rPr>
                    <w:t>废矿物油</w:t>
                  </w:r>
                </w:p>
              </w:tc>
              <w:tc>
                <w:tcPr>
                  <w:tcW w:w="589" w:type="pct"/>
                  <w:vAlign w:val="center"/>
                </w:tcPr>
                <w:p w14:paraId="3194F1CB">
                  <w:pPr>
                    <w:widowControl/>
                    <w:adjustRightInd w:val="0"/>
                    <w:snapToGrid w:val="0"/>
                    <w:jc w:val="center"/>
                    <w:rPr>
                      <w:color w:val="auto"/>
                      <w:kern w:val="1"/>
                      <w:szCs w:val="21"/>
                      <w:highlight w:val="none"/>
                    </w:rPr>
                  </w:pPr>
                  <w:r>
                    <w:rPr>
                      <w:color w:val="auto"/>
                      <w:kern w:val="1"/>
                      <w:szCs w:val="21"/>
                      <w:highlight w:val="none"/>
                    </w:rPr>
                    <w:t>2500</w:t>
                  </w:r>
                </w:p>
              </w:tc>
              <w:tc>
                <w:tcPr>
                  <w:tcW w:w="1076" w:type="pct"/>
                  <w:vAlign w:val="center"/>
                </w:tcPr>
                <w:p w14:paraId="2845A1EF">
                  <w:pPr>
                    <w:widowControl/>
                    <w:adjustRightInd w:val="0"/>
                    <w:snapToGrid w:val="0"/>
                    <w:jc w:val="center"/>
                    <w:rPr>
                      <w:rFonts w:hint="default" w:eastAsia="宋体"/>
                      <w:color w:val="auto"/>
                      <w:kern w:val="1"/>
                      <w:szCs w:val="21"/>
                      <w:highlight w:val="none"/>
                      <w:lang w:val="en-US" w:eastAsia="zh-CN"/>
                    </w:rPr>
                  </w:pPr>
                  <w:r>
                    <w:rPr>
                      <w:rFonts w:hint="eastAsia"/>
                      <w:color w:val="auto"/>
                      <w:kern w:val="1"/>
                      <w:szCs w:val="21"/>
                      <w:highlight w:val="none"/>
                      <w:lang w:val="en-US" w:eastAsia="zh-CN"/>
                    </w:rPr>
                    <w:t>0.02</w:t>
                  </w:r>
                </w:p>
              </w:tc>
              <w:tc>
                <w:tcPr>
                  <w:tcW w:w="1780" w:type="pct"/>
                  <w:vAlign w:val="center"/>
                </w:tcPr>
                <w:p w14:paraId="325BD285">
                  <w:pPr>
                    <w:widowControl/>
                    <w:adjustRightInd w:val="0"/>
                    <w:snapToGrid w:val="0"/>
                    <w:jc w:val="center"/>
                    <w:rPr>
                      <w:color w:val="auto"/>
                      <w:kern w:val="1"/>
                      <w:szCs w:val="21"/>
                      <w:highlight w:val="none"/>
                    </w:rPr>
                  </w:pPr>
                  <w:r>
                    <w:rPr>
                      <w:color w:val="auto"/>
                      <w:kern w:val="1"/>
                      <w:szCs w:val="21"/>
                      <w:highlight w:val="none"/>
                      <w:lang w:val="en-US" w:eastAsia="zh-CN"/>
                    </w:rPr>
                    <w:t>0.00</w:t>
                  </w:r>
                  <w:r>
                    <w:rPr>
                      <w:rFonts w:hint="eastAsia"/>
                      <w:color w:val="auto"/>
                      <w:kern w:val="1"/>
                      <w:szCs w:val="21"/>
                      <w:highlight w:val="none"/>
                      <w:lang w:val="en-US" w:eastAsia="zh-CN"/>
                    </w:rPr>
                    <w:t>0008</w:t>
                  </w:r>
                </w:p>
              </w:tc>
              <w:tc>
                <w:tcPr>
                  <w:tcW w:w="856" w:type="pct"/>
                  <w:vAlign w:val="center"/>
                </w:tcPr>
                <w:p w14:paraId="794D458F">
                  <w:pPr>
                    <w:widowControl/>
                    <w:adjustRightInd w:val="0"/>
                    <w:snapToGrid w:val="0"/>
                    <w:jc w:val="center"/>
                    <w:rPr>
                      <w:color w:val="auto"/>
                      <w:kern w:val="1"/>
                      <w:szCs w:val="21"/>
                      <w:highlight w:val="none"/>
                    </w:rPr>
                  </w:pPr>
                  <w:r>
                    <w:rPr>
                      <w:color w:val="auto"/>
                      <w:kern w:val="1"/>
                      <w:szCs w:val="21"/>
                      <w:highlight w:val="none"/>
                    </w:rPr>
                    <w:t>Q</w:t>
                  </w:r>
                  <w:r>
                    <w:rPr>
                      <w:rFonts w:hint="default" w:ascii="Times New Roman" w:hAnsi="Times New Roman" w:cs="Times New Roman"/>
                      <w:color w:val="auto"/>
                      <w:kern w:val="1"/>
                      <w:szCs w:val="21"/>
                      <w:highlight w:val="none"/>
                    </w:rPr>
                    <w:t>&lt;</w:t>
                  </w:r>
                  <w:r>
                    <w:rPr>
                      <w:color w:val="auto"/>
                      <w:kern w:val="1"/>
                      <w:szCs w:val="21"/>
                      <w:highlight w:val="none"/>
                    </w:rPr>
                    <w:t>1</w:t>
                  </w:r>
                </w:p>
              </w:tc>
            </w:tr>
            <w:tr w14:paraId="357D9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63" w:type="pct"/>
                  <w:gridSpan w:val="3"/>
                  <w:vAlign w:val="center"/>
                </w:tcPr>
                <w:p w14:paraId="15F891A2">
                  <w:pPr>
                    <w:widowControl/>
                    <w:adjustRightInd w:val="0"/>
                    <w:snapToGrid w:val="0"/>
                    <w:jc w:val="center"/>
                    <w:rPr>
                      <w:rFonts w:hint="eastAsia" w:eastAsia="宋体"/>
                      <w:color w:val="auto"/>
                      <w:kern w:val="1"/>
                      <w:szCs w:val="21"/>
                      <w:highlight w:val="none"/>
                      <w:lang w:val="en-US" w:eastAsia="zh-CN"/>
                    </w:rPr>
                  </w:pPr>
                  <w:r>
                    <w:rPr>
                      <w:rFonts w:hint="eastAsia"/>
                      <w:color w:val="auto"/>
                      <w:kern w:val="1"/>
                      <w:szCs w:val="21"/>
                      <w:highlight w:val="none"/>
                      <w:lang w:val="en-US" w:eastAsia="zh-CN"/>
                    </w:rPr>
                    <w:t>合计</w:t>
                  </w:r>
                </w:p>
              </w:tc>
              <w:tc>
                <w:tcPr>
                  <w:tcW w:w="1780" w:type="pct"/>
                  <w:vAlign w:val="center"/>
                </w:tcPr>
                <w:p w14:paraId="1A69AA67">
                  <w:pPr>
                    <w:widowControl/>
                    <w:adjustRightInd w:val="0"/>
                    <w:snapToGrid w:val="0"/>
                    <w:jc w:val="center"/>
                    <w:rPr>
                      <w:color w:val="auto"/>
                      <w:kern w:val="1"/>
                      <w:szCs w:val="21"/>
                      <w:highlight w:val="none"/>
                    </w:rPr>
                  </w:pPr>
                  <w:r>
                    <w:rPr>
                      <w:color w:val="auto"/>
                      <w:kern w:val="1"/>
                      <w:szCs w:val="21"/>
                      <w:highlight w:val="none"/>
                      <w:lang w:val="en-US" w:eastAsia="zh-CN"/>
                    </w:rPr>
                    <w:t>0.00</w:t>
                  </w:r>
                  <w:r>
                    <w:rPr>
                      <w:rFonts w:hint="eastAsia"/>
                      <w:color w:val="auto"/>
                      <w:kern w:val="1"/>
                      <w:szCs w:val="21"/>
                      <w:highlight w:val="none"/>
                      <w:lang w:val="en-US" w:eastAsia="zh-CN"/>
                    </w:rPr>
                    <w:t>0108</w:t>
                  </w:r>
                </w:p>
              </w:tc>
              <w:tc>
                <w:tcPr>
                  <w:tcW w:w="856" w:type="pct"/>
                  <w:vAlign w:val="center"/>
                </w:tcPr>
                <w:p w14:paraId="16EF924A">
                  <w:pPr>
                    <w:widowControl/>
                    <w:adjustRightInd w:val="0"/>
                    <w:snapToGrid w:val="0"/>
                    <w:jc w:val="center"/>
                    <w:rPr>
                      <w:color w:val="auto"/>
                      <w:kern w:val="1"/>
                      <w:szCs w:val="21"/>
                      <w:highlight w:val="none"/>
                    </w:rPr>
                  </w:pPr>
                  <w:r>
                    <w:rPr>
                      <w:color w:val="auto"/>
                      <w:kern w:val="1"/>
                      <w:szCs w:val="21"/>
                      <w:highlight w:val="none"/>
                    </w:rPr>
                    <w:t>Q</w:t>
                  </w:r>
                  <w:r>
                    <w:rPr>
                      <w:rFonts w:hint="default" w:ascii="Times New Roman" w:hAnsi="Times New Roman" w:cs="Times New Roman"/>
                      <w:color w:val="auto"/>
                      <w:kern w:val="1"/>
                      <w:szCs w:val="21"/>
                      <w:highlight w:val="none"/>
                    </w:rPr>
                    <w:t>&lt;</w:t>
                  </w:r>
                  <w:r>
                    <w:rPr>
                      <w:color w:val="auto"/>
                      <w:kern w:val="1"/>
                      <w:szCs w:val="21"/>
                      <w:highlight w:val="none"/>
                    </w:rPr>
                    <w:t>1</w:t>
                  </w:r>
                </w:p>
              </w:tc>
            </w:tr>
          </w:tbl>
          <w:p w14:paraId="7E660D03">
            <w:pPr>
              <w:spacing w:line="360" w:lineRule="auto"/>
              <w:ind w:firstLine="480" w:firstLineChars="200"/>
              <w:rPr>
                <w:color w:val="auto"/>
                <w:sz w:val="24"/>
                <w:highlight w:val="none"/>
              </w:rPr>
            </w:pPr>
            <w:r>
              <w:rPr>
                <w:color w:val="auto"/>
                <w:sz w:val="24"/>
                <w:highlight w:val="none"/>
              </w:rPr>
              <w:t>根据上表可知，本项目Q值</w:t>
            </w:r>
            <w:r>
              <w:rPr>
                <w:rFonts w:hint="eastAsia"/>
                <w:color w:val="auto"/>
                <w:sz w:val="24"/>
                <w:highlight w:val="none"/>
                <w:lang w:eastAsia="zh-CN"/>
              </w:rPr>
              <w:t>&lt;</w:t>
            </w:r>
            <w:r>
              <w:rPr>
                <w:color w:val="auto"/>
                <w:sz w:val="24"/>
                <w:highlight w:val="none"/>
              </w:rPr>
              <w:t>1，根据《建设项目环境风险评价技术导则》（HJ169-2018）相关规定，当Q</w:t>
            </w:r>
            <w:r>
              <w:rPr>
                <w:rFonts w:hint="eastAsia"/>
                <w:color w:val="auto"/>
                <w:sz w:val="24"/>
                <w:highlight w:val="none"/>
                <w:lang w:eastAsia="zh-CN"/>
              </w:rPr>
              <w:t>&lt;</w:t>
            </w:r>
            <w:r>
              <w:rPr>
                <w:color w:val="auto"/>
                <w:sz w:val="24"/>
                <w:highlight w:val="none"/>
              </w:rPr>
              <w:t>1时，该项目的环境风险潜势为Ⅰ。</w:t>
            </w:r>
          </w:p>
          <w:p w14:paraId="15BBE98F">
            <w:pPr>
              <w:spacing w:line="360" w:lineRule="auto"/>
              <w:ind w:firstLine="480" w:firstLineChars="200"/>
              <w:rPr>
                <w:color w:val="auto"/>
                <w:sz w:val="24"/>
                <w:highlight w:val="none"/>
              </w:rPr>
            </w:pPr>
            <w:r>
              <w:rPr>
                <w:color w:val="auto"/>
                <w:sz w:val="24"/>
                <w:highlight w:val="none"/>
              </w:rPr>
              <w:t>（3）风险评价等级</w:t>
            </w:r>
          </w:p>
          <w:p w14:paraId="3B9A31E9">
            <w:pPr>
              <w:adjustRightInd w:val="0"/>
              <w:snapToGrid w:val="0"/>
              <w:spacing w:beforeLines="30" w:afterLines="20"/>
              <w:jc w:val="center"/>
              <w:rPr>
                <w:b/>
                <w:bCs/>
                <w:color w:val="auto"/>
                <w:sz w:val="24"/>
                <w:highlight w:val="none"/>
              </w:rPr>
            </w:pPr>
            <w:r>
              <w:rPr>
                <w:b/>
                <w:bCs/>
                <w:color w:val="auto"/>
                <w:sz w:val="24"/>
                <w:highlight w:val="none"/>
              </w:rPr>
              <w:t>表4-1</w:t>
            </w:r>
            <w:r>
              <w:rPr>
                <w:rFonts w:hint="eastAsia"/>
                <w:b/>
                <w:bCs/>
                <w:color w:val="auto"/>
                <w:sz w:val="24"/>
                <w:highlight w:val="none"/>
                <w:lang w:val="en-US" w:eastAsia="zh-CN"/>
              </w:rPr>
              <w:t>4</w:t>
            </w:r>
            <w:r>
              <w:rPr>
                <w:b/>
                <w:bCs/>
                <w:color w:val="auto"/>
                <w:sz w:val="24"/>
                <w:highlight w:val="none"/>
              </w:rPr>
              <w:t xml:space="preserve"> 评价工作等级划分</w:t>
            </w:r>
          </w:p>
          <w:tbl>
            <w:tblPr>
              <w:tblStyle w:val="20"/>
              <w:tblW w:w="8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7"/>
              <w:gridCol w:w="1611"/>
              <w:gridCol w:w="1606"/>
              <w:gridCol w:w="1605"/>
              <w:gridCol w:w="1533"/>
            </w:tblGrid>
            <w:tr w14:paraId="6F156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35" w:type="pct"/>
                  <w:vAlign w:val="center"/>
                </w:tcPr>
                <w:p w14:paraId="2639273A">
                  <w:pPr>
                    <w:widowControl/>
                    <w:adjustRightInd w:val="0"/>
                    <w:snapToGrid w:val="0"/>
                    <w:jc w:val="center"/>
                    <w:rPr>
                      <w:b/>
                      <w:bCs/>
                      <w:color w:val="auto"/>
                      <w:kern w:val="1"/>
                      <w:szCs w:val="21"/>
                      <w:highlight w:val="none"/>
                    </w:rPr>
                  </w:pPr>
                  <w:r>
                    <w:rPr>
                      <w:b/>
                      <w:bCs/>
                      <w:color w:val="auto"/>
                      <w:kern w:val="1"/>
                      <w:szCs w:val="21"/>
                      <w:highlight w:val="none"/>
                    </w:rPr>
                    <w:t>环境风险潜势</w:t>
                  </w:r>
                </w:p>
              </w:tc>
              <w:tc>
                <w:tcPr>
                  <w:tcW w:w="979" w:type="pct"/>
                  <w:vAlign w:val="center"/>
                </w:tcPr>
                <w:p w14:paraId="10717A87">
                  <w:pPr>
                    <w:widowControl/>
                    <w:adjustRightInd w:val="0"/>
                    <w:snapToGrid w:val="0"/>
                    <w:jc w:val="center"/>
                    <w:rPr>
                      <w:b/>
                      <w:bCs/>
                      <w:color w:val="auto"/>
                      <w:kern w:val="1"/>
                      <w:szCs w:val="21"/>
                      <w:highlight w:val="none"/>
                    </w:rPr>
                  </w:pPr>
                  <w:r>
                    <w:rPr>
                      <w:b/>
                      <w:bCs/>
                      <w:color w:val="auto"/>
                      <w:kern w:val="1"/>
                      <w:szCs w:val="21"/>
                      <w:highlight w:val="none"/>
                    </w:rPr>
                    <w:t>Ⅳ、Ⅳ+</w:t>
                  </w:r>
                </w:p>
              </w:tc>
              <w:tc>
                <w:tcPr>
                  <w:tcW w:w="976" w:type="pct"/>
                  <w:vAlign w:val="center"/>
                </w:tcPr>
                <w:p w14:paraId="2502A0FB">
                  <w:pPr>
                    <w:widowControl/>
                    <w:adjustRightInd w:val="0"/>
                    <w:snapToGrid w:val="0"/>
                    <w:jc w:val="center"/>
                    <w:rPr>
                      <w:b/>
                      <w:bCs/>
                      <w:color w:val="auto"/>
                      <w:kern w:val="1"/>
                      <w:szCs w:val="21"/>
                      <w:highlight w:val="none"/>
                    </w:rPr>
                  </w:pPr>
                  <w:r>
                    <w:rPr>
                      <w:color w:val="auto"/>
                      <w:sz w:val="24"/>
                      <w:highlight w:val="none"/>
                    </w:rPr>
                    <w:t>Ⅲ</w:t>
                  </w:r>
                </w:p>
              </w:tc>
              <w:tc>
                <w:tcPr>
                  <w:tcW w:w="976" w:type="pct"/>
                  <w:vAlign w:val="center"/>
                </w:tcPr>
                <w:p w14:paraId="3844A508">
                  <w:pPr>
                    <w:keepNext w:val="0"/>
                    <w:keepLines w:val="0"/>
                    <w:widowControl/>
                    <w:suppressLineNumbers w:val="0"/>
                    <w:jc w:val="center"/>
                    <w:rPr>
                      <w:color w:val="auto"/>
                    </w:rPr>
                  </w:pPr>
                  <w:r>
                    <w:rPr>
                      <w:rFonts w:ascii="sans-serif" w:hAnsi="sans-serif" w:eastAsia="sans-serif" w:cs="sans-serif"/>
                      <w:i w:val="0"/>
                      <w:iCs w:val="0"/>
                      <w:caps w:val="0"/>
                      <w:color w:val="auto"/>
                      <w:spacing w:val="0"/>
                      <w:kern w:val="0"/>
                      <w:sz w:val="21"/>
                      <w:szCs w:val="21"/>
                      <w:lang w:val="en-US" w:eastAsia="zh-CN" w:bidi="ar"/>
                    </w:rPr>
                    <w:t>Ⅱ</w:t>
                  </w:r>
                </w:p>
                <w:p w14:paraId="3F5B7ACE">
                  <w:pPr>
                    <w:widowControl/>
                    <w:adjustRightInd w:val="0"/>
                    <w:snapToGrid w:val="0"/>
                    <w:jc w:val="center"/>
                    <w:rPr>
                      <w:b/>
                      <w:bCs/>
                      <w:color w:val="auto"/>
                      <w:kern w:val="1"/>
                      <w:szCs w:val="21"/>
                      <w:highlight w:val="none"/>
                    </w:rPr>
                  </w:pPr>
                </w:p>
              </w:tc>
              <w:tc>
                <w:tcPr>
                  <w:tcW w:w="932" w:type="pct"/>
                  <w:vAlign w:val="center"/>
                </w:tcPr>
                <w:p w14:paraId="71C53049">
                  <w:pPr>
                    <w:widowControl/>
                    <w:adjustRightInd w:val="0"/>
                    <w:snapToGrid w:val="0"/>
                    <w:jc w:val="center"/>
                    <w:rPr>
                      <w:b/>
                      <w:bCs/>
                      <w:color w:val="auto"/>
                      <w:kern w:val="1"/>
                      <w:szCs w:val="21"/>
                      <w:highlight w:val="none"/>
                    </w:rPr>
                  </w:pPr>
                  <w:r>
                    <w:rPr>
                      <w:b/>
                      <w:bCs/>
                      <w:color w:val="auto"/>
                      <w:kern w:val="1"/>
                      <w:szCs w:val="21"/>
                      <w:highlight w:val="none"/>
                    </w:rPr>
                    <w:fldChar w:fldCharType="begin"/>
                  </w:r>
                  <w:r>
                    <w:rPr>
                      <w:b/>
                      <w:bCs/>
                      <w:color w:val="auto"/>
                      <w:kern w:val="1"/>
                      <w:szCs w:val="21"/>
                      <w:highlight w:val="none"/>
                    </w:rPr>
                    <w:instrText xml:space="preserve"> = 1 \* ROMAN </w:instrText>
                  </w:r>
                  <w:r>
                    <w:rPr>
                      <w:b/>
                      <w:bCs/>
                      <w:color w:val="auto"/>
                      <w:kern w:val="1"/>
                      <w:szCs w:val="21"/>
                      <w:highlight w:val="none"/>
                    </w:rPr>
                    <w:fldChar w:fldCharType="separate"/>
                  </w:r>
                  <w:r>
                    <w:rPr>
                      <w:b/>
                      <w:bCs/>
                      <w:color w:val="auto"/>
                      <w:kern w:val="1"/>
                      <w:szCs w:val="21"/>
                      <w:highlight w:val="none"/>
                    </w:rPr>
                    <w:t>I</w:t>
                  </w:r>
                  <w:r>
                    <w:rPr>
                      <w:b/>
                      <w:bCs/>
                      <w:color w:val="auto"/>
                      <w:kern w:val="1"/>
                      <w:szCs w:val="21"/>
                      <w:highlight w:val="none"/>
                    </w:rPr>
                    <w:fldChar w:fldCharType="end"/>
                  </w:r>
                </w:p>
              </w:tc>
            </w:tr>
            <w:tr w14:paraId="6EA85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35" w:type="pct"/>
                  <w:vAlign w:val="center"/>
                </w:tcPr>
                <w:p w14:paraId="50338EC1">
                  <w:pPr>
                    <w:widowControl/>
                    <w:adjustRightInd w:val="0"/>
                    <w:snapToGrid w:val="0"/>
                    <w:jc w:val="center"/>
                    <w:rPr>
                      <w:color w:val="auto"/>
                      <w:kern w:val="1"/>
                      <w:szCs w:val="21"/>
                      <w:highlight w:val="none"/>
                    </w:rPr>
                  </w:pPr>
                  <w:r>
                    <w:rPr>
                      <w:color w:val="auto"/>
                      <w:kern w:val="1"/>
                      <w:szCs w:val="21"/>
                      <w:highlight w:val="none"/>
                    </w:rPr>
                    <w:t>评价工作等级</w:t>
                  </w:r>
                </w:p>
              </w:tc>
              <w:tc>
                <w:tcPr>
                  <w:tcW w:w="979" w:type="pct"/>
                  <w:vAlign w:val="center"/>
                </w:tcPr>
                <w:p w14:paraId="6FFE0410">
                  <w:pPr>
                    <w:widowControl/>
                    <w:adjustRightInd w:val="0"/>
                    <w:snapToGrid w:val="0"/>
                    <w:jc w:val="center"/>
                    <w:rPr>
                      <w:color w:val="auto"/>
                      <w:kern w:val="1"/>
                      <w:szCs w:val="21"/>
                      <w:highlight w:val="none"/>
                    </w:rPr>
                  </w:pPr>
                  <w:r>
                    <w:rPr>
                      <w:color w:val="auto"/>
                      <w:kern w:val="1"/>
                      <w:szCs w:val="21"/>
                      <w:highlight w:val="none"/>
                    </w:rPr>
                    <w:t>一</w:t>
                  </w:r>
                </w:p>
              </w:tc>
              <w:tc>
                <w:tcPr>
                  <w:tcW w:w="976" w:type="pct"/>
                  <w:vAlign w:val="center"/>
                </w:tcPr>
                <w:p w14:paraId="627F7E88">
                  <w:pPr>
                    <w:widowControl/>
                    <w:adjustRightInd w:val="0"/>
                    <w:snapToGrid w:val="0"/>
                    <w:jc w:val="center"/>
                    <w:rPr>
                      <w:color w:val="auto"/>
                      <w:kern w:val="1"/>
                      <w:szCs w:val="21"/>
                      <w:highlight w:val="none"/>
                    </w:rPr>
                  </w:pPr>
                  <w:r>
                    <w:rPr>
                      <w:color w:val="auto"/>
                      <w:kern w:val="1"/>
                      <w:szCs w:val="21"/>
                      <w:highlight w:val="none"/>
                    </w:rPr>
                    <w:t>二</w:t>
                  </w:r>
                </w:p>
              </w:tc>
              <w:tc>
                <w:tcPr>
                  <w:tcW w:w="976" w:type="pct"/>
                  <w:vAlign w:val="center"/>
                </w:tcPr>
                <w:p w14:paraId="3A2268EA">
                  <w:pPr>
                    <w:widowControl/>
                    <w:adjustRightInd w:val="0"/>
                    <w:snapToGrid w:val="0"/>
                    <w:jc w:val="center"/>
                    <w:rPr>
                      <w:color w:val="auto"/>
                      <w:kern w:val="1"/>
                      <w:szCs w:val="21"/>
                      <w:highlight w:val="none"/>
                    </w:rPr>
                  </w:pPr>
                  <w:r>
                    <w:rPr>
                      <w:color w:val="auto"/>
                      <w:kern w:val="1"/>
                      <w:szCs w:val="21"/>
                      <w:highlight w:val="none"/>
                    </w:rPr>
                    <w:t>三</w:t>
                  </w:r>
                </w:p>
              </w:tc>
              <w:tc>
                <w:tcPr>
                  <w:tcW w:w="932" w:type="pct"/>
                  <w:vAlign w:val="center"/>
                </w:tcPr>
                <w:p w14:paraId="56A7BEDE">
                  <w:pPr>
                    <w:widowControl/>
                    <w:adjustRightInd w:val="0"/>
                    <w:snapToGrid w:val="0"/>
                    <w:jc w:val="center"/>
                    <w:rPr>
                      <w:color w:val="auto"/>
                      <w:kern w:val="1"/>
                      <w:szCs w:val="21"/>
                      <w:highlight w:val="none"/>
                    </w:rPr>
                  </w:pPr>
                  <w:r>
                    <w:rPr>
                      <w:color w:val="auto"/>
                      <w:kern w:val="1"/>
                      <w:szCs w:val="21"/>
                      <w:highlight w:val="none"/>
                    </w:rPr>
                    <w:t>简单分析</w:t>
                  </w:r>
                </w:p>
              </w:tc>
            </w:tr>
          </w:tbl>
          <w:p w14:paraId="22E04704">
            <w:pPr>
              <w:widowControl/>
              <w:adjustRightInd w:val="0"/>
              <w:snapToGrid w:val="0"/>
              <w:spacing w:before="240" w:line="360" w:lineRule="auto"/>
              <w:ind w:firstLine="480" w:firstLineChars="200"/>
              <w:rPr>
                <w:color w:val="auto"/>
                <w:kern w:val="1"/>
                <w:sz w:val="24"/>
                <w:highlight w:val="none"/>
              </w:rPr>
            </w:pPr>
            <w:r>
              <w:rPr>
                <w:color w:val="auto"/>
                <w:kern w:val="1"/>
                <w:sz w:val="24"/>
                <w:highlight w:val="none"/>
              </w:rPr>
              <w:t>根据上表，本项目</w:t>
            </w:r>
            <w:r>
              <w:rPr>
                <w:rFonts w:hint="eastAsia"/>
                <w:color w:val="auto"/>
                <w:kern w:val="1"/>
                <w:sz w:val="24"/>
                <w:highlight w:val="none"/>
                <w:lang w:eastAsia="zh-CN"/>
              </w:rPr>
              <w:t>的</w:t>
            </w:r>
            <w:r>
              <w:rPr>
                <w:color w:val="auto"/>
                <w:kern w:val="1"/>
                <w:sz w:val="24"/>
                <w:highlight w:val="none"/>
              </w:rPr>
              <w:t>环境潜势为</w:t>
            </w:r>
            <w:r>
              <w:rPr>
                <w:color w:val="auto"/>
                <w:kern w:val="1"/>
                <w:sz w:val="24"/>
                <w:highlight w:val="none"/>
              </w:rPr>
              <w:fldChar w:fldCharType="begin"/>
            </w:r>
            <w:r>
              <w:rPr>
                <w:color w:val="auto"/>
                <w:kern w:val="1"/>
                <w:sz w:val="24"/>
                <w:highlight w:val="none"/>
              </w:rPr>
              <w:instrText xml:space="preserve"> = 1 \* ROMAN </w:instrText>
            </w:r>
            <w:r>
              <w:rPr>
                <w:color w:val="auto"/>
                <w:kern w:val="1"/>
                <w:sz w:val="24"/>
                <w:highlight w:val="none"/>
              </w:rPr>
              <w:fldChar w:fldCharType="separate"/>
            </w:r>
            <w:r>
              <w:rPr>
                <w:color w:val="auto"/>
                <w:kern w:val="1"/>
                <w:sz w:val="24"/>
                <w:highlight w:val="none"/>
              </w:rPr>
              <w:t>I</w:t>
            </w:r>
            <w:r>
              <w:rPr>
                <w:color w:val="auto"/>
                <w:kern w:val="1"/>
                <w:sz w:val="24"/>
                <w:highlight w:val="none"/>
              </w:rPr>
              <w:fldChar w:fldCharType="end"/>
            </w:r>
            <w:r>
              <w:rPr>
                <w:color w:val="auto"/>
                <w:kern w:val="1"/>
                <w:sz w:val="24"/>
                <w:highlight w:val="none"/>
              </w:rPr>
              <w:t>，</w:t>
            </w:r>
            <w:r>
              <w:rPr>
                <w:rFonts w:hint="eastAsia"/>
                <w:color w:val="auto"/>
                <w:kern w:val="1"/>
                <w:sz w:val="24"/>
                <w:highlight w:val="none"/>
                <w:lang w:eastAsia="zh-CN"/>
              </w:rPr>
              <w:t>并对其</w:t>
            </w:r>
            <w:r>
              <w:rPr>
                <w:color w:val="auto"/>
                <w:kern w:val="1"/>
                <w:sz w:val="24"/>
                <w:highlight w:val="none"/>
              </w:rPr>
              <w:t>风险评价进行</w:t>
            </w:r>
            <w:r>
              <w:rPr>
                <w:rFonts w:hint="eastAsia"/>
                <w:color w:val="auto"/>
                <w:kern w:val="1"/>
                <w:sz w:val="24"/>
                <w:highlight w:val="none"/>
                <w:lang w:eastAsia="zh-CN"/>
              </w:rPr>
              <w:t>了</w:t>
            </w:r>
            <w:r>
              <w:rPr>
                <w:color w:val="auto"/>
                <w:kern w:val="1"/>
                <w:sz w:val="24"/>
                <w:highlight w:val="none"/>
              </w:rPr>
              <w:t>简单分析。</w:t>
            </w:r>
          </w:p>
          <w:p w14:paraId="1331F7E4">
            <w:pPr>
              <w:spacing w:line="360" w:lineRule="auto"/>
              <w:ind w:firstLine="480" w:firstLineChars="200"/>
              <w:rPr>
                <w:color w:val="auto"/>
                <w:sz w:val="24"/>
                <w:highlight w:val="none"/>
              </w:rPr>
            </w:pPr>
            <w:r>
              <w:rPr>
                <w:color w:val="auto"/>
                <w:sz w:val="24"/>
                <w:highlight w:val="none"/>
              </w:rPr>
              <w:t>（4）风险识别</w:t>
            </w:r>
          </w:p>
          <w:p w14:paraId="43FFFAD9">
            <w:pPr>
              <w:spacing w:line="360" w:lineRule="auto"/>
              <w:ind w:firstLine="480" w:firstLineChars="200"/>
              <w:rPr>
                <w:color w:val="auto"/>
                <w:sz w:val="24"/>
                <w:highlight w:val="none"/>
              </w:rPr>
            </w:pPr>
            <w:r>
              <w:rPr>
                <w:color w:val="auto"/>
                <w:sz w:val="24"/>
                <w:highlight w:val="none"/>
              </w:rPr>
              <w:fldChar w:fldCharType="begin"/>
            </w:r>
            <w:r>
              <w:rPr>
                <w:color w:val="auto"/>
                <w:sz w:val="24"/>
                <w:highlight w:val="none"/>
              </w:rPr>
              <w:instrText xml:space="preserve"> = 1 \* GB3 </w:instrText>
            </w:r>
            <w:r>
              <w:rPr>
                <w:color w:val="auto"/>
                <w:sz w:val="24"/>
                <w:highlight w:val="none"/>
              </w:rPr>
              <w:fldChar w:fldCharType="separate"/>
            </w:r>
            <w:r>
              <w:rPr>
                <w:color w:val="auto"/>
                <w:sz w:val="24"/>
                <w:highlight w:val="none"/>
              </w:rPr>
              <w:t>①</w:t>
            </w:r>
            <w:r>
              <w:rPr>
                <w:color w:val="auto"/>
                <w:sz w:val="24"/>
                <w:highlight w:val="none"/>
              </w:rPr>
              <w:fldChar w:fldCharType="end"/>
            </w:r>
            <w:r>
              <w:rPr>
                <w:color w:val="auto"/>
                <w:sz w:val="24"/>
                <w:highlight w:val="none"/>
              </w:rPr>
              <w:t>物质危险性识别</w:t>
            </w:r>
          </w:p>
          <w:p w14:paraId="6A13F137">
            <w:pPr>
              <w:spacing w:line="360" w:lineRule="auto"/>
              <w:ind w:firstLine="480" w:firstLineChars="200"/>
              <w:rPr>
                <w:color w:val="auto"/>
                <w:sz w:val="24"/>
                <w:highlight w:val="none"/>
              </w:rPr>
            </w:pPr>
            <w:r>
              <w:rPr>
                <w:color w:val="auto"/>
                <w:sz w:val="24"/>
                <w:highlight w:val="none"/>
              </w:rPr>
              <w:t>本项目涉及的危险物质主要为柴油</w:t>
            </w:r>
            <w:r>
              <w:rPr>
                <w:rFonts w:hint="eastAsia"/>
                <w:color w:val="auto"/>
                <w:sz w:val="24"/>
                <w:highlight w:val="none"/>
                <w:lang w:eastAsia="zh-CN"/>
              </w:rPr>
              <w:t>和</w:t>
            </w:r>
            <w:r>
              <w:rPr>
                <w:rFonts w:hint="eastAsia"/>
                <w:color w:val="auto"/>
                <w:sz w:val="24"/>
                <w:highlight w:val="none"/>
                <w:lang w:val="en-US" w:eastAsia="zh-CN"/>
              </w:rPr>
              <w:t>废矿物油</w:t>
            </w:r>
            <w:r>
              <w:rPr>
                <w:color w:val="auto"/>
                <w:sz w:val="24"/>
                <w:highlight w:val="none"/>
              </w:rPr>
              <w:t>，其性质见表4-1</w:t>
            </w:r>
            <w:r>
              <w:rPr>
                <w:rFonts w:hint="eastAsia"/>
                <w:color w:val="auto"/>
                <w:sz w:val="24"/>
                <w:highlight w:val="none"/>
                <w:lang w:val="en-US" w:eastAsia="zh-CN"/>
              </w:rPr>
              <w:t>5</w:t>
            </w:r>
            <w:r>
              <w:rPr>
                <w:rFonts w:hint="eastAsia"/>
                <w:color w:val="auto"/>
                <w:sz w:val="24"/>
                <w:highlight w:val="none"/>
                <w:lang w:eastAsia="zh-CN"/>
              </w:rPr>
              <w:t>、</w:t>
            </w:r>
            <w:r>
              <w:rPr>
                <w:rFonts w:hint="eastAsia"/>
                <w:color w:val="auto"/>
                <w:sz w:val="24"/>
                <w:highlight w:val="none"/>
                <w:lang w:val="en-US" w:eastAsia="zh-CN"/>
              </w:rPr>
              <w:t>4-16</w:t>
            </w:r>
            <w:r>
              <w:rPr>
                <w:color w:val="auto"/>
                <w:sz w:val="24"/>
                <w:highlight w:val="none"/>
              </w:rPr>
              <w:t>。</w:t>
            </w:r>
          </w:p>
          <w:p w14:paraId="5497D849">
            <w:pPr>
              <w:spacing w:line="360" w:lineRule="auto"/>
              <w:jc w:val="center"/>
              <w:rPr>
                <w:b/>
                <w:bCs/>
                <w:color w:val="auto"/>
                <w:sz w:val="24"/>
                <w:highlight w:val="none"/>
              </w:rPr>
            </w:pPr>
            <w:r>
              <w:rPr>
                <w:b/>
                <w:bCs/>
                <w:color w:val="auto"/>
                <w:sz w:val="24"/>
                <w:highlight w:val="none"/>
              </w:rPr>
              <w:t>表4-1</w:t>
            </w:r>
            <w:r>
              <w:rPr>
                <w:rFonts w:hint="eastAsia"/>
                <w:b/>
                <w:bCs/>
                <w:color w:val="auto"/>
                <w:sz w:val="24"/>
                <w:highlight w:val="none"/>
                <w:lang w:val="en-US" w:eastAsia="zh-CN"/>
              </w:rPr>
              <w:t xml:space="preserve">5 </w:t>
            </w:r>
            <w:r>
              <w:rPr>
                <w:b/>
                <w:bCs/>
                <w:color w:val="auto"/>
                <w:sz w:val="24"/>
                <w:highlight w:val="none"/>
              </w:rPr>
              <w:t>柴油</w:t>
            </w:r>
            <w:r>
              <w:rPr>
                <w:rFonts w:hint="eastAsia"/>
                <w:b/>
                <w:bCs/>
                <w:color w:val="auto"/>
                <w:sz w:val="24"/>
                <w:highlight w:val="none"/>
                <w:lang w:eastAsia="zh-CN"/>
              </w:rPr>
              <w:t>的</w:t>
            </w:r>
            <w:r>
              <w:rPr>
                <w:b/>
                <w:bCs/>
                <w:color w:val="auto"/>
                <w:sz w:val="24"/>
                <w:highlight w:val="none"/>
              </w:rPr>
              <w:t>理化性质</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1111"/>
              <w:gridCol w:w="432"/>
              <w:gridCol w:w="474"/>
              <w:gridCol w:w="609"/>
              <w:gridCol w:w="267"/>
              <w:gridCol w:w="193"/>
              <w:gridCol w:w="420"/>
              <w:gridCol w:w="1124"/>
              <w:gridCol w:w="394"/>
              <w:gridCol w:w="765"/>
              <w:gridCol w:w="386"/>
              <w:gridCol w:w="786"/>
              <w:gridCol w:w="758"/>
            </w:tblGrid>
            <w:tr w14:paraId="1567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7" w:type="dxa"/>
                  <w:vMerge w:val="restart"/>
                  <w:tcBorders>
                    <w:tl2br w:val="nil"/>
                    <w:tr2bl w:val="nil"/>
                  </w:tcBorders>
                  <w:vAlign w:val="center"/>
                </w:tcPr>
                <w:p w14:paraId="0AB0DDB3">
                  <w:pPr>
                    <w:jc w:val="center"/>
                    <w:rPr>
                      <w:color w:val="auto"/>
                      <w:szCs w:val="21"/>
                      <w:highlight w:val="none"/>
                    </w:rPr>
                  </w:pPr>
                  <w:r>
                    <w:rPr>
                      <w:color w:val="auto"/>
                      <w:szCs w:val="21"/>
                      <w:highlight w:val="none"/>
                    </w:rPr>
                    <w:t>标识</w:t>
                  </w:r>
                </w:p>
              </w:tc>
              <w:tc>
                <w:tcPr>
                  <w:tcW w:w="1094" w:type="dxa"/>
                  <w:tcBorders>
                    <w:tl2br w:val="nil"/>
                    <w:tr2bl w:val="nil"/>
                  </w:tcBorders>
                  <w:vAlign w:val="center"/>
                </w:tcPr>
                <w:p w14:paraId="04273E91">
                  <w:pPr>
                    <w:rPr>
                      <w:color w:val="auto"/>
                      <w:szCs w:val="21"/>
                      <w:highlight w:val="none"/>
                    </w:rPr>
                  </w:pPr>
                  <w:r>
                    <w:rPr>
                      <w:color w:val="auto"/>
                      <w:szCs w:val="21"/>
                      <w:highlight w:val="none"/>
                    </w:rPr>
                    <w:t>中文名</w:t>
                  </w:r>
                </w:p>
              </w:tc>
              <w:tc>
                <w:tcPr>
                  <w:tcW w:w="1493" w:type="dxa"/>
                  <w:gridSpan w:val="3"/>
                  <w:tcBorders>
                    <w:tl2br w:val="nil"/>
                    <w:tr2bl w:val="nil"/>
                  </w:tcBorders>
                  <w:vAlign w:val="center"/>
                </w:tcPr>
                <w:p w14:paraId="55A2F720">
                  <w:pPr>
                    <w:rPr>
                      <w:color w:val="auto"/>
                      <w:szCs w:val="21"/>
                      <w:highlight w:val="none"/>
                    </w:rPr>
                  </w:pPr>
                  <w:r>
                    <w:rPr>
                      <w:color w:val="auto"/>
                      <w:szCs w:val="21"/>
                      <w:highlight w:val="none"/>
                    </w:rPr>
                    <w:t>柴油</w:t>
                  </w:r>
                </w:p>
              </w:tc>
              <w:tc>
                <w:tcPr>
                  <w:tcW w:w="867" w:type="dxa"/>
                  <w:gridSpan w:val="3"/>
                  <w:tcBorders>
                    <w:tl2br w:val="nil"/>
                    <w:tr2bl w:val="nil"/>
                  </w:tcBorders>
                  <w:vAlign w:val="center"/>
                </w:tcPr>
                <w:p w14:paraId="2048F509">
                  <w:pPr>
                    <w:rPr>
                      <w:color w:val="auto"/>
                      <w:szCs w:val="21"/>
                      <w:highlight w:val="none"/>
                    </w:rPr>
                  </w:pPr>
                  <w:r>
                    <w:rPr>
                      <w:color w:val="auto"/>
                      <w:szCs w:val="21"/>
                      <w:highlight w:val="none"/>
                    </w:rPr>
                    <w:t>英文名</w:t>
                  </w:r>
                </w:p>
              </w:tc>
              <w:tc>
                <w:tcPr>
                  <w:tcW w:w="2246" w:type="dxa"/>
                  <w:gridSpan w:val="3"/>
                  <w:tcBorders>
                    <w:tl2br w:val="nil"/>
                    <w:tr2bl w:val="nil"/>
                  </w:tcBorders>
                  <w:vAlign w:val="center"/>
                </w:tcPr>
                <w:p w14:paraId="660C4F38">
                  <w:pPr>
                    <w:rPr>
                      <w:color w:val="auto"/>
                      <w:szCs w:val="21"/>
                      <w:highlight w:val="none"/>
                    </w:rPr>
                  </w:pPr>
                  <w:r>
                    <w:rPr>
                      <w:color w:val="auto"/>
                      <w:szCs w:val="21"/>
                      <w:highlight w:val="none"/>
                    </w:rPr>
                    <w:t>diesel oil</w:t>
                  </w:r>
                </w:p>
              </w:tc>
              <w:tc>
                <w:tcPr>
                  <w:tcW w:w="1154" w:type="dxa"/>
                  <w:gridSpan w:val="2"/>
                  <w:tcBorders>
                    <w:tl2br w:val="nil"/>
                    <w:tr2bl w:val="nil"/>
                  </w:tcBorders>
                  <w:vAlign w:val="center"/>
                </w:tcPr>
                <w:p w14:paraId="303BC6D6">
                  <w:pPr>
                    <w:rPr>
                      <w:color w:val="auto"/>
                      <w:szCs w:val="21"/>
                      <w:highlight w:val="none"/>
                    </w:rPr>
                  </w:pPr>
                  <w:r>
                    <w:rPr>
                      <w:color w:val="auto"/>
                      <w:szCs w:val="21"/>
                      <w:highlight w:val="none"/>
                    </w:rPr>
                    <w:t>危险货物编号</w:t>
                  </w:r>
                </w:p>
              </w:tc>
              <w:tc>
                <w:tcPr>
                  <w:tcW w:w="746" w:type="dxa"/>
                  <w:tcBorders>
                    <w:tl2br w:val="nil"/>
                    <w:tr2bl w:val="nil"/>
                  </w:tcBorders>
                  <w:vAlign w:val="center"/>
                </w:tcPr>
                <w:p w14:paraId="6AE754D6">
                  <w:pPr>
                    <w:rPr>
                      <w:color w:val="auto"/>
                      <w:szCs w:val="21"/>
                      <w:highlight w:val="none"/>
                    </w:rPr>
                  </w:pPr>
                  <w:r>
                    <w:rPr>
                      <w:color w:val="auto"/>
                      <w:szCs w:val="21"/>
                      <w:highlight w:val="none"/>
                    </w:rPr>
                    <w:t>/</w:t>
                  </w:r>
                </w:p>
              </w:tc>
            </w:tr>
            <w:tr w14:paraId="2A37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7" w:type="dxa"/>
                  <w:vMerge w:val="continue"/>
                  <w:tcBorders>
                    <w:tl2br w:val="nil"/>
                    <w:tr2bl w:val="nil"/>
                  </w:tcBorders>
                  <w:vAlign w:val="center"/>
                </w:tcPr>
                <w:p w14:paraId="544A92B1">
                  <w:pPr>
                    <w:jc w:val="center"/>
                    <w:rPr>
                      <w:color w:val="auto"/>
                      <w:szCs w:val="21"/>
                      <w:highlight w:val="none"/>
                    </w:rPr>
                  </w:pPr>
                </w:p>
              </w:tc>
              <w:tc>
                <w:tcPr>
                  <w:tcW w:w="1094" w:type="dxa"/>
                  <w:tcBorders>
                    <w:tl2br w:val="nil"/>
                    <w:tr2bl w:val="nil"/>
                  </w:tcBorders>
                  <w:vAlign w:val="center"/>
                </w:tcPr>
                <w:p w14:paraId="3362B587">
                  <w:pPr>
                    <w:rPr>
                      <w:color w:val="auto"/>
                      <w:szCs w:val="21"/>
                      <w:highlight w:val="none"/>
                    </w:rPr>
                  </w:pPr>
                  <w:r>
                    <w:rPr>
                      <w:color w:val="auto"/>
                      <w:szCs w:val="21"/>
                      <w:highlight w:val="none"/>
                    </w:rPr>
                    <w:t>分子式</w:t>
                  </w:r>
                </w:p>
              </w:tc>
              <w:tc>
                <w:tcPr>
                  <w:tcW w:w="893" w:type="dxa"/>
                  <w:gridSpan w:val="2"/>
                  <w:tcBorders>
                    <w:tl2br w:val="nil"/>
                    <w:tr2bl w:val="nil"/>
                  </w:tcBorders>
                  <w:vAlign w:val="center"/>
                </w:tcPr>
                <w:p w14:paraId="21182953">
                  <w:pPr>
                    <w:jc w:val="center"/>
                    <w:rPr>
                      <w:color w:val="auto"/>
                      <w:szCs w:val="21"/>
                      <w:highlight w:val="none"/>
                    </w:rPr>
                  </w:pPr>
                  <w:r>
                    <w:rPr>
                      <w:color w:val="auto"/>
                      <w:szCs w:val="21"/>
                      <w:highlight w:val="none"/>
                    </w:rPr>
                    <w:t>/</w:t>
                  </w:r>
                </w:p>
              </w:tc>
              <w:tc>
                <w:tcPr>
                  <w:tcW w:w="863" w:type="dxa"/>
                  <w:gridSpan w:val="2"/>
                  <w:tcBorders>
                    <w:tl2br w:val="nil"/>
                    <w:tr2bl w:val="nil"/>
                  </w:tcBorders>
                  <w:vAlign w:val="center"/>
                </w:tcPr>
                <w:p w14:paraId="080EFC70">
                  <w:pPr>
                    <w:rPr>
                      <w:color w:val="auto"/>
                      <w:szCs w:val="21"/>
                      <w:highlight w:val="none"/>
                    </w:rPr>
                  </w:pPr>
                  <w:r>
                    <w:rPr>
                      <w:color w:val="auto"/>
                      <w:szCs w:val="21"/>
                      <w:highlight w:val="none"/>
                    </w:rPr>
                    <w:t>分子量</w:t>
                  </w:r>
                </w:p>
              </w:tc>
              <w:tc>
                <w:tcPr>
                  <w:tcW w:w="604" w:type="dxa"/>
                  <w:gridSpan w:val="2"/>
                  <w:tcBorders>
                    <w:tl2br w:val="nil"/>
                    <w:tr2bl w:val="nil"/>
                  </w:tcBorders>
                  <w:vAlign w:val="center"/>
                </w:tcPr>
                <w:p w14:paraId="30C376A8">
                  <w:pPr>
                    <w:rPr>
                      <w:rFonts w:hint="eastAsia" w:eastAsia="宋体"/>
                      <w:color w:val="auto"/>
                      <w:szCs w:val="21"/>
                      <w:highlight w:val="none"/>
                      <w:lang w:val="en-US" w:eastAsia="zh-CN"/>
                    </w:rPr>
                  </w:pPr>
                  <w:r>
                    <w:rPr>
                      <w:rFonts w:hint="eastAsia"/>
                      <w:color w:val="auto"/>
                      <w:szCs w:val="21"/>
                      <w:highlight w:val="none"/>
                      <w:lang w:val="en-US" w:eastAsia="zh-CN"/>
                    </w:rPr>
                    <w:t>/</w:t>
                  </w:r>
                </w:p>
              </w:tc>
              <w:tc>
                <w:tcPr>
                  <w:tcW w:w="1493" w:type="dxa"/>
                  <w:gridSpan w:val="2"/>
                  <w:tcBorders>
                    <w:tl2br w:val="nil"/>
                    <w:tr2bl w:val="nil"/>
                  </w:tcBorders>
                  <w:vAlign w:val="center"/>
                </w:tcPr>
                <w:p w14:paraId="16388076">
                  <w:pPr>
                    <w:rPr>
                      <w:color w:val="auto"/>
                      <w:szCs w:val="21"/>
                      <w:highlight w:val="none"/>
                    </w:rPr>
                  </w:pPr>
                  <w:r>
                    <w:rPr>
                      <w:color w:val="auto"/>
                      <w:szCs w:val="21"/>
                      <w:highlight w:val="none"/>
                    </w:rPr>
                    <w:t>UN编号</w:t>
                  </w:r>
                </w:p>
              </w:tc>
              <w:tc>
                <w:tcPr>
                  <w:tcW w:w="753" w:type="dxa"/>
                  <w:tcBorders>
                    <w:tl2br w:val="nil"/>
                    <w:tr2bl w:val="nil"/>
                  </w:tcBorders>
                  <w:vAlign w:val="center"/>
                </w:tcPr>
                <w:p w14:paraId="14946C9F">
                  <w:pPr>
                    <w:rPr>
                      <w:color w:val="auto"/>
                      <w:szCs w:val="21"/>
                      <w:highlight w:val="none"/>
                    </w:rPr>
                  </w:pPr>
                  <w:r>
                    <w:rPr>
                      <w:color w:val="auto"/>
                      <w:szCs w:val="21"/>
                      <w:highlight w:val="none"/>
                    </w:rPr>
                    <w:t>/</w:t>
                  </w:r>
                </w:p>
              </w:tc>
              <w:tc>
                <w:tcPr>
                  <w:tcW w:w="1154" w:type="dxa"/>
                  <w:gridSpan w:val="2"/>
                  <w:tcBorders>
                    <w:tl2br w:val="nil"/>
                    <w:tr2bl w:val="nil"/>
                  </w:tcBorders>
                  <w:vAlign w:val="center"/>
                </w:tcPr>
                <w:p w14:paraId="69E7555A">
                  <w:pPr>
                    <w:rPr>
                      <w:color w:val="auto"/>
                      <w:szCs w:val="21"/>
                      <w:highlight w:val="none"/>
                    </w:rPr>
                  </w:pPr>
                  <w:r>
                    <w:rPr>
                      <w:color w:val="auto"/>
                      <w:szCs w:val="21"/>
                      <w:highlight w:val="none"/>
                    </w:rPr>
                    <w:t>CAS编号</w:t>
                  </w:r>
                </w:p>
              </w:tc>
              <w:tc>
                <w:tcPr>
                  <w:tcW w:w="746" w:type="dxa"/>
                  <w:tcBorders>
                    <w:tl2br w:val="nil"/>
                    <w:tr2bl w:val="nil"/>
                  </w:tcBorders>
                  <w:vAlign w:val="center"/>
                </w:tcPr>
                <w:p w14:paraId="0822FC68">
                  <w:pPr>
                    <w:rPr>
                      <w:color w:val="auto"/>
                      <w:szCs w:val="21"/>
                      <w:highlight w:val="none"/>
                    </w:rPr>
                  </w:pPr>
                  <w:r>
                    <w:rPr>
                      <w:color w:val="auto"/>
                      <w:szCs w:val="21"/>
                      <w:highlight w:val="none"/>
                    </w:rPr>
                    <w:t>/</w:t>
                  </w:r>
                </w:p>
              </w:tc>
            </w:tr>
            <w:tr w14:paraId="23AF8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7" w:type="dxa"/>
                  <w:vMerge w:val="continue"/>
                  <w:tcBorders>
                    <w:tl2br w:val="nil"/>
                    <w:tr2bl w:val="nil"/>
                  </w:tcBorders>
                  <w:vAlign w:val="center"/>
                </w:tcPr>
                <w:p w14:paraId="46CA85E2">
                  <w:pPr>
                    <w:jc w:val="center"/>
                    <w:rPr>
                      <w:color w:val="auto"/>
                      <w:szCs w:val="21"/>
                      <w:highlight w:val="none"/>
                    </w:rPr>
                  </w:pPr>
                </w:p>
              </w:tc>
              <w:tc>
                <w:tcPr>
                  <w:tcW w:w="1094" w:type="dxa"/>
                  <w:tcBorders>
                    <w:tl2br w:val="nil"/>
                    <w:tr2bl w:val="nil"/>
                  </w:tcBorders>
                  <w:vAlign w:val="center"/>
                </w:tcPr>
                <w:p w14:paraId="69EDDCA9">
                  <w:pPr>
                    <w:rPr>
                      <w:color w:val="auto"/>
                      <w:szCs w:val="21"/>
                      <w:highlight w:val="none"/>
                    </w:rPr>
                  </w:pPr>
                  <w:r>
                    <w:rPr>
                      <w:color w:val="auto"/>
                      <w:szCs w:val="21"/>
                      <w:highlight w:val="none"/>
                    </w:rPr>
                    <w:t>危险</w:t>
                  </w:r>
                </w:p>
                <w:p w14:paraId="65735A3D">
                  <w:pPr>
                    <w:rPr>
                      <w:color w:val="auto"/>
                      <w:szCs w:val="21"/>
                      <w:highlight w:val="none"/>
                    </w:rPr>
                  </w:pPr>
                  <w:r>
                    <w:rPr>
                      <w:color w:val="auto"/>
                      <w:szCs w:val="21"/>
                      <w:highlight w:val="none"/>
                    </w:rPr>
                    <w:t>类别</w:t>
                  </w:r>
                </w:p>
              </w:tc>
              <w:tc>
                <w:tcPr>
                  <w:tcW w:w="6506" w:type="dxa"/>
                  <w:gridSpan w:val="12"/>
                  <w:tcBorders>
                    <w:tl2br w:val="nil"/>
                    <w:tr2bl w:val="nil"/>
                  </w:tcBorders>
                  <w:vAlign w:val="center"/>
                </w:tcPr>
                <w:p w14:paraId="528D08BA">
                  <w:pPr>
                    <w:rPr>
                      <w:color w:val="auto"/>
                      <w:szCs w:val="21"/>
                      <w:highlight w:val="none"/>
                    </w:rPr>
                  </w:pPr>
                  <w:r>
                    <w:rPr>
                      <w:color w:val="auto"/>
                      <w:szCs w:val="21"/>
                      <w:highlight w:val="none"/>
                    </w:rPr>
                    <w:t>/</w:t>
                  </w:r>
                </w:p>
              </w:tc>
            </w:tr>
            <w:tr w14:paraId="6C42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7" w:type="dxa"/>
                  <w:vMerge w:val="restart"/>
                  <w:tcBorders>
                    <w:tl2br w:val="nil"/>
                    <w:tr2bl w:val="nil"/>
                  </w:tcBorders>
                  <w:vAlign w:val="center"/>
                </w:tcPr>
                <w:p w14:paraId="4C1019B9">
                  <w:pPr>
                    <w:jc w:val="center"/>
                    <w:rPr>
                      <w:color w:val="auto"/>
                      <w:szCs w:val="21"/>
                      <w:highlight w:val="none"/>
                    </w:rPr>
                  </w:pPr>
                  <w:r>
                    <w:rPr>
                      <w:color w:val="auto"/>
                      <w:szCs w:val="21"/>
                      <w:highlight w:val="none"/>
                    </w:rPr>
                    <w:t>理化性质</w:t>
                  </w:r>
                </w:p>
              </w:tc>
              <w:tc>
                <w:tcPr>
                  <w:tcW w:w="1094" w:type="dxa"/>
                  <w:tcBorders>
                    <w:tl2br w:val="nil"/>
                    <w:tr2bl w:val="nil"/>
                  </w:tcBorders>
                  <w:vAlign w:val="center"/>
                </w:tcPr>
                <w:p w14:paraId="6DE9041D">
                  <w:pPr>
                    <w:rPr>
                      <w:color w:val="auto"/>
                      <w:szCs w:val="21"/>
                      <w:highlight w:val="none"/>
                    </w:rPr>
                  </w:pPr>
                  <w:r>
                    <w:rPr>
                      <w:color w:val="auto"/>
                      <w:szCs w:val="21"/>
                      <w:highlight w:val="none"/>
                    </w:rPr>
                    <w:t>性状</w:t>
                  </w:r>
                </w:p>
              </w:tc>
              <w:tc>
                <w:tcPr>
                  <w:tcW w:w="6506" w:type="dxa"/>
                  <w:gridSpan w:val="12"/>
                  <w:tcBorders>
                    <w:tl2br w:val="nil"/>
                    <w:tr2bl w:val="nil"/>
                  </w:tcBorders>
                  <w:vAlign w:val="center"/>
                </w:tcPr>
                <w:p w14:paraId="4616B32B">
                  <w:pPr>
                    <w:rPr>
                      <w:color w:val="auto"/>
                      <w:szCs w:val="21"/>
                      <w:highlight w:val="none"/>
                    </w:rPr>
                  </w:pPr>
                  <w:r>
                    <w:rPr>
                      <w:color w:val="auto"/>
                      <w:szCs w:val="21"/>
                      <w:highlight w:val="none"/>
                    </w:rPr>
                    <w:t>稍有</w:t>
                  </w:r>
                  <w:r>
                    <w:rPr>
                      <w:rFonts w:hint="eastAsia"/>
                      <w:color w:val="auto"/>
                      <w:szCs w:val="21"/>
                      <w:highlight w:val="none"/>
                      <w:lang w:eastAsia="zh-CN"/>
                    </w:rPr>
                    <w:t>黏性</w:t>
                  </w:r>
                  <w:r>
                    <w:rPr>
                      <w:color w:val="auto"/>
                      <w:szCs w:val="21"/>
                      <w:highlight w:val="none"/>
                    </w:rPr>
                    <w:t>的棕色液体</w:t>
                  </w:r>
                </w:p>
              </w:tc>
            </w:tr>
            <w:tr w14:paraId="3ADC9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7" w:type="dxa"/>
                  <w:vMerge w:val="continue"/>
                  <w:tcBorders>
                    <w:tl2br w:val="nil"/>
                    <w:tr2bl w:val="nil"/>
                  </w:tcBorders>
                  <w:vAlign w:val="center"/>
                </w:tcPr>
                <w:p w14:paraId="24CCB331">
                  <w:pPr>
                    <w:jc w:val="center"/>
                    <w:rPr>
                      <w:color w:val="auto"/>
                      <w:szCs w:val="21"/>
                      <w:highlight w:val="none"/>
                    </w:rPr>
                  </w:pPr>
                </w:p>
              </w:tc>
              <w:tc>
                <w:tcPr>
                  <w:tcW w:w="1987" w:type="dxa"/>
                  <w:gridSpan w:val="3"/>
                  <w:tcBorders>
                    <w:tl2br w:val="nil"/>
                    <w:tr2bl w:val="nil"/>
                  </w:tcBorders>
                  <w:vAlign w:val="center"/>
                </w:tcPr>
                <w:p w14:paraId="082B2D31">
                  <w:pPr>
                    <w:rPr>
                      <w:color w:val="auto"/>
                      <w:szCs w:val="21"/>
                      <w:highlight w:val="none"/>
                    </w:rPr>
                  </w:pPr>
                  <w:r>
                    <w:rPr>
                      <w:color w:val="auto"/>
                      <w:szCs w:val="21"/>
                      <w:highlight w:val="none"/>
                    </w:rPr>
                    <w:t>熔点（℃）</w:t>
                  </w:r>
                </w:p>
              </w:tc>
              <w:tc>
                <w:tcPr>
                  <w:tcW w:w="1467" w:type="dxa"/>
                  <w:gridSpan w:val="4"/>
                  <w:tcBorders>
                    <w:tl2br w:val="nil"/>
                    <w:tr2bl w:val="nil"/>
                  </w:tcBorders>
                  <w:vAlign w:val="center"/>
                </w:tcPr>
                <w:p w14:paraId="084434BE">
                  <w:pPr>
                    <w:jc w:val="center"/>
                    <w:rPr>
                      <w:color w:val="auto"/>
                      <w:szCs w:val="21"/>
                      <w:highlight w:val="none"/>
                    </w:rPr>
                  </w:pPr>
                  <w:r>
                    <w:rPr>
                      <w:color w:val="auto"/>
                      <w:szCs w:val="21"/>
                      <w:highlight w:val="none"/>
                    </w:rPr>
                    <w:t>-18</w:t>
                  </w:r>
                </w:p>
              </w:tc>
              <w:tc>
                <w:tcPr>
                  <w:tcW w:w="2246" w:type="dxa"/>
                  <w:gridSpan w:val="3"/>
                  <w:tcBorders>
                    <w:tl2br w:val="nil"/>
                    <w:tr2bl w:val="nil"/>
                  </w:tcBorders>
                  <w:vAlign w:val="center"/>
                </w:tcPr>
                <w:p w14:paraId="1750BA9A">
                  <w:pPr>
                    <w:rPr>
                      <w:color w:val="auto"/>
                      <w:szCs w:val="21"/>
                      <w:highlight w:val="none"/>
                    </w:rPr>
                  </w:pPr>
                  <w:r>
                    <w:rPr>
                      <w:color w:val="auto"/>
                      <w:szCs w:val="21"/>
                      <w:highlight w:val="none"/>
                    </w:rPr>
                    <w:t>临界压力（Mpa）</w:t>
                  </w:r>
                </w:p>
              </w:tc>
              <w:tc>
                <w:tcPr>
                  <w:tcW w:w="1900" w:type="dxa"/>
                  <w:gridSpan w:val="3"/>
                  <w:tcBorders>
                    <w:tl2br w:val="nil"/>
                    <w:tr2bl w:val="nil"/>
                  </w:tcBorders>
                  <w:vAlign w:val="center"/>
                </w:tcPr>
                <w:p w14:paraId="699210DD">
                  <w:pPr>
                    <w:jc w:val="center"/>
                    <w:rPr>
                      <w:color w:val="auto"/>
                      <w:szCs w:val="21"/>
                      <w:highlight w:val="none"/>
                    </w:rPr>
                  </w:pPr>
                  <w:r>
                    <w:rPr>
                      <w:color w:val="auto"/>
                      <w:szCs w:val="21"/>
                      <w:highlight w:val="none"/>
                    </w:rPr>
                    <w:t>/</w:t>
                  </w:r>
                </w:p>
              </w:tc>
            </w:tr>
            <w:tr w14:paraId="367AA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7" w:type="dxa"/>
                  <w:vMerge w:val="continue"/>
                  <w:tcBorders>
                    <w:tl2br w:val="nil"/>
                    <w:tr2bl w:val="nil"/>
                  </w:tcBorders>
                  <w:vAlign w:val="center"/>
                </w:tcPr>
                <w:p w14:paraId="5AE1E412">
                  <w:pPr>
                    <w:jc w:val="center"/>
                    <w:rPr>
                      <w:color w:val="auto"/>
                      <w:szCs w:val="21"/>
                      <w:highlight w:val="none"/>
                    </w:rPr>
                  </w:pPr>
                </w:p>
              </w:tc>
              <w:tc>
                <w:tcPr>
                  <w:tcW w:w="1987" w:type="dxa"/>
                  <w:gridSpan w:val="3"/>
                  <w:tcBorders>
                    <w:tl2br w:val="nil"/>
                    <w:tr2bl w:val="nil"/>
                  </w:tcBorders>
                  <w:vAlign w:val="center"/>
                </w:tcPr>
                <w:p w14:paraId="072FDA81">
                  <w:pPr>
                    <w:rPr>
                      <w:color w:val="auto"/>
                      <w:szCs w:val="21"/>
                      <w:highlight w:val="none"/>
                    </w:rPr>
                  </w:pPr>
                  <w:r>
                    <w:rPr>
                      <w:color w:val="auto"/>
                      <w:szCs w:val="21"/>
                      <w:highlight w:val="none"/>
                    </w:rPr>
                    <w:t>沸点（℃）</w:t>
                  </w:r>
                </w:p>
              </w:tc>
              <w:tc>
                <w:tcPr>
                  <w:tcW w:w="1467" w:type="dxa"/>
                  <w:gridSpan w:val="4"/>
                  <w:tcBorders>
                    <w:tl2br w:val="nil"/>
                    <w:tr2bl w:val="nil"/>
                  </w:tcBorders>
                  <w:vAlign w:val="center"/>
                </w:tcPr>
                <w:p w14:paraId="17139101">
                  <w:pPr>
                    <w:jc w:val="center"/>
                    <w:rPr>
                      <w:color w:val="auto"/>
                      <w:szCs w:val="21"/>
                      <w:highlight w:val="none"/>
                    </w:rPr>
                  </w:pPr>
                  <w:r>
                    <w:rPr>
                      <w:color w:val="auto"/>
                      <w:szCs w:val="21"/>
                      <w:highlight w:val="none"/>
                    </w:rPr>
                    <w:t>282-338</w:t>
                  </w:r>
                </w:p>
              </w:tc>
              <w:tc>
                <w:tcPr>
                  <w:tcW w:w="2246" w:type="dxa"/>
                  <w:gridSpan w:val="3"/>
                  <w:tcBorders>
                    <w:tl2br w:val="nil"/>
                    <w:tr2bl w:val="nil"/>
                  </w:tcBorders>
                  <w:vAlign w:val="center"/>
                </w:tcPr>
                <w:p w14:paraId="5A6D21FF">
                  <w:pPr>
                    <w:rPr>
                      <w:color w:val="auto"/>
                      <w:szCs w:val="21"/>
                      <w:highlight w:val="none"/>
                    </w:rPr>
                  </w:pPr>
                  <w:r>
                    <w:rPr>
                      <w:color w:val="auto"/>
                      <w:szCs w:val="21"/>
                      <w:highlight w:val="none"/>
                    </w:rPr>
                    <w:t>相对密度（水＝1）</w:t>
                  </w:r>
                </w:p>
              </w:tc>
              <w:tc>
                <w:tcPr>
                  <w:tcW w:w="1900" w:type="dxa"/>
                  <w:gridSpan w:val="3"/>
                  <w:tcBorders>
                    <w:tl2br w:val="nil"/>
                    <w:tr2bl w:val="nil"/>
                  </w:tcBorders>
                  <w:vAlign w:val="center"/>
                </w:tcPr>
                <w:p w14:paraId="4796D92E">
                  <w:pPr>
                    <w:jc w:val="center"/>
                    <w:rPr>
                      <w:color w:val="auto"/>
                      <w:szCs w:val="21"/>
                      <w:highlight w:val="none"/>
                    </w:rPr>
                  </w:pPr>
                  <w:r>
                    <w:rPr>
                      <w:color w:val="auto"/>
                      <w:szCs w:val="21"/>
                      <w:highlight w:val="none"/>
                    </w:rPr>
                    <w:t>/</w:t>
                  </w:r>
                </w:p>
              </w:tc>
            </w:tr>
            <w:tr w14:paraId="4AF6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7" w:type="dxa"/>
                  <w:vMerge w:val="continue"/>
                  <w:tcBorders>
                    <w:tl2br w:val="nil"/>
                    <w:tr2bl w:val="nil"/>
                  </w:tcBorders>
                  <w:vAlign w:val="center"/>
                </w:tcPr>
                <w:p w14:paraId="2568BF0E">
                  <w:pPr>
                    <w:jc w:val="center"/>
                    <w:rPr>
                      <w:color w:val="auto"/>
                      <w:szCs w:val="21"/>
                      <w:highlight w:val="none"/>
                    </w:rPr>
                  </w:pPr>
                </w:p>
              </w:tc>
              <w:tc>
                <w:tcPr>
                  <w:tcW w:w="1987" w:type="dxa"/>
                  <w:gridSpan w:val="3"/>
                  <w:tcBorders>
                    <w:tl2br w:val="nil"/>
                    <w:tr2bl w:val="nil"/>
                  </w:tcBorders>
                  <w:vAlign w:val="center"/>
                </w:tcPr>
                <w:p w14:paraId="45311808">
                  <w:pPr>
                    <w:rPr>
                      <w:color w:val="auto"/>
                      <w:szCs w:val="21"/>
                      <w:highlight w:val="none"/>
                    </w:rPr>
                  </w:pPr>
                  <w:r>
                    <w:rPr>
                      <w:color w:val="auto"/>
                      <w:szCs w:val="21"/>
                      <w:highlight w:val="none"/>
                    </w:rPr>
                    <w:t>饱和蒸气压（Kpa）</w:t>
                  </w:r>
                </w:p>
              </w:tc>
              <w:tc>
                <w:tcPr>
                  <w:tcW w:w="1467" w:type="dxa"/>
                  <w:gridSpan w:val="4"/>
                  <w:tcBorders>
                    <w:tl2br w:val="nil"/>
                    <w:tr2bl w:val="nil"/>
                  </w:tcBorders>
                  <w:vAlign w:val="center"/>
                </w:tcPr>
                <w:p w14:paraId="0D57041E">
                  <w:pPr>
                    <w:jc w:val="center"/>
                    <w:rPr>
                      <w:color w:val="auto"/>
                      <w:szCs w:val="21"/>
                      <w:highlight w:val="none"/>
                    </w:rPr>
                  </w:pPr>
                  <w:r>
                    <w:rPr>
                      <w:color w:val="auto"/>
                      <w:szCs w:val="21"/>
                      <w:highlight w:val="none"/>
                    </w:rPr>
                    <w:t>/</w:t>
                  </w:r>
                </w:p>
              </w:tc>
              <w:tc>
                <w:tcPr>
                  <w:tcW w:w="2246" w:type="dxa"/>
                  <w:gridSpan w:val="3"/>
                  <w:tcBorders>
                    <w:tl2br w:val="nil"/>
                    <w:tr2bl w:val="nil"/>
                  </w:tcBorders>
                  <w:vAlign w:val="center"/>
                </w:tcPr>
                <w:p w14:paraId="51F92705">
                  <w:pPr>
                    <w:rPr>
                      <w:color w:val="auto"/>
                      <w:szCs w:val="21"/>
                      <w:highlight w:val="none"/>
                    </w:rPr>
                  </w:pPr>
                  <w:r>
                    <w:rPr>
                      <w:color w:val="auto"/>
                      <w:szCs w:val="21"/>
                      <w:highlight w:val="none"/>
                    </w:rPr>
                    <w:t>相对密度（空气＝1）</w:t>
                  </w:r>
                </w:p>
              </w:tc>
              <w:tc>
                <w:tcPr>
                  <w:tcW w:w="1900" w:type="dxa"/>
                  <w:gridSpan w:val="3"/>
                  <w:tcBorders>
                    <w:tl2br w:val="nil"/>
                    <w:tr2bl w:val="nil"/>
                  </w:tcBorders>
                  <w:vAlign w:val="center"/>
                </w:tcPr>
                <w:p w14:paraId="293949E9">
                  <w:pPr>
                    <w:jc w:val="center"/>
                    <w:rPr>
                      <w:color w:val="auto"/>
                      <w:szCs w:val="21"/>
                      <w:highlight w:val="none"/>
                    </w:rPr>
                  </w:pPr>
                  <w:r>
                    <w:rPr>
                      <w:color w:val="auto"/>
                      <w:szCs w:val="21"/>
                      <w:highlight w:val="none"/>
                    </w:rPr>
                    <w:t>/</w:t>
                  </w:r>
                </w:p>
              </w:tc>
            </w:tr>
            <w:tr w14:paraId="1D03B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7" w:type="dxa"/>
                  <w:vMerge w:val="continue"/>
                  <w:tcBorders>
                    <w:tl2br w:val="nil"/>
                    <w:tr2bl w:val="nil"/>
                  </w:tcBorders>
                  <w:vAlign w:val="center"/>
                </w:tcPr>
                <w:p w14:paraId="43BA7883">
                  <w:pPr>
                    <w:jc w:val="center"/>
                    <w:rPr>
                      <w:color w:val="auto"/>
                      <w:szCs w:val="21"/>
                      <w:highlight w:val="none"/>
                    </w:rPr>
                  </w:pPr>
                </w:p>
              </w:tc>
              <w:tc>
                <w:tcPr>
                  <w:tcW w:w="1987" w:type="dxa"/>
                  <w:gridSpan w:val="3"/>
                  <w:tcBorders>
                    <w:tl2br w:val="nil"/>
                    <w:tr2bl w:val="nil"/>
                  </w:tcBorders>
                  <w:vAlign w:val="center"/>
                </w:tcPr>
                <w:p w14:paraId="3B868AB3">
                  <w:pPr>
                    <w:rPr>
                      <w:color w:val="auto"/>
                      <w:szCs w:val="21"/>
                      <w:highlight w:val="none"/>
                    </w:rPr>
                  </w:pPr>
                  <w:r>
                    <w:rPr>
                      <w:color w:val="auto"/>
                      <w:szCs w:val="21"/>
                      <w:highlight w:val="none"/>
                    </w:rPr>
                    <w:t>临界温度</w:t>
                  </w:r>
                </w:p>
              </w:tc>
              <w:tc>
                <w:tcPr>
                  <w:tcW w:w="1467" w:type="dxa"/>
                  <w:gridSpan w:val="4"/>
                  <w:tcBorders>
                    <w:tl2br w:val="nil"/>
                    <w:tr2bl w:val="nil"/>
                  </w:tcBorders>
                  <w:vAlign w:val="center"/>
                </w:tcPr>
                <w:p w14:paraId="627FF878">
                  <w:pPr>
                    <w:jc w:val="center"/>
                    <w:rPr>
                      <w:color w:val="auto"/>
                      <w:szCs w:val="21"/>
                      <w:highlight w:val="none"/>
                    </w:rPr>
                  </w:pPr>
                  <w:r>
                    <w:rPr>
                      <w:color w:val="auto"/>
                      <w:szCs w:val="21"/>
                      <w:highlight w:val="none"/>
                    </w:rPr>
                    <w:t>/</w:t>
                  </w:r>
                </w:p>
              </w:tc>
              <w:tc>
                <w:tcPr>
                  <w:tcW w:w="2246" w:type="dxa"/>
                  <w:gridSpan w:val="3"/>
                  <w:tcBorders>
                    <w:tl2br w:val="nil"/>
                    <w:tr2bl w:val="nil"/>
                  </w:tcBorders>
                  <w:vAlign w:val="center"/>
                </w:tcPr>
                <w:p w14:paraId="440424D5">
                  <w:pPr>
                    <w:rPr>
                      <w:color w:val="auto"/>
                      <w:szCs w:val="21"/>
                      <w:highlight w:val="none"/>
                    </w:rPr>
                  </w:pPr>
                  <w:r>
                    <w:rPr>
                      <w:color w:val="auto"/>
                      <w:szCs w:val="21"/>
                      <w:highlight w:val="none"/>
                    </w:rPr>
                    <w:t>燃烧热（KJ·</w:t>
                  </w:r>
                  <w:r>
                    <w:rPr>
                      <w:rFonts w:hint="eastAsia"/>
                      <w:color w:val="auto"/>
                      <w:szCs w:val="21"/>
                      <w:highlight w:val="none"/>
                      <w:lang w:eastAsia="zh-CN"/>
                    </w:rPr>
                    <w:t>m</w:t>
                  </w:r>
                  <w:r>
                    <w:rPr>
                      <w:color w:val="auto"/>
                      <w:szCs w:val="21"/>
                      <w:highlight w:val="none"/>
                    </w:rPr>
                    <w:t>ol</w:t>
                  </w:r>
                  <w:r>
                    <w:rPr>
                      <w:color w:val="auto"/>
                      <w:szCs w:val="21"/>
                      <w:highlight w:val="none"/>
                      <w:vertAlign w:val="superscript"/>
                    </w:rPr>
                    <w:t>-1</w:t>
                  </w:r>
                  <w:r>
                    <w:rPr>
                      <w:color w:val="auto"/>
                      <w:szCs w:val="21"/>
                      <w:highlight w:val="none"/>
                    </w:rPr>
                    <w:t>）</w:t>
                  </w:r>
                </w:p>
              </w:tc>
              <w:tc>
                <w:tcPr>
                  <w:tcW w:w="1900" w:type="dxa"/>
                  <w:gridSpan w:val="3"/>
                  <w:tcBorders>
                    <w:tl2br w:val="nil"/>
                    <w:tr2bl w:val="nil"/>
                  </w:tcBorders>
                  <w:vAlign w:val="center"/>
                </w:tcPr>
                <w:p w14:paraId="09D5E186">
                  <w:pPr>
                    <w:jc w:val="center"/>
                    <w:rPr>
                      <w:color w:val="auto"/>
                      <w:szCs w:val="21"/>
                      <w:highlight w:val="none"/>
                    </w:rPr>
                  </w:pPr>
                  <w:r>
                    <w:rPr>
                      <w:color w:val="auto"/>
                      <w:szCs w:val="21"/>
                      <w:highlight w:val="none"/>
                    </w:rPr>
                    <w:t>/</w:t>
                  </w:r>
                </w:p>
              </w:tc>
            </w:tr>
            <w:tr w14:paraId="2318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7" w:type="dxa"/>
                  <w:vMerge w:val="continue"/>
                  <w:tcBorders>
                    <w:tl2br w:val="nil"/>
                    <w:tr2bl w:val="nil"/>
                  </w:tcBorders>
                  <w:vAlign w:val="center"/>
                </w:tcPr>
                <w:p w14:paraId="45F82004">
                  <w:pPr>
                    <w:jc w:val="center"/>
                    <w:rPr>
                      <w:color w:val="auto"/>
                      <w:szCs w:val="21"/>
                      <w:highlight w:val="none"/>
                    </w:rPr>
                  </w:pPr>
                </w:p>
              </w:tc>
              <w:tc>
                <w:tcPr>
                  <w:tcW w:w="1094" w:type="dxa"/>
                  <w:tcBorders>
                    <w:tl2br w:val="nil"/>
                    <w:tr2bl w:val="nil"/>
                  </w:tcBorders>
                  <w:vAlign w:val="center"/>
                </w:tcPr>
                <w:p w14:paraId="0B05820E">
                  <w:pPr>
                    <w:rPr>
                      <w:color w:val="auto"/>
                      <w:szCs w:val="21"/>
                      <w:highlight w:val="none"/>
                    </w:rPr>
                  </w:pPr>
                  <w:r>
                    <w:rPr>
                      <w:color w:val="auto"/>
                      <w:szCs w:val="21"/>
                      <w:highlight w:val="none"/>
                    </w:rPr>
                    <w:t>溶解性</w:t>
                  </w:r>
                </w:p>
              </w:tc>
              <w:tc>
                <w:tcPr>
                  <w:tcW w:w="6506" w:type="dxa"/>
                  <w:gridSpan w:val="12"/>
                  <w:tcBorders>
                    <w:tl2br w:val="nil"/>
                    <w:tr2bl w:val="nil"/>
                  </w:tcBorders>
                  <w:vAlign w:val="center"/>
                </w:tcPr>
                <w:p w14:paraId="2FCA9A44">
                  <w:pPr>
                    <w:rPr>
                      <w:color w:val="auto"/>
                      <w:szCs w:val="21"/>
                      <w:highlight w:val="none"/>
                    </w:rPr>
                  </w:pPr>
                  <w:r>
                    <w:rPr>
                      <w:color w:val="auto"/>
                      <w:szCs w:val="21"/>
                      <w:highlight w:val="none"/>
                    </w:rPr>
                    <w:t>不溶于水</w:t>
                  </w:r>
                </w:p>
              </w:tc>
            </w:tr>
            <w:tr w14:paraId="6551D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7" w:type="dxa"/>
                  <w:vMerge w:val="restart"/>
                  <w:tcBorders>
                    <w:tl2br w:val="nil"/>
                    <w:tr2bl w:val="nil"/>
                  </w:tcBorders>
                  <w:vAlign w:val="center"/>
                </w:tcPr>
                <w:p w14:paraId="1BE53305">
                  <w:pPr>
                    <w:jc w:val="center"/>
                    <w:rPr>
                      <w:color w:val="auto"/>
                      <w:szCs w:val="21"/>
                      <w:highlight w:val="none"/>
                    </w:rPr>
                  </w:pPr>
                  <w:r>
                    <w:rPr>
                      <w:color w:val="auto"/>
                      <w:szCs w:val="21"/>
                      <w:highlight w:val="none"/>
                    </w:rPr>
                    <w:t>燃烧爆炸危险性</w:t>
                  </w:r>
                </w:p>
              </w:tc>
              <w:tc>
                <w:tcPr>
                  <w:tcW w:w="1987" w:type="dxa"/>
                  <w:gridSpan w:val="3"/>
                  <w:tcBorders>
                    <w:tl2br w:val="nil"/>
                    <w:tr2bl w:val="nil"/>
                  </w:tcBorders>
                  <w:vAlign w:val="center"/>
                </w:tcPr>
                <w:p w14:paraId="55BEF32C">
                  <w:pPr>
                    <w:rPr>
                      <w:color w:val="auto"/>
                      <w:szCs w:val="21"/>
                      <w:highlight w:val="none"/>
                    </w:rPr>
                  </w:pPr>
                  <w:r>
                    <w:rPr>
                      <w:color w:val="auto"/>
                      <w:szCs w:val="21"/>
                      <w:highlight w:val="none"/>
                    </w:rPr>
                    <w:t>燃烧性</w:t>
                  </w:r>
                </w:p>
              </w:tc>
              <w:tc>
                <w:tcPr>
                  <w:tcW w:w="1467" w:type="dxa"/>
                  <w:gridSpan w:val="4"/>
                  <w:tcBorders>
                    <w:tl2br w:val="nil"/>
                    <w:tr2bl w:val="nil"/>
                  </w:tcBorders>
                  <w:vAlign w:val="center"/>
                </w:tcPr>
                <w:p w14:paraId="6FF36009">
                  <w:pPr>
                    <w:rPr>
                      <w:color w:val="auto"/>
                      <w:szCs w:val="21"/>
                      <w:highlight w:val="none"/>
                    </w:rPr>
                  </w:pPr>
                  <w:r>
                    <w:rPr>
                      <w:color w:val="auto"/>
                      <w:szCs w:val="21"/>
                      <w:highlight w:val="none"/>
                    </w:rPr>
                    <w:t>可燃</w:t>
                  </w:r>
                </w:p>
              </w:tc>
              <w:tc>
                <w:tcPr>
                  <w:tcW w:w="2246" w:type="dxa"/>
                  <w:gridSpan w:val="3"/>
                  <w:tcBorders>
                    <w:tl2br w:val="nil"/>
                    <w:tr2bl w:val="nil"/>
                  </w:tcBorders>
                  <w:vAlign w:val="center"/>
                </w:tcPr>
                <w:p w14:paraId="565C7A98">
                  <w:pPr>
                    <w:rPr>
                      <w:color w:val="auto"/>
                      <w:szCs w:val="21"/>
                      <w:highlight w:val="none"/>
                    </w:rPr>
                  </w:pPr>
                  <w:r>
                    <w:rPr>
                      <w:color w:val="auto"/>
                      <w:szCs w:val="21"/>
                      <w:highlight w:val="none"/>
                    </w:rPr>
                    <w:t>闪点（℃）</w:t>
                  </w:r>
                </w:p>
              </w:tc>
              <w:tc>
                <w:tcPr>
                  <w:tcW w:w="1900" w:type="dxa"/>
                  <w:gridSpan w:val="3"/>
                  <w:tcBorders>
                    <w:tl2br w:val="nil"/>
                    <w:tr2bl w:val="nil"/>
                  </w:tcBorders>
                  <w:vAlign w:val="center"/>
                </w:tcPr>
                <w:p w14:paraId="15F120A1">
                  <w:pPr>
                    <w:jc w:val="center"/>
                    <w:rPr>
                      <w:color w:val="auto"/>
                      <w:szCs w:val="21"/>
                      <w:highlight w:val="none"/>
                    </w:rPr>
                  </w:pPr>
                  <w:r>
                    <w:rPr>
                      <w:color w:val="auto"/>
                      <w:szCs w:val="21"/>
                      <w:highlight w:val="none"/>
                    </w:rPr>
                    <w:t>/</w:t>
                  </w:r>
                </w:p>
              </w:tc>
            </w:tr>
            <w:tr w14:paraId="2152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7" w:type="dxa"/>
                  <w:vMerge w:val="continue"/>
                  <w:tcBorders>
                    <w:tl2br w:val="nil"/>
                    <w:tr2bl w:val="nil"/>
                  </w:tcBorders>
                  <w:vAlign w:val="center"/>
                </w:tcPr>
                <w:p w14:paraId="1FC1D5A7">
                  <w:pPr>
                    <w:jc w:val="center"/>
                    <w:rPr>
                      <w:color w:val="auto"/>
                      <w:szCs w:val="21"/>
                      <w:highlight w:val="none"/>
                    </w:rPr>
                  </w:pPr>
                </w:p>
              </w:tc>
              <w:tc>
                <w:tcPr>
                  <w:tcW w:w="1987" w:type="dxa"/>
                  <w:gridSpan w:val="3"/>
                  <w:tcBorders>
                    <w:tl2br w:val="nil"/>
                    <w:tr2bl w:val="nil"/>
                  </w:tcBorders>
                  <w:vAlign w:val="center"/>
                </w:tcPr>
                <w:p w14:paraId="056FD081">
                  <w:pPr>
                    <w:rPr>
                      <w:color w:val="auto"/>
                      <w:szCs w:val="21"/>
                      <w:highlight w:val="none"/>
                    </w:rPr>
                  </w:pPr>
                  <w:r>
                    <w:rPr>
                      <w:color w:val="auto"/>
                      <w:szCs w:val="21"/>
                      <w:highlight w:val="none"/>
                    </w:rPr>
                    <w:t>爆炸极限（％）</w:t>
                  </w:r>
                </w:p>
              </w:tc>
              <w:tc>
                <w:tcPr>
                  <w:tcW w:w="1467" w:type="dxa"/>
                  <w:gridSpan w:val="4"/>
                  <w:tcBorders>
                    <w:tl2br w:val="nil"/>
                    <w:tr2bl w:val="nil"/>
                  </w:tcBorders>
                  <w:vAlign w:val="center"/>
                </w:tcPr>
                <w:p w14:paraId="74F36107">
                  <w:pPr>
                    <w:rPr>
                      <w:color w:val="auto"/>
                      <w:szCs w:val="21"/>
                      <w:highlight w:val="none"/>
                    </w:rPr>
                  </w:pPr>
                  <w:r>
                    <w:rPr>
                      <w:color w:val="auto"/>
                      <w:szCs w:val="21"/>
                      <w:highlight w:val="none"/>
                    </w:rPr>
                    <w:t>0.7-5.0</w:t>
                  </w:r>
                </w:p>
              </w:tc>
              <w:tc>
                <w:tcPr>
                  <w:tcW w:w="2246" w:type="dxa"/>
                  <w:gridSpan w:val="3"/>
                  <w:tcBorders>
                    <w:tl2br w:val="nil"/>
                    <w:tr2bl w:val="nil"/>
                  </w:tcBorders>
                  <w:vAlign w:val="center"/>
                </w:tcPr>
                <w:p w14:paraId="374A5B4A">
                  <w:pPr>
                    <w:rPr>
                      <w:color w:val="auto"/>
                      <w:szCs w:val="21"/>
                      <w:highlight w:val="none"/>
                    </w:rPr>
                  </w:pPr>
                  <w:r>
                    <w:rPr>
                      <w:color w:val="auto"/>
                      <w:szCs w:val="21"/>
                      <w:highlight w:val="none"/>
                    </w:rPr>
                    <w:t>最小点火能</w:t>
                  </w:r>
                </w:p>
              </w:tc>
              <w:tc>
                <w:tcPr>
                  <w:tcW w:w="1900" w:type="dxa"/>
                  <w:gridSpan w:val="3"/>
                  <w:tcBorders>
                    <w:tl2br w:val="nil"/>
                    <w:tr2bl w:val="nil"/>
                  </w:tcBorders>
                  <w:vAlign w:val="center"/>
                </w:tcPr>
                <w:p w14:paraId="42266AF3">
                  <w:pPr>
                    <w:jc w:val="center"/>
                    <w:rPr>
                      <w:color w:val="auto"/>
                      <w:szCs w:val="21"/>
                      <w:highlight w:val="none"/>
                    </w:rPr>
                  </w:pPr>
                  <w:r>
                    <w:rPr>
                      <w:color w:val="auto"/>
                      <w:szCs w:val="21"/>
                      <w:highlight w:val="none"/>
                    </w:rPr>
                    <w:t>/</w:t>
                  </w:r>
                </w:p>
              </w:tc>
            </w:tr>
            <w:tr w14:paraId="1AA1C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7" w:type="dxa"/>
                  <w:vMerge w:val="continue"/>
                  <w:tcBorders>
                    <w:tl2br w:val="nil"/>
                    <w:tr2bl w:val="nil"/>
                  </w:tcBorders>
                  <w:vAlign w:val="center"/>
                </w:tcPr>
                <w:p w14:paraId="72D881E4">
                  <w:pPr>
                    <w:jc w:val="center"/>
                    <w:rPr>
                      <w:color w:val="auto"/>
                      <w:szCs w:val="21"/>
                      <w:highlight w:val="none"/>
                    </w:rPr>
                  </w:pPr>
                </w:p>
              </w:tc>
              <w:tc>
                <w:tcPr>
                  <w:tcW w:w="1987" w:type="dxa"/>
                  <w:gridSpan w:val="3"/>
                  <w:tcBorders>
                    <w:tl2br w:val="nil"/>
                    <w:tr2bl w:val="nil"/>
                  </w:tcBorders>
                  <w:vAlign w:val="center"/>
                </w:tcPr>
                <w:p w14:paraId="531F5D0E">
                  <w:pPr>
                    <w:rPr>
                      <w:color w:val="auto"/>
                      <w:szCs w:val="21"/>
                      <w:highlight w:val="none"/>
                    </w:rPr>
                  </w:pPr>
                  <w:r>
                    <w:rPr>
                      <w:color w:val="auto"/>
                      <w:szCs w:val="21"/>
                      <w:highlight w:val="none"/>
                    </w:rPr>
                    <w:t>引燃温度（℃）</w:t>
                  </w:r>
                </w:p>
              </w:tc>
              <w:tc>
                <w:tcPr>
                  <w:tcW w:w="1467" w:type="dxa"/>
                  <w:gridSpan w:val="4"/>
                  <w:tcBorders>
                    <w:tl2br w:val="nil"/>
                    <w:tr2bl w:val="nil"/>
                  </w:tcBorders>
                  <w:vAlign w:val="center"/>
                </w:tcPr>
                <w:p w14:paraId="7B42E18A">
                  <w:pPr>
                    <w:rPr>
                      <w:color w:val="auto"/>
                      <w:szCs w:val="21"/>
                      <w:highlight w:val="none"/>
                    </w:rPr>
                  </w:pPr>
                  <w:r>
                    <w:rPr>
                      <w:color w:val="auto"/>
                      <w:szCs w:val="21"/>
                      <w:highlight w:val="none"/>
                    </w:rPr>
                    <w:t>248</w:t>
                  </w:r>
                </w:p>
              </w:tc>
              <w:tc>
                <w:tcPr>
                  <w:tcW w:w="2246" w:type="dxa"/>
                  <w:gridSpan w:val="3"/>
                  <w:tcBorders>
                    <w:tl2br w:val="nil"/>
                    <w:tr2bl w:val="nil"/>
                  </w:tcBorders>
                  <w:vAlign w:val="center"/>
                </w:tcPr>
                <w:p w14:paraId="77C07800">
                  <w:pPr>
                    <w:rPr>
                      <w:color w:val="auto"/>
                      <w:szCs w:val="21"/>
                      <w:highlight w:val="none"/>
                    </w:rPr>
                  </w:pPr>
                  <w:r>
                    <w:rPr>
                      <w:color w:val="auto"/>
                      <w:szCs w:val="21"/>
                      <w:highlight w:val="none"/>
                    </w:rPr>
                    <w:t>最大爆炸压力（Mpa）</w:t>
                  </w:r>
                </w:p>
              </w:tc>
              <w:tc>
                <w:tcPr>
                  <w:tcW w:w="1900" w:type="dxa"/>
                  <w:gridSpan w:val="3"/>
                  <w:tcBorders>
                    <w:tl2br w:val="nil"/>
                    <w:tr2bl w:val="nil"/>
                  </w:tcBorders>
                  <w:vAlign w:val="center"/>
                </w:tcPr>
                <w:p w14:paraId="225A2DD3">
                  <w:pPr>
                    <w:jc w:val="center"/>
                    <w:rPr>
                      <w:color w:val="auto"/>
                      <w:szCs w:val="21"/>
                      <w:highlight w:val="none"/>
                    </w:rPr>
                  </w:pPr>
                  <w:r>
                    <w:rPr>
                      <w:color w:val="auto"/>
                      <w:szCs w:val="21"/>
                      <w:highlight w:val="none"/>
                    </w:rPr>
                    <w:t>/</w:t>
                  </w:r>
                </w:p>
              </w:tc>
            </w:tr>
            <w:tr w14:paraId="7B892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7" w:type="dxa"/>
                  <w:vMerge w:val="continue"/>
                  <w:tcBorders>
                    <w:tl2br w:val="nil"/>
                    <w:tr2bl w:val="nil"/>
                  </w:tcBorders>
                  <w:vAlign w:val="center"/>
                </w:tcPr>
                <w:p w14:paraId="1B864410">
                  <w:pPr>
                    <w:jc w:val="center"/>
                    <w:rPr>
                      <w:color w:val="auto"/>
                      <w:szCs w:val="21"/>
                      <w:highlight w:val="none"/>
                    </w:rPr>
                  </w:pPr>
                </w:p>
              </w:tc>
              <w:tc>
                <w:tcPr>
                  <w:tcW w:w="1094" w:type="dxa"/>
                  <w:tcBorders>
                    <w:tl2br w:val="nil"/>
                    <w:tr2bl w:val="nil"/>
                  </w:tcBorders>
                  <w:vAlign w:val="center"/>
                </w:tcPr>
                <w:p w14:paraId="17BBD125">
                  <w:pPr>
                    <w:rPr>
                      <w:color w:val="auto"/>
                      <w:szCs w:val="21"/>
                      <w:highlight w:val="none"/>
                    </w:rPr>
                  </w:pPr>
                  <w:r>
                    <w:rPr>
                      <w:color w:val="auto"/>
                      <w:szCs w:val="21"/>
                      <w:highlight w:val="none"/>
                    </w:rPr>
                    <w:t>危险特性</w:t>
                  </w:r>
                </w:p>
              </w:tc>
              <w:tc>
                <w:tcPr>
                  <w:tcW w:w="6506" w:type="dxa"/>
                  <w:gridSpan w:val="12"/>
                  <w:tcBorders>
                    <w:tl2br w:val="nil"/>
                    <w:tr2bl w:val="nil"/>
                  </w:tcBorders>
                  <w:vAlign w:val="center"/>
                </w:tcPr>
                <w:p w14:paraId="7E7DDAFB">
                  <w:pPr>
                    <w:rPr>
                      <w:color w:val="auto"/>
                      <w:szCs w:val="21"/>
                      <w:highlight w:val="none"/>
                    </w:rPr>
                  </w:pPr>
                  <w:r>
                    <w:rPr>
                      <w:color w:val="auto"/>
                      <w:szCs w:val="21"/>
                      <w:highlight w:val="none"/>
                    </w:rPr>
                    <w:t>遇明火、高热可燃</w:t>
                  </w:r>
                </w:p>
              </w:tc>
            </w:tr>
            <w:tr w14:paraId="13EE4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7" w:type="dxa"/>
                  <w:vMerge w:val="continue"/>
                  <w:tcBorders>
                    <w:tl2br w:val="nil"/>
                    <w:tr2bl w:val="nil"/>
                  </w:tcBorders>
                  <w:vAlign w:val="center"/>
                </w:tcPr>
                <w:p w14:paraId="1D49B550">
                  <w:pPr>
                    <w:jc w:val="center"/>
                    <w:rPr>
                      <w:color w:val="auto"/>
                      <w:szCs w:val="21"/>
                      <w:highlight w:val="none"/>
                    </w:rPr>
                  </w:pPr>
                </w:p>
              </w:tc>
              <w:tc>
                <w:tcPr>
                  <w:tcW w:w="1094" w:type="dxa"/>
                  <w:tcBorders>
                    <w:tl2br w:val="nil"/>
                    <w:tr2bl w:val="nil"/>
                  </w:tcBorders>
                  <w:vAlign w:val="center"/>
                </w:tcPr>
                <w:p w14:paraId="76F2A35F">
                  <w:pPr>
                    <w:rPr>
                      <w:color w:val="auto"/>
                      <w:szCs w:val="21"/>
                      <w:highlight w:val="none"/>
                    </w:rPr>
                  </w:pPr>
                  <w:r>
                    <w:rPr>
                      <w:color w:val="auto"/>
                      <w:szCs w:val="21"/>
                      <w:highlight w:val="none"/>
                    </w:rPr>
                    <w:t>灭火方法</w:t>
                  </w:r>
                </w:p>
              </w:tc>
              <w:tc>
                <w:tcPr>
                  <w:tcW w:w="6506" w:type="dxa"/>
                  <w:gridSpan w:val="12"/>
                  <w:tcBorders>
                    <w:tl2br w:val="nil"/>
                    <w:tr2bl w:val="nil"/>
                  </w:tcBorders>
                  <w:vAlign w:val="center"/>
                </w:tcPr>
                <w:p w14:paraId="7D9AB193">
                  <w:pPr>
                    <w:rPr>
                      <w:color w:val="auto"/>
                      <w:szCs w:val="21"/>
                      <w:highlight w:val="none"/>
                    </w:rPr>
                  </w:pPr>
                  <w:r>
                    <w:rPr>
                      <w:color w:val="auto"/>
                      <w:szCs w:val="21"/>
                      <w:highlight w:val="none"/>
                    </w:rPr>
                    <w:t>消防人员须佩戴防毒面具、穿全身消防服，在上风向灭火。尽可能将容器从火场移至空旷处。喷水保持火场容器冷却，直至灭火结束。处在火场中的容器若已变色或从安全泄压装置中产生声音，必须马上撤离。</w:t>
                  </w:r>
                </w:p>
                <w:p w14:paraId="5F7AA428">
                  <w:pPr>
                    <w:rPr>
                      <w:color w:val="auto"/>
                      <w:szCs w:val="21"/>
                      <w:highlight w:val="none"/>
                    </w:rPr>
                  </w:pPr>
                  <w:r>
                    <w:rPr>
                      <w:color w:val="auto"/>
                      <w:szCs w:val="21"/>
                      <w:highlight w:val="none"/>
                    </w:rPr>
                    <w:t>灭火剂：雾状水、泡沫、干粉、二氧化碳、砂土</w:t>
                  </w:r>
                  <w:r>
                    <w:rPr>
                      <w:rFonts w:hint="eastAsia"/>
                      <w:color w:val="auto"/>
                      <w:szCs w:val="21"/>
                      <w:highlight w:val="none"/>
                      <w:lang w:eastAsia="zh-CN"/>
                    </w:rPr>
                    <w:t>等</w:t>
                  </w:r>
                  <w:r>
                    <w:rPr>
                      <w:color w:val="auto"/>
                      <w:szCs w:val="21"/>
                      <w:highlight w:val="none"/>
                    </w:rPr>
                    <w:t>。</w:t>
                  </w:r>
                </w:p>
              </w:tc>
            </w:tr>
            <w:tr w14:paraId="119CC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7" w:type="dxa"/>
                  <w:vMerge w:val="continue"/>
                  <w:tcBorders>
                    <w:tl2br w:val="nil"/>
                    <w:tr2bl w:val="nil"/>
                  </w:tcBorders>
                  <w:vAlign w:val="center"/>
                </w:tcPr>
                <w:p w14:paraId="4AEFCE78">
                  <w:pPr>
                    <w:jc w:val="center"/>
                    <w:rPr>
                      <w:color w:val="auto"/>
                      <w:szCs w:val="21"/>
                      <w:highlight w:val="none"/>
                    </w:rPr>
                  </w:pPr>
                </w:p>
              </w:tc>
              <w:tc>
                <w:tcPr>
                  <w:tcW w:w="1987" w:type="dxa"/>
                  <w:gridSpan w:val="3"/>
                  <w:tcBorders>
                    <w:tl2br w:val="nil"/>
                    <w:tr2bl w:val="nil"/>
                  </w:tcBorders>
                  <w:vAlign w:val="center"/>
                </w:tcPr>
                <w:p w14:paraId="002C1F66">
                  <w:pPr>
                    <w:rPr>
                      <w:color w:val="auto"/>
                      <w:szCs w:val="21"/>
                      <w:highlight w:val="none"/>
                    </w:rPr>
                  </w:pPr>
                  <w:r>
                    <w:rPr>
                      <w:color w:val="auto"/>
                      <w:szCs w:val="21"/>
                      <w:highlight w:val="none"/>
                    </w:rPr>
                    <w:t>禁忌物</w:t>
                  </w:r>
                </w:p>
              </w:tc>
              <w:tc>
                <w:tcPr>
                  <w:tcW w:w="1467" w:type="dxa"/>
                  <w:gridSpan w:val="4"/>
                  <w:tcBorders>
                    <w:tl2br w:val="nil"/>
                    <w:tr2bl w:val="nil"/>
                  </w:tcBorders>
                  <w:vAlign w:val="center"/>
                </w:tcPr>
                <w:p w14:paraId="1B0B9F4A">
                  <w:pPr>
                    <w:rPr>
                      <w:color w:val="auto"/>
                      <w:szCs w:val="21"/>
                      <w:highlight w:val="none"/>
                    </w:rPr>
                  </w:pPr>
                  <w:r>
                    <w:rPr>
                      <w:color w:val="auto"/>
                      <w:szCs w:val="21"/>
                      <w:highlight w:val="none"/>
                    </w:rPr>
                    <w:t>/</w:t>
                  </w:r>
                </w:p>
              </w:tc>
              <w:tc>
                <w:tcPr>
                  <w:tcW w:w="2246" w:type="dxa"/>
                  <w:gridSpan w:val="3"/>
                  <w:tcBorders>
                    <w:tl2br w:val="nil"/>
                    <w:tr2bl w:val="nil"/>
                  </w:tcBorders>
                  <w:vAlign w:val="center"/>
                </w:tcPr>
                <w:p w14:paraId="0CDB7944">
                  <w:pPr>
                    <w:rPr>
                      <w:color w:val="auto"/>
                      <w:szCs w:val="21"/>
                      <w:highlight w:val="none"/>
                    </w:rPr>
                  </w:pPr>
                  <w:r>
                    <w:rPr>
                      <w:color w:val="auto"/>
                      <w:szCs w:val="21"/>
                      <w:highlight w:val="none"/>
                    </w:rPr>
                    <w:t>稳定性</w:t>
                  </w:r>
                </w:p>
              </w:tc>
              <w:tc>
                <w:tcPr>
                  <w:tcW w:w="1900" w:type="dxa"/>
                  <w:gridSpan w:val="3"/>
                  <w:tcBorders>
                    <w:tl2br w:val="nil"/>
                    <w:tr2bl w:val="nil"/>
                  </w:tcBorders>
                  <w:vAlign w:val="center"/>
                </w:tcPr>
                <w:p w14:paraId="6A53CE0A">
                  <w:pPr>
                    <w:rPr>
                      <w:color w:val="auto"/>
                      <w:szCs w:val="21"/>
                      <w:highlight w:val="none"/>
                    </w:rPr>
                  </w:pPr>
                  <w:r>
                    <w:rPr>
                      <w:color w:val="auto"/>
                      <w:szCs w:val="21"/>
                      <w:highlight w:val="none"/>
                    </w:rPr>
                    <w:t>稳定</w:t>
                  </w:r>
                </w:p>
              </w:tc>
            </w:tr>
            <w:tr w14:paraId="1D3CA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7" w:type="dxa"/>
                  <w:vMerge w:val="continue"/>
                  <w:tcBorders>
                    <w:tl2br w:val="nil"/>
                    <w:tr2bl w:val="nil"/>
                  </w:tcBorders>
                  <w:vAlign w:val="center"/>
                </w:tcPr>
                <w:p w14:paraId="5AF3B6B7">
                  <w:pPr>
                    <w:jc w:val="center"/>
                    <w:rPr>
                      <w:color w:val="auto"/>
                      <w:szCs w:val="21"/>
                      <w:highlight w:val="none"/>
                    </w:rPr>
                  </w:pPr>
                </w:p>
              </w:tc>
              <w:tc>
                <w:tcPr>
                  <w:tcW w:w="1987" w:type="dxa"/>
                  <w:gridSpan w:val="3"/>
                  <w:tcBorders>
                    <w:tl2br w:val="nil"/>
                    <w:tr2bl w:val="nil"/>
                  </w:tcBorders>
                  <w:vAlign w:val="center"/>
                </w:tcPr>
                <w:p w14:paraId="2DA7FEFF">
                  <w:pPr>
                    <w:rPr>
                      <w:color w:val="auto"/>
                      <w:szCs w:val="21"/>
                      <w:highlight w:val="none"/>
                    </w:rPr>
                  </w:pPr>
                  <w:r>
                    <w:rPr>
                      <w:color w:val="auto"/>
                      <w:szCs w:val="21"/>
                      <w:highlight w:val="none"/>
                    </w:rPr>
                    <w:t>燃烧产物</w:t>
                  </w:r>
                </w:p>
              </w:tc>
              <w:tc>
                <w:tcPr>
                  <w:tcW w:w="1467" w:type="dxa"/>
                  <w:gridSpan w:val="4"/>
                  <w:tcBorders>
                    <w:tl2br w:val="nil"/>
                    <w:tr2bl w:val="nil"/>
                  </w:tcBorders>
                  <w:vAlign w:val="center"/>
                </w:tcPr>
                <w:p w14:paraId="59BFB1F2">
                  <w:pPr>
                    <w:rPr>
                      <w:color w:val="auto"/>
                      <w:szCs w:val="21"/>
                      <w:highlight w:val="none"/>
                    </w:rPr>
                  </w:pPr>
                  <w:r>
                    <w:rPr>
                      <w:color w:val="auto"/>
                      <w:szCs w:val="21"/>
                      <w:highlight w:val="none"/>
                    </w:rPr>
                    <w:t>一氧化碳、二氧化碳</w:t>
                  </w:r>
                </w:p>
              </w:tc>
              <w:tc>
                <w:tcPr>
                  <w:tcW w:w="2246" w:type="dxa"/>
                  <w:gridSpan w:val="3"/>
                  <w:tcBorders>
                    <w:tl2br w:val="nil"/>
                    <w:tr2bl w:val="nil"/>
                  </w:tcBorders>
                  <w:vAlign w:val="center"/>
                </w:tcPr>
                <w:p w14:paraId="5367B1DB">
                  <w:pPr>
                    <w:rPr>
                      <w:color w:val="auto"/>
                      <w:szCs w:val="21"/>
                      <w:highlight w:val="none"/>
                    </w:rPr>
                  </w:pPr>
                  <w:r>
                    <w:rPr>
                      <w:color w:val="auto"/>
                      <w:szCs w:val="21"/>
                      <w:highlight w:val="none"/>
                    </w:rPr>
                    <w:t>聚合危害</w:t>
                  </w:r>
                </w:p>
              </w:tc>
              <w:tc>
                <w:tcPr>
                  <w:tcW w:w="1900" w:type="dxa"/>
                  <w:gridSpan w:val="3"/>
                  <w:tcBorders>
                    <w:tl2br w:val="nil"/>
                    <w:tr2bl w:val="nil"/>
                  </w:tcBorders>
                  <w:vAlign w:val="center"/>
                </w:tcPr>
                <w:p w14:paraId="7234A26C">
                  <w:pPr>
                    <w:rPr>
                      <w:color w:val="auto"/>
                      <w:szCs w:val="21"/>
                      <w:highlight w:val="none"/>
                    </w:rPr>
                  </w:pPr>
                  <w:r>
                    <w:rPr>
                      <w:color w:val="auto"/>
                      <w:szCs w:val="21"/>
                      <w:highlight w:val="none"/>
                    </w:rPr>
                    <w:t>不聚合</w:t>
                  </w:r>
                </w:p>
              </w:tc>
            </w:tr>
            <w:tr w14:paraId="4D6F8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7" w:type="dxa"/>
                  <w:vMerge w:val="restart"/>
                  <w:tcBorders>
                    <w:tl2br w:val="nil"/>
                    <w:tr2bl w:val="nil"/>
                  </w:tcBorders>
                  <w:vAlign w:val="center"/>
                </w:tcPr>
                <w:p w14:paraId="7421AD9D">
                  <w:pPr>
                    <w:jc w:val="center"/>
                    <w:rPr>
                      <w:color w:val="auto"/>
                      <w:szCs w:val="21"/>
                      <w:highlight w:val="none"/>
                    </w:rPr>
                  </w:pPr>
                  <w:r>
                    <w:rPr>
                      <w:color w:val="auto"/>
                      <w:szCs w:val="21"/>
                      <w:highlight w:val="none"/>
                    </w:rPr>
                    <w:t>毒性及健康危害</w:t>
                  </w:r>
                </w:p>
              </w:tc>
              <w:tc>
                <w:tcPr>
                  <w:tcW w:w="1520" w:type="dxa"/>
                  <w:gridSpan w:val="2"/>
                  <w:tcBorders>
                    <w:tl2br w:val="nil"/>
                    <w:tr2bl w:val="nil"/>
                  </w:tcBorders>
                  <w:vAlign w:val="center"/>
                </w:tcPr>
                <w:p w14:paraId="028E65EE">
                  <w:pPr>
                    <w:rPr>
                      <w:color w:val="auto"/>
                      <w:szCs w:val="21"/>
                      <w:highlight w:val="none"/>
                    </w:rPr>
                  </w:pPr>
                  <w:r>
                    <w:rPr>
                      <w:color w:val="auto"/>
                      <w:szCs w:val="21"/>
                      <w:highlight w:val="none"/>
                    </w:rPr>
                    <w:t>急性毒性</w:t>
                  </w:r>
                </w:p>
              </w:tc>
              <w:tc>
                <w:tcPr>
                  <w:tcW w:w="1520" w:type="dxa"/>
                  <w:gridSpan w:val="4"/>
                  <w:tcBorders>
                    <w:tl2br w:val="nil"/>
                    <w:tr2bl w:val="nil"/>
                  </w:tcBorders>
                  <w:vAlign w:val="center"/>
                </w:tcPr>
                <w:p w14:paraId="6DB9AAB0">
                  <w:pPr>
                    <w:rPr>
                      <w:color w:val="auto"/>
                      <w:szCs w:val="21"/>
                      <w:highlight w:val="none"/>
                    </w:rPr>
                  </w:pPr>
                  <w:r>
                    <w:rPr>
                      <w:color w:val="auto"/>
                      <w:szCs w:val="21"/>
                      <w:highlight w:val="none"/>
                    </w:rPr>
                    <w:t>LD</w:t>
                  </w:r>
                  <w:r>
                    <w:rPr>
                      <w:color w:val="auto"/>
                      <w:szCs w:val="21"/>
                      <w:highlight w:val="none"/>
                      <w:vertAlign w:val="subscript"/>
                    </w:rPr>
                    <w:t>50</w:t>
                  </w:r>
                  <w:r>
                    <w:rPr>
                      <w:color w:val="auto"/>
                      <w:szCs w:val="21"/>
                      <w:highlight w:val="none"/>
                    </w:rPr>
                    <w:t>（</w:t>
                  </w:r>
                  <w:r>
                    <w:rPr>
                      <w:rFonts w:hint="eastAsia"/>
                      <w:color w:val="auto"/>
                      <w:szCs w:val="21"/>
                      <w:highlight w:val="none"/>
                      <w:lang w:eastAsia="zh-CN"/>
                    </w:rPr>
                    <w:t>m</w:t>
                  </w:r>
                  <w:r>
                    <w:rPr>
                      <w:color w:val="auto"/>
                      <w:szCs w:val="21"/>
                      <w:highlight w:val="none"/>
                    </w:rPr>
                    <w:t>g/kg，大鼠经口）</w:t>
                  </w:r>
                </w:p>
              </w:tc>
              <w:tc>
                <w:tcPr>
                  <w:tcW w:w="1520" w:type="dxa"/>
                  <w:gridSpan w:val="2"/>
                  <w:tcBorders>
                    <w:tl2br w:val="nil"/>
                    <w:tr2bl w:val="nil"/>
                  </w:tcBorders>
                  <w:vAlign w:val="center"/>
                </w:tcPr>
                <w:p w14:paraId="706763D2">
                  <w:pPr>
                    <w:rPr>
                      <w:color w:val="auto"/>
                      <w:szCs w:val="21"/>
                      <w:highlight w:val="none"/>
                    </w:rPr>
                  </w:pPr>
                  <w:r>
                    <w:rPr>
                      <w:color w:val="auto"/>
                      <w:szCs w:val="21"/>
                      <w:highlight w:val="none"/>
                    </w:rPr>
                    <w:t>无资料</w:t>
                  </w:r>
                </w:p>
              </w:tc>
              <w:tc>
                <w:tcPr>
                  <w:tcW w:w="1520" w:type="dxa"/>
                  <w:gridSpan w:val="3"/>
                  <w:tcBorders>
                    <w:tl2br w:val="nil"/>
                    <w:tr2bl w:val="nil"/>
                  </w:tcBorders>
                  <w:vAlign w:val="center"/>
                </w:tcPr>
                <w:p w14:paraId="581E6D9A">
                  <w:pPr>
                    <w:rPr>
                      <w:color w:val="auto"/>
                      <w:szCs w:val="21"/>
                      <w:highlight w:val="none"/>
                    </w:rPr>
                  </w:pPr>
                  <w:r>
                    <w:rPr>
                      <w:color w:val="auto"/>
                      <w:szCs w:val="21"/>
                      <w:highlight w:val="none"/>
                    </w:rPr>
                    <w:t>LC50（</w:t>
                  </w:r>
                  <w:r>
                    <w:rPr>
                      <w:rFonts w:hint="eastAsia"/>
                      <w:color w:val="auto"/>
                      <w:szCs w:val="21"/>
                      <w:highlight w:val="none"/>
                      <w:lang w:eastAsia="zh-CN"/>
                    </w:rPr>
                    <w:t>m</w:t>
                  </w:r>
                  <w:r>
                    <w:rPr>
                      <w:color w:val="auto"/>
                      <w:szCs w:val="21"/>
                      <w:highlight w:val="none"/>
                    </w:rPr>
                    <w:t>g/kg）</w:t>
                  </w:r>
                </w:p>
              </w:tc>
              <w:tc>
                <w:tcPr>
                  <w:tcW w:w="1520" w:type="dxa"/>
                  <w:gridSpan w:val="2"/>
                  <w:tcBorders>
                    <w:tl2br w:val="nil"/>
                    <w:tr2bl w:val="nil"/>
                  </w:tcBorders>
                  <w:vAlign w:val="center"/>
                </w:tcPr>
                <w:p w14:paraId="74E7F3EE">
                  <w:pPr>
                    <w:rPr>
                      <w:color w:val="auto"/>
                      <w:szCs w:val="21"/>
                      <w:highlight w:val="none"/>
                    </w:rPr>
                  </w:pPr>
                  <w:r>
                    <w:rPr>
                      <w:color w:val="auto"/>
                      <w:szCs w:val="21"/>
                      <w:highlight w:val="none"/>
                    </w:rPr>
                    <w:t>无资料</w:t>
                  </w:r>
                </w:p>
              </w:tc>
            </w:tr>
            <w:tr w14:paraId="7484E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7" w:type="dxa"/>
                  <w:vMerge w:val="continue"/>
                  <w:tcBorders>
                    <w:tl2br w:val="nil"/>
                    <w:tr2bl w:val="nil"/>
                  </w:tcBorders>
                  <w:vAlign w:val="center"/>
                </w:tcPr>
                <w:p w14:paraId="34CF4820">
                  <w:pPr>
                    <w:jc w:val="center"/>
                    <w:rPr>
                      <w:color w:val="auto"/>
                      <w:szCs w:val="21"/>
                      <w:highlight w:val="none"/>
                    </w:rPr>
                  </w:pPr>
                </w:p>
              </w:tc>
              <w:tc>
                <w:tcPr>
                  <w:tcW w:w="1094" w:type="dxa"/>
                  <w:vMerge w:val="restart"/>
                  <w:tcBorders>
                    <w:tl2br w:val="nil"/>
                    <w:tr2bl w:val="nil"/>
                  </w:tcBorders>
                  <w:vAlign w:val="center"/>
                </w:tcPr>
                <w:p w14:paraId="089B7490">
                  <w:pPr>
                    <w:rPr>
                      <w:color w:val="auto"/>
                      <w:szCs w:val="21"/>
                      <w:highlight w:val="none"/>
                    </w:rPr>
                  </w:pPr>
                  <w:r>
                    <w:rPr>
                      <w:color w:val="auto"/>
                      <w:szCs w:val="21"/>
                      <w:highlight w:val="none"/>
                    </w:rPr>
                    <w:t>健康危害</w:t>
                  </w:r>
                </w:p>
              </w:tc>
              <w:tc>
                <w:tcPr>
                  <w:tcW w:w="3466" w:type="dxa"/>
                  <w:gridSpan w:val="7"/>
                  <w:tcBorders>
                    <w:tl2br w:val="nil"/>
                    <w:tr2bl w:val="nil"/>
                  </w:tcBorders>
                  <w:vAlign w:val="center"/>
                </w:tcPr>
                <w:p w14:paraId="5D6BB7A0">
                  <w:pPr>
                    <w:rPr>
                      <w:color w:val="auto"/>
                      <w:szCs w:val="21"/>
                      <w:highlight w:val="none"/>
                    </w:rPr>
                  </w:pPr>
                  <w:r>
                    <w:rPr>
                      <w:color w:val="auto"/>
                      <w:szCs w:val="21"/>
                      <w:highlight w:val="none"/>
                    </w:rPr>
                    <w:t>车间卫生标准</w:t>
                  </w:r>
                </w:p>
              </w:tc>
              <w:tc>
                <w:tcPr>
                  <w:tcW w:w="3040" w:type="dxa"/>
                  <w:gridSpan w:val="5"/>
                  <w:tcBorders>
                    <w:tl2br w:val="nil"/>
                    <w:tr2bl w:val="nil"/>
                  </w:tcBorders>
                  <w:vAlign w:val="center"/>
                </w:tcPr>
                <w:p w14:paraId="1F4B18A7">
                  <w:pPr>
                    <w:rPr>
                      <w:rFonts w:hint="eastAsia" w:eastAsia="宋体"/>
                      <w:color w:val="auto"/>
                      <w:szCs w:val="21"/>
                      <w:highlight w:val="none"/>
                      <w:lang w:val="en-US" w:eastAsia="zh-CN"/>
                    </w:rPr>
                  </w:pPr>
                  <w:r>
                    <w:rPr>
                      <w:rFonts w:hint="eastAsia"/>
                      <w:color w:val="auto"/>
                      <w:szCs w:val="21"/>
                      <w:highlight w:val="none"/>
                      <w:lang w:val="en-US" w:eastAsia="zh-CN"/>
                    </w:rPr>
                    <w:t>/</w:t>
                  </w:r>
                </w:p>
              </w:tc>
            </w:tr>
            <w:tr w14:paraId="657F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7" w:type="dxa"/>
                  <w:vMerge w:val="continue"/>
                  <w:tcBorders>
                    <w:tl2br w:val="nil"/>
                    <w:tr2bl w:val="nil"/>
                  </w:tcBorders>
                  <w:vAlign w:val="center"/>
                </w:tcPr>
                <w:p w14:paraId="0F502B45">
                  <w:pPr>
                    <w:jc w:val="center"/>
                    <w:rPr>
                      <w:color w:val="auto"/>
                      <w:szCs w:val="21"/>
                      <w:highlight w:val="none"/>
                    </w:rPr>
                  </w:pPr>
                </w:p>
              </w:tc>
              <w:tc>
                <w:tcPr>
                  <w:tcW w:w="1094" w:type="dxa"/>
                  <w:vMerge w:val="continue"/>
                  <w:tcBorders>
                    <w:tl2br w:val="nil"/>
                    <w:tr2bl w:val="nil"/>
                  </w:tcBorders>
                  <w:vAlign w:val="center"/>
                </w:tcPr>
                <w:p w14:paraId="039F8D1F">
                  <w:pPr>
                    <w:rPr>
                      <w:color w:val="auto"/>
                      <w:szCs w:val="21"/>
                      <w:highlight w:val="none"/>
                    </w:rPr>
                  </w:pPr>
                </w:p>
              </w:tc>
              <w:tc>
                <w:tcPr>
                  <w:tcW w:w="6506" w:type="dxa"/>
                  <w:gridSpan w:val="12"/>
                  <w:tcBorders>
                    <w:tl2br w:val="nil"/>
                    <w:tr2bl w:val="nil"/>
                  </w:tcBorders>
                  <w:vAlign w:val="center"/>
                </w:tcPr>
                <w:p w14:paraId="5F26B64A">
                  <w:pPr>
                    <w:rPr>
                      <w:color w:val="auto"/>
                      <w:szCs w:val="21"/>
                      <w:highlight w:val="none"/>
                    </w:rPr>
                  </w:pPr>
                  <w:r>
                    <w:rPr>
                      <w:color w:val="auto"/>
                      <w:szCs w:val="21"/>
                      <w:highlight w:val="none"/>
                    </w:rPr>
                    <w:t>侵入途径：吸</w:t>
                  </w:r>
                  <w:r>
                    <w:rPr>
                      <w:rFonts w:hint="eastAsia"/>
                      <w:color w:val="auto"/>
                      <w:szCs w:val="21"/>
                      <w:highlight w:val="none"/>
                      <w:lang w:eastAsia="zh-CN"/>
                    </w:rPr>
                    <w:t>入</w:t>
                  </w:r>
                  <w:r>
                    <w:rPr>
                      <w:color w:val="auto"/>
                      <w:szCs w:val="21"/>
                      <w:highlight w:val="none"/>
                    </w:rPr>
                    <w:t>、食入；</w:t>
                  </w:r>
                </w:p>
                <w:p w14:paraId="128EFF1C">
                  <w:pPr>
                    <w:rPr>
                      <w:color w:val="auto"/>
                      <w:szCs w:val="21"/>
                      <w:highlight w:val="none"/>
                    </w:rPr>
                  </w:pPr>
                  <w:r>
                    <w:rPr>
                      <w:color w:val="auto"/>
                      <w:szCs w:val="21"/>
                      <w:highlight w:val="none"/>
                    </w:rPr>
                    <w:t>急性吸入，可出现乏力、头晕、头痛、恶心</w:t>
                  </w:r>
                  <w:r>
                    <w:rPr>
                      <w:rFonts w:hint="eastAsia"/>
                      <w:color w:val="auto"/>
                      <w:szCs w:val="21"/>
                      <w:highlight w:val="none"/>
                      <w:lang w:eastAsia="zh-CN"/>
                    </w:rPr>
                    <w:t>等症状</w:t>
                  </w:r>
                  <w:r>
                    <w:rPr>
                      <w:color w:val="auto"/>
                      <w:szCs w:val="21"/>
                      <w:highlight w:val="none"/>
                    </w:rPr>
                    <w:t>，严重者可引起油脂性肺炎。慢接触者，暴露部位可发生油性痤疮和接触性皮炎。可引起神经衰弱综合</w:t>
                  </w:r>
                  <w:r>
                    <w:rPr>
                      <w:rFonts w:hint="eastAsia"/>
                      <w:color w:val="auto"/>
                      <w:szCs w:val="21"/>
                      <w:highlight w:val="none"/>
                      <w:lang w:eastAsia="zh-CN"/>
                    </w:rPr>
                    <w:t>症</w:t>
                  </w:r>
                  <w:r>
                    <w:rPr>
                      <w:color w:val="auto"/>
                      <w:szCs w:val="21"/>
                      <w:highlight w:val="none"/>
                    </w:rPr>
                    <w:t>、呼吸道和眼刺激症状及慢性油脂性肺炎</w:t>
                  </w:r>
                  <w:r>
                    <w:rPr>
                      <w:rFonts w:hint="eastAsia"/>
                      <w:color w:val="auto"/>
                      <w:szCs w:val="21"/>
                      <w:highlight w:val="none"/>
                      <w:lang w:eastAsia="zh-CN"/>
                    </w:rPr>
                    <w:t>等</w:t>
                  </w:r>
                  <w:r>
                    <w:rPr>
                      <w:color w:val="auto"/>
                      <w:szCs w:val="21"/>
                      <w:highlight w:val="none"/>
                    </w:rPr>
                    <w:t>。有资料报道，接触石油润滑油类的工人，有致癌的病例报告。</w:t>
                  </w:r>
                </w:p>
              </w:tc>
            </w:tr>
            <w:tr w14:paraId="1FB84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7" w:type="dxa"/>
                  <w:tcBorders>
                    <w:tl2br w:val="nil"/>
                    <w:tr2bl w:val="nil"/>
                  </w:tcBorders>
                  <w:vAlign w:val="center"/>
                </w:tcPr>
                <w:p w14:paraId="747A91F0">
                  <w:pPr>
                    <w:jc w:val="center"/>
                    <w:rPr>
                      <w:color w:val="auto"/>
                      <w:szCs w:val="21"/>
                      <w:highlight w:val="none"/>
                    </w:rPr>
                  </w:pPr>
                  <w:r>
                    <w:rPr>
                      <w:color w:val="auto"/>
                      <w:szCs w:val="21"/>
                      <w:highlight w:val="none"/>
                    </w:rPr>
                    <w:t>急救</w:t>
                  </w:r>
                </w:p>
              </w:tc>
              <w:tc>
                <w:tcPr>
                  <w:tcW w:w="7600" w:type="dxa"/>
                  <w:gridSpan w:val="13"/>
                  <w:tcBorders>
                    <w:tl2br w:val="nil"/>
                    <w:tr2bl w:val="nil"/>
                  </w:tcBorders>
                  <w:vAlign w:val="center"/>
                </w:tcPr>
                <w:p w14:paraId="40048937">
                  <w:pPr>
                    <w:rPr>
                      <w:color w:val="auto"/>
                      <w:szCs w:val="21"/>
                      <w:highlight w:val="none"/>
                    </w:rPr>
                  </w:pPr>
                  <w:r>
                    <w:rPr>
                      <w:color w:val="auto"/>
                      <w:szCs w:val="21"/>
                      <w:highlight w:val="none"/>
                    </w:rPr>
                    <w:t>皮肤接触：立即脱去被污染的衣着，用大量清水冲洗；</w:t>
                  </w:r>
                </w:p>
                <w:p w14:paraId="4A0B54A7">
                  <w:pPr>
                    <w:rPr>
                      <w:color w:val="auto"/>
                      <w:szCs w:val="21"/>
                      <w:highlight w:val="none"/>
                    </w:rPr>
                  </w:pPr>
                  <w:r>
                    <w:rPr>
                      <w:color w:val="auto"/>
                      <w:szCs w:val="21"/>
                      <w:highlight w:val="none"/>
                    </w:rPr>
                    <w:t>眼睛接触：立即提起眼睑，用大量流动清水或生理盐水冲洗，就医；</w:t>
                  </w:r>
                </w:p>
                <w:p w14:paraId="1093DA32">
                  <w:pPr>
                    <w:rPr>
                      <w:color w:val="auto"/>
                      <w:szCs w:val="21"/>
                      <w:highlight w:val="none"/>
                    </w:rPr>
                  </w:pPr>
                  <w:r>
                    <w:rPr>
                      <w:color w:val="auto"/>
                      <w:szCs w:val="21"/>
                      <w:highlight w:val="none"/>
                    </w:rPr>
                    <w:t>吸入：迅速脱离现场至空气新鲜处，保持呼吸道通畅，如呼吸困难，给输氧；如呼吸停止，立即进行人工呼吸，就医；</w:t>
                  </w:r>
                </w:p>
                <w:p w14:paraId="1124403C">
                  <w:pPr>
                    <w:rPr>
                      <w:color w:val="auto"/>
                      <w:szCs w:val="21"/>
                      <w:highlight w:val="none"/>
                    </w:rPr>
                  </w:pPr>
                  <w:r>
                    <w:rPr>
                      <w:color w:val="auto"/>
                      <w:szCs w:val="21"/>
                      <w:highlight w:val="none"/>
                    </w:rPr>
                    <w:t>食入：饮足量温水，催吐，就医。</w:t>
                  </w:r>
                </w:p>
              </w:tc>
            </w:tr>
            <w:tr w14:paraId="0164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7" w:type="dxa"/>
                  <w:tcBorders>
                    <w:tl2br w:val="nil"/>
                    <w:tr2bl w:val="nil"/>
                  </w:tcBorders>
                  <w:vAlign w:val="center"/>
                </w:tcPr>
                <w:p w14:paraId="03237446">
                  <w:pPr>
                    <w:jc w:val="center"/>
                    <w:rPr>
                      <w:color w:val="auto"/>
                      <w:szCs w:val="21"/>
                      <w:highlight w:val="none"/>
                    </w:rPr>
                  </w:pPr>
                  <w:r>
                    <w:rPr>
                      <w:color w:val="auto"/>
                      <w:szCs w:val="21"/>
                      <w:highlight w:val="none"/>
                    </w:rPr>
                    <w:t>防护</w:t>
                  </w:r>
                </w:p>
              </w:tc>
              <w:tc>
                <w:tcPr>
                  <w:tcW w:w="7600" w:type="dxa"/>
                  <w:gridSpan w:val="13"/>
                  <w:tcBorders>
                    <w:tl2br w:val="nil"/>
                    <w:tr2bl w:val="nil"/>
                  </w:tcBorders>
                  <w:vAlign w:val="center"/>
                </w:tcPr>
                <w:p w14:paraId="17758BC0">
                  <w:pPr>
                    <w:rPr>
                      <w:color w:val="auto"/>
                      <w:szCs w:val="21"/>
                      <w:highlight w:val="none"/>
                    </w:rPr>
                  </w:pPr>
                  <w:r>
                    <w:rPr>
                      <w:color w:val="auto"/>
                      <w:szCs w:val="21"/>
                      <w:highlight w:val="none"/>
                    </w:rPr>
                    <w:t>工程控制：密闭操作，注意通风；</w:t>
                  </w:r>
                </w:p>
                <w:p w14:paraId="7AB39C7A">
                  <w:pPr>
                    <w:rPr>
                      <w:color w:val="auto"/>
                      <w:szCs w:val="21"/>
                      <w:highlight w:val="none"/>
                    </w:rPr>
                  </w:pPr>
                  <w:r>
                    <w:rPr>
                      <w:color w:val="auto"/>
                      <w:szCs w:val="21"/>
                      <w:highlight w:val="none"/>
                    </w:rPr>
                    <w:t>呼吸系统防护：空气中浓度超标时，建议佩戴自吸过滤式防毒面具（半面罩）。紧急事态抢救或撤离时，应该佩戴空气呼吸器。</w:t>
                  </w:r>
                </w:p>
                <w:p w14:paraId="724401DD">
                  <w:pPr>
                    <w:rPr>
                      <w:color w:val="auto"/>
                      <w:szCs w:val="21"/>
                      <w:highlight w:val="none"/>
                    </w:rPr>
                  </w:pPr>
                  <w:r>
                    <w:rPr>
                      <w:color w:val="auto"/>
                      <w:szCs w:val="21"/>
                      <w:highlight w:val="none"/>
                    </w:rPr>
                    <w:t>眼睛防护：戴化学安全防护眼镜。</w:t>
                  </w:r>
                </w:p>
                <w:p w14:paraId="478078A4">
                  <w:pPr>
                    <w:rPr>
                      <w:color w:val="auto"/>
                      <w:szCs w:val="21"/>
                      <w:highlight w:val="none"/>
                    </w:rPr>
                  </w:pPr>
                  <w:r>
                    <w:rPr>
                      <w:color w:val="auto"/>
                      <w:szCs w:val="21"/>
                      <w:highlight w:val="none"/>
                    </w:rPr>
                    <w:t>身体防护：穿防毒物渗透工作服；</w:t>
                  </w:r>
                </w:p>
                <w:p w14:paraId="386C6D9F">
                  <w:pPr>
                    <w:rPr>
                      <w:color w:val="auto"/>
                      <w:szCs w:val="21"/>
                      <w:highlight w:val="none"/>
                    </w:rPr>
                  </w:pPr>
                  <w:r>
                    <w:rPr>
                      <w:color w:val="auto"/>
                      <w:szCs w:val="21"/>
                      <w:highlight w:val="none"/>
                    </w:rPr>
                    <w:t>手防护：戴橡胶耐油手套；</w:t>
                  </w:r>
                </w:p>
                <w:p w14:paraId="0FCFA64D">
                  <w:pPr>
                    <w:rPr>
                      <w:color w:val="auto"/>
                      <w:szCs w:val="21"/>
                      <w:highlight w:val="none"/>
                    </w:rPr>
                  </w:pPr>
                  <w:r>
                    <w:rPr>
                      <w:color w:val="auto"/>
                      <w:szCs w:val="21"/>
                      <w:highlight w:val="none"/>
                    </w:rPr>
                    <w:t>其他：工作现场严禁吸烟。避免长期反复接触。</w:t>
                  </w:r>
                </w:p>
              </w:tc>
            </w:tr>
            <w:tr w14:paraId="0AD9E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7" w:type="dxa"/>
                  <w:tcBorders>
                    <w:tl2br w:val="nil"/>
                    <w:tr2bl w:val="nil"/>
                  </w:tcBorders>
                  <w:vAlign w:val="center"/>
                </w:tcPr>
                <w:p w14:paraId="66C3BC80">
                  <w:pPr>
                    <w:jc w:val="center"/>
                    <w:rPr>
                      <w:color w:val="auto"/>
                      <w:szCs w:val="21"/>
                      <w:highlight w:val="none"/>
                    </w:rPr>
                  </w:pPr>
                  <w:r>
                    <w:rPr>
                      <w:color w:val="auto"/>
                      <w:szCs w:val="21"/>
                      <w:highlight w:val="none"/>
                    </w:rPr>
                    <w:t>泄漏处理</w:t>
                  </w:r>
                </w:p>
              </w:tc>
              <w:tc>
                <w:tcPr>
                  <w:tcW w:w="7600" w:type="dxa"/>
                  <w:gridSpan w:val="13"/>
                  <w:tcBorders>
                    <w:tl2br w:val="nil"/>
                    <w:tr2bl w:val="nil"/>
                  </w:tcBorders>
                  <w:vAlign w:val="center"/>
                </w:tcPr>
                <w:p w14:paraId="2CB9B3E9">
                  <w:pPr>
                    <w:rPr>
                      <w:color w:val="auto"/>
                      <w:szCs w:val="21"/>
                      <w:highlight w:val="none"/>
                    </w:rPr>
                  </w:pPr>
                  <w:r>
                    <w:rPr>
                      <w:color w:val="auto"/>
                      <w:szCs w:val="21"/>
                      <w:highlight w:val="none"/>
                    </w:rPr>
                    <w:t>迅速撤离泄漏污染区人员至安全区，并进行隔离，严格限制出入。切断火源。建议应急处理人员</w:t>
                  </w:r>
                  <w:r>
                    <w:rPr>
                      <w:rFonts w:hint="eastAsia"/>
                      <w:color w:val="auto"/>
                      <w:szCs w:val="21"/>
                      <w:highlight w:val="none"/>
                      <w:lang w:eastAsia="zh-CN"/>
                    </w:rPr>
                    <w:t>佩戴</w:t>
                  </w:r>
                  <w:r>
                    <w:rPr>
                      <w:color w:val="auto"/>
                      <w:szCs w:val="21"/>
                      <w:highlight w:val="none"/>
                    </w:rPr>
                    <w:t>自给正压式呼吸器，穿防毒服。尽可能切断泄漏源。防止流入下水道、排洪沟等限制性空间。</w:t>
                  </w:r>
                </w:p>
                <w:p w14:paraId="0490CE5B">
                  <w:pPr>
                    <w:rPr>
                      <w:color w:val="auto"/>
                      <w:szCs w:val="21"/>
                      <w:highlight w:val="none"/>
                    </w:rPr>
                  </w:pPr>
                  <w:r>
                    <w:rPr>
                      <w:color w:val="auto"/>
                      <w:szCs w:val="21"/>
                      <w:highlight w:val="none"/>
                    </w:rPr>
                    <w:t>小量泄漏：用砂土或其</w:t>
                  </w:r>
                  <w:r>
                    <w:rPr>
                      <w:rFonts w:hint="eastAsia"/>
                      <w:color w:val="auto"/>
                      <w:szCs w:val="21"/>
                      <w:highlight w:val="none"/>
                      <w:lang w:eastAsia="zh-CN"/>
                    </w:rPr>
                    <w:t>他</w:t>
                  </w:r>
                  <w:r>
                    <w:rPr>
                      <w:color w:val="auto"/>
                      <w:szCs w:val="21"/>
                      <w:highlight w:val="none"/>
                    </w:rPr>
                    <w:t>不燃材料吸附或吸收。</w:t>
                  </w:r>
                </w:p>
                <w:p w14:paraId="75383F6B">
                  <w:pPr>
                    <w:rPr>
                      <w:color w:val="auto"/>
                      <w:szCs w:val="21"/>
                      <w:highlight w:val="none"/>
                    </w:rPr>
                  </w:pPr>
                  <w:r>
                    <w:rPr>
                      <w:color w:val="auto"/>
                      <w:szCs w:val="21"/>
                      <w:highlight w:val="none"/>
                    </w:rPr>
                    <w:t>大量泄漏：构筑围堤或挖坑收容。用泵转移至槽车或专用收集器内，回收或运至废物处理场所处置。</w:t>
                  </w:r>
                </w:p>
              </w:tc>
            </w:tr>
            <w:tr w14:paraId="4C800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7" w:type="dxa"/>
                  <w:tcBorders>
                    <w:tl2br w:val="nil"/>
                    <w:tr2bl w:val="nil"/>
                  </w:tcBorders>
                  <w:vAlign w:val="center"/>
                </w:tcPr>
                <w:p w14:paraId="6E82B517">
                  <w:pPr>
                    <w:jc w:val="center"/>
                    <w:rPr>
                      <w:color w:val="auto"/>
                      <w:szCs w:val="21"/>
                      <w:highlight w:val="none"/>
                    </w:rPr>
                  </w:pPr>
                  <w:r>
                    <w:rPr>
                      <w:color w:val="auto"/>
                      <w:szCs w:val="21"/>
                      <w:highlight w:val="none"/>
                    </w:rPr>
                    <w:t>储运</w:t>
                  </w:r>
                </w:p>
              </w:tc>
              <w:tc>
                <w:tcPr>
                  <w:tcW w:w="7600" w:type="dxa"/>
                  <w:gridSpan w:val="13"/>
                  <w:tcBorders>
                    <w:tl2br w:val="nil"/>
                    <w:tr2bl w:val="nil"/>
                  </w:tcBorders>
                  <w:vAlign w:val="center"/>
                </w:tcPr>
                <w:p w14:paraId="64E7ACE4">
                  <w:pPr>
                    <w:rPr>
                      <w:color w:val="auto"/>
                      <w:szCs w:val="21"/>
                      <w:highlight w:val="none"/>
                    </w:rPr>
                  </w:pPr>
                  <w:r>
                    <w:rPr>
                      <w:color w:val="auto"/>
                      <w:szCs w:val="21"/>
                      <w:highlight w:val="none"/>
                    </w:rPr>
                    <w:t>储存于阴凉、通风的库房。远离火种、热源。应与氧化剂分开存放，切忌混储。配备相应品种和数量的消防器材。储区应备有泄漏应急处理设备和合适的收容材料。</w:t>
                  </w:r>
                </w:p>
                <w:p w14:paraId="6D032BF3">
                  <w:pPr>
                    <w:rPr>
                      <w:color w:val="auto"/>
                      <w:szCs w:val="21"/>
                      <w:highlight w:val="none"/>
                    </w:rPr>
                  </w:pPr>
                  <w:r>
                    <w:rPr>
                      <w:color w:val="auto"/>
                      <w:szCs w:val="21"/>
                      <w:highlight w:val="none"/>
                    </w:rPr>
                    <w:t>运输前应先检查包装容器是否完整、密封，运输过程中要确保容器不泄漏、不倒塌、不坠落、不损坏。严禁与氧化剂、食用化学品等混装混运。运输车船必须彻底清洗、消毒，否则不得装运其</w:t>
                  </w:r>
                  <w:r>
                    <w:rPr>
                      <w:rFonts w:hint="eastAsia"/>
                      <w:color w:val="auto"/>
                      <w:szCs w:val="21"/>
                      <w:highlight w:val="none"/>
                      <w:lang w:eastAsia="zh-CN"/>
                    </w:rPr>
                    <w:t>他</w:t>
                  </w:r>
                  <w:r>
                    <w:rPr>
                      <w:color w:val="auto"/>
                      <w:szCs w:val="21"/>
                      <w:highlight w:val="none"/>
                    </w:rPr>
                    <w:t>物品。船运时，配装位置应远离卧室、厨房，并与机舱、电源、火源等部位隔离。公路运输时要按规定路线行驶。</w:t>
                  </w:r>
                </w:p>
              </w:tc>
            </w:tr>
          </w:tbl>
          <w:p w14:paraId="460F1E81">
            <w:pPr>
              <w:widowControl w:val="0"/>
              <w:autoSpaceDE w:val="0"/>
              <w:autoSpaceDN w:val="0"/>
              <w:adjustRightInd w:val="0"/>
              <w:spacing w:line="520" w:lineRule="exact"/>
              <w:ind w:firstLine="482" w:firstLineChars="200"/>
              <w:jc w:val="center"/>
              <w:rPr>
                <w:rFonts w:ascii="Times New Roman" w:hAnsi="Times New Roman" w:eastAsia="宋体" w:cs="Times New Roman"/>
                <w:b/>
                <w:color w:val="auto"/>
                <w:kern w:val="24"/>
                <w:sz w:val="24"/>
                <w:szCs w:val="24"/>
                <w:highlight w:val="none"/>
                <w:lang w:val="en-US" w:eastAsia="zh-CN" w:bidi="ar-SA"/>
              </w:rPr>
            </w:pPr>
            <w:r>
              <w:rPr>
                <w:rFonts w:ascii="Times New Roman" w:hAnsi="Times New Roman" w:eastAsia="宋体" w:cs="Times New Roman"/>
                <w:b/>
                <w:color w:val="auto"/>
                <w:kern w:val="24"/>
                <w:sz w:val="24"/>
                <w:szCs w:val="24"/>
                <w:highlight w:val="none"/>
                <w:lang w:val="en-US" w:eastAsia="zh-CN" w:bidi="ar-SA"/>
              </w:rPr>
              <w:t>表4-</w:t>
            </w:r>
            <w:r>
              <w:rPr>
                <w:rFonts w:hint="eastAsia" w:ascii="Times New Roman" w:hAnsi="Times New Roman" w:eastAsia="宋体" w:cs="Times New Roman"/>
                <w:b/>
                <w:color w:val="auto"/>
                <w:kern w:val="24"/>
                <w:sz w:val="24"/>
                <w:szCs w:val="24"/>
                <w:highlight w:val="none"/>
                <w:lang w:val="en-US" w:eastAsia="zh-CN" w:bidi="ar-SA"/>
              </w:rPr>
              <w:t>1</w:t>
            </w:r>
            <w:r>
              <w:rPr>
                <w:rFonts w:hint="eastAsia" w:cs="Times New Roman"/>
                <w:b/>
                <w:color w:val="auto"/>
                <w:kern w:val="24"/>
                <w:sz w:val="24"/>
                <w:szCs w:val="24"/>
                <w:highlight w:val="none"/>
                <w:lang w:val="en-US" w:eastAsia="zh-CN" w:bidi="ar-SA"/>
              </w:rPr>
              <w:t>6</w:t>
            </w:r>
            <w:r>
              <w:rPr>
                <w:rFonts w:ascii="Times New Roman" w:hAnsi="Times New Roman" w:eastAsia="宋体" w:cs="Times New Roman"/>
                <w:b/>
                <w:color w:val="auto"/>
                <w:kern w:val="24"/>
                <w:sz w:val="24"/>
                <w:szCs w:val="24"/>
                <w:highlight w:val="none"/>
                <w:lang w:val="en-US" w:eastAsia="zh-CN" w:bidi="ar-SA"/>
              </w:rPr>
              <w:t xml:space="preserve"> 废矿物油</w:t>
            </w:r>
            <w:r>
              <w:rPr>
                <w:rFonts w:hint="eastAsia" w:cs="Times New Roman"/>
                <w:b/>
                <w:color w:val="auto"/>
                <w:kern w:val="24"/>
                <w:sz w:val="24"/>
                <w:szCs w:val="24"/>
                <w:highlight w:val="none"/>
                <w:lang w:val="en-US" w:eastAsia="zh-CN" w:bidi="ar-SA"/>
              </w:rPr>
              <w:t>的</w:t>
            </w:r>
            <w:r>
              <w:rPr>
                <w:rFonts w:ascii="Times New Roman" w:hAnsi="Times New Roman" w:eastAsia="宋体" w:cs="Times New Roman"/>
                <w:b/>
                <w:color w:val="auto"/>
                <w:kern w:val="24"/>
                <w:sz w:val="24"/>
                <w:szCs w:val="24"/>
                <w:highlight w:val="none"/>
                <w:lang w:val="en-US" w:eastAsia="zh-CN" w:bidi="ar-SA"/>
              </w:rPr>
              <w:t>理化性质及危险特性</w:t>
            </w:r>
          </w:p>
          <w:tbl>
            <w:tblPr>
              <w:tblStyle w:val="20"/>
              <w:tblW w:w="8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7"/>
              <w:gridCol w:w="1027"/>
              <w:gridCol w:w="1027"/>
              <w:gridCol w:w="1028"/>
              <w:gridCol w:w="1028"/>
              <w:gridCol w:w="1028"/>
              <w:gridCol w:w="1028"/>
              <w:gridCol w:w="1029"/>
            </w:tblGrid>
            <w:tr w14:paraId="661C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89" w:type="dxa"/>
                  <w:vMerge w:val="restart"/>
                  <w:noWrap w:val="0"/>
                  <w:vAlign w:val="center"/>
                </w:tcPr>
                <w:p w14:paraId="73B4E69C">
                  <w:pPr>
                    <w:widowControl w:val="0"/>
                    <w:autoSpaceDE w:val="0"/>
                    <w:autoSpaceDN w:val="0"/>
                    <w:adjustRightInd w:val="0"/>
                    <w:snapToGrid w:val="0"/>
                    <w:jc w:val="center"/>
                    <w:rPr>
                      <w:rFonts w:ascii="Times New Roman" w:hAnsi="Times New Roman" w:eastAsia="宋体" w:cs="Times New Roman"/>
                      <w:b/>
                      <w:color w:val="auto"/>
                      <w:sz w:val="21"/>
                      <w:szCs w:val="21"/>
                      <w:highlight w:val="none"/>
                      <w:lang w:val="en-US" w:eastAsia="zh-CN" w:bidi="ar-SA"/>
                    </w:rPr>
                  </w:pPr>
                  <w:r>
                    <w:rPr>
                      <w:rFonts w:ascii="Times New Roman" w:hAnsi="Times New Roman" w:eastAsia="宋体" w:cs="Times New Roman"/>
                      <w:b/>
                      <w:color w:val="auto"/>
                      <w:sz w:val="21"/>
                      <w:szCs w:val="21"/>
                      <w:highlight w:val="none"/>
                      <w:lang w:val="en-US" w:eastAsia="zh-CN" w:bidi="ar-SA"/>
                    </w:rPr>
                    <w:t>化学名称</w:t>
                  </w:r>
                </w:p>
              </w:tc>
              <w:tc>
                <w:tcPr>
                  <w:tcW w:w="1089" w:type="dxa"/>
                  <w:vMerge w:val="restart"/>
                  <w:noWrap w:val="0"/>
                  <w:vAlign w:val="center"/>
                </w:tcPr>
                <w:p w14:paraId="0494E1AA">
                  <w:pPr>
                    <w:widowControl w:val="0"/>
                    <w:autoSpaceDE w:val="0"/>
                    <w:autoSpaceDN w:val="0"/>
                    <w:adjustRightInd w:val="0"/>
                    <w:snapToGrid w:val="0"/>
                    <w:jc w:val="center"/>
                    <w:rPr>
                      <w:rFonts w:ascii="Times New Roman" w:hAnsi="Times New Roman" w:eastAsia="宋体" w:cs="Times New Roman"/>
                      <w:b/>
                      <w:color w:val="auto"/>
                      <w:sz w:val="21"/>
                      <w:szCs w:val="21"/>
                      <w:highlight w:val="none"/>
                      <w:lang w:val="en-US" w:eastAsia="zh-CN" w:bidi="ar-SA"/>
                    </w:rPr>
                  </w:pPr>
                  <w:r>
                    <w:rPr>
                      <w:rFonts w:ascii="Times New Roman" w:hAnsi="Times New Roman" w:eastAsia="宋体" w:cs="Times New Roman"/>
                      <w:b/>
                      <w:color w:val="auto"/>
                      <w:sz w:val="21"/>
                      <w:szCs w:val="21"/>
                      <w:highlight w:val="none"/>
                      <w:lang w:val="en-US" w:eastAsia="zh-CN" w:bidi="ar-SA"/>
                    </w:rPr>
                    <w:t>沸点（℃）</w:t>
                  </w:r>
                </w:p>
              </w:tc>
              <w:tc>
                <w:tcPr>
                  <w:tcW w:w="1089" w:type="dxa"/>
                  <w:vMerge w:val="restart"/>
                  <w:noWrap w:val="0"/>
                  <w:vAlign w:val="center"/>
                </w:tcPr>
                <w:p w14:paraId="4D16FA26">
                  <w:pPr>
                    <w:widowControl w:val="0"/>
                    <w:autoSpaceDE w:val="0"/>
                    <w:autoSpaceDN w:val="0"/>
                    <w:adjustRightInd w:val="0"/>
                    <w:snapToGrid w:val="0"/>
                    <w:jc w:val="center"/>
                    <w:rPr>
                      <w:rFonts w:ascii="Times New Roman" w:hAnsi="Times New Roman" w:eastAsia="宋体" w:cs="Times New Roman"/>
                      <w:b/>
                      <w:color w:val="auto"/>
                      <w:sz w:val="21"/>
                      <w:szCs w:val="21"/>
                      <w:highlight w:val="none"/>
                      <w:lang w:val="en-US" w:eastAsia="zh-CN" w:bidi="ar-SA"/>
                    </w:rPr>
                  </w:pPr>
                  <w:r>
                    <w:rPr>
                      <w:rFonts w:ascii="Times New Roman" w:hAnsi="Times New Roman" w:eastAsia="宋体" w:cs="Times New Roman"/>
                      <w:b/>
                      <w:color w:val="auto"/>
                      <w:sz w:val="21"/>
                      <w:szCs w:val="21"/>
                      <w:highlight w:val="none"/>
                      <w:lang w:val="en-US" w:eastAsia="zh-CN" w:bidi="ar-SA"/>
                    </w:rPr>
                    <w:t>相对密度</w:t>
                  </w:r>
                </w:p>
              </w:tc>
              <w:tc>
                <w:tcPr>
                  <w:tcW w:w="1089" w:type="dxa"/>
                  <w:vMerge w:val="restart"/>
                  <w:noWrap w:val="0"/>
                  <w:vAlign w:val="center"/>
                </w:tcPr>
                <w:p w14:paraId="0FC07E99">
                  <w:pPr>
                    <w:widowControl w:val="0"/>
                    <w:autoSpaceDE w:val="0"/>
                    <w:autoSpaceDN w:val="0"/>
                    <w:adjustRightInd w:val="0"/>
                    <w:snapToGrid w:val="0"/>
                    <w:jc w:val="center"/>
                    <w:rPr>
                      <w:rFonts w:ascii="Times New Roman" w:hAnsi="Times New Roman" w:eastAsia="宋体" w:cs="Times New Roman"/>
                      <w:b/>
                      <w:color w:val="auto"/>
                      <w:sz w:val="21"/>
                      <w:szCs w:val="21"/>
                      <w:highlight w:val="none"/>
                      <w:lang w:val="en-US" w:eastAsia="zh-CN" w:bidi="ar-SA"/>
                    </w:rPr>
                  </w:pPr>
                  <w:r>
                    <w:rPr>
                      <w:rFonts w:ascii="Times New Roman" w:hAnsi="Times New Roman" w:eastAsia="宋体" w:cs="Times New Roman"/>
                      <w:b/>
                      <w:color w:val="auto"/>
                      <w:sz w:val="21"/>
                      <w:szCs w:val="21"/>
                      <w:highlight w:val="none"/>
                      <w:lang w:val="en-US" w:eastAsia="zh-CN" w:bidi="ar-SA"/>
                    </w:rPr>
                    <w:t>闪点（℃）</w:t>
                  </w:r>
                </w:p>
              </w:tc>
              <w:tc>
                <w:tcPr>
                  <w:tcW w:w="2178" w:type="dxa"/>
                  <w:gridSpan w:val="2"/>
                  <w:noWrap w:val="0"/>
                  <w:vAlign w:val="center"/>
                </w:tcPr>
                <w:p w14:paraId="6411B3C3">
                  <w:pPr>
                    <w:widowControl w:val="0"/>
                    <w:autoSpaceDE w:val="0"/>
                    <w:autoSpaceDN w:val="0"/>
                    <w:adjustRightInd w:val="0"/>
                    <w:snapToGrid w:val="0"/>
                    <w:jc w:val="center"/>
                    <w:rPr>
                      <w:rFonts w:ascii="Times New Roman" w:hAnsi="Times New Roman" w:eastAsia="宋体" w:cs="Times New Roman"/>
                      <w:b/>
                      <w:color w:val="auto"/>
                      <w:sz w:val="21"/>
                      <w:szCs w:val="21"/>
                      <w:highlight w:val="none"/>
                      <w:lang w:val="en-US" w:eastAsia="zh-CN" w:bidi="ar-SA"/>
                    </w:rPr>
                  </w:pPr>
                  <w:r>
                    <w:rPr>
                      <w:rFonts w:ascii="Times New Roman" w:hAnsi="Times New Roman" w:eastAsia="宋体" w:cs="Times New Roman"/>
                      <w:b/>
                      <w:color w:val="auto"/>
                      <w:sz w:val="21"/>
                      <w:szCs w:val="21"/>
                      <w:highlight w:val="none"/>
                      <w:lang w:val="en-US" w:eastAsia="zh-CN" w:bidi="ar-SA"/>
                    </w:rPr>
                    <w:t>爆炸极限（体积%）</w:t>
                  </w:r>
                </w:p>
              </w:tc>
              <w:tc>
                <w:tcPr>
                  <w:tcW w:w="1089" w:type="dxa"/>
                  <w:vMerge w:val="restart"/>
                  <w:noWrap w:val="0"/>
                  <w:vAlign w:val="center"/>
                </w:tcPr>
                <w:p w14:paraId="7C27F323">
                  <w:pPr>
                    <w:widowControl w:val="0"/>
                    <w:autoSpaceDE w:val="0"/>
                    <w:autoSpaceDN w:val="0"/>
                    <w:adjustRightInd w:val="0"/>
                    <w:snapToGrid w:val="0"/>
                    <w:jc w:val="center"/>
                    <w:rPr>
                      <w:rFonts w:ascii="Times New Roman" w:hAnsi="Times New Roman" w:eastAsia="宋体" w:cs="Times New Roman"/>
                      <w:b/>
                      <w:color w:val="auto"/>
                      <w:sz w:val="21"/>
                      <w:szCs w:val="21"/>
                      <w:highlight w:val="none"/>
                      <w:lang w:val="en-US" w:eastAsia="zh-CN" w:bidi="ar-SA"/>
                    </w:rPr>
                  </w:pPr>
                  <w:r>
                    <w:rPr>
                      <w:rFonts w:ascii="Times New Roman" w:hAnsi="Times New Roman" w:eastAsia="宋体" w:cs="Times New Roman"/>
                      <w:b/>
                      <w:color w:val="auto"/>
                      <w:sz w:val="21"/>
                      <w:szCs w:val="21"/>
                      <w:highlight w:val="none"/>
                      <w:lang w:val="en-US" w:eastAsia="zh-CN" w:bidi="ar-SA"/>
                    </w:rPr>
                    <w:t>火灾危害分类</w:t>
                  </w:r>
                </w:p>
              </w:tc>
              <w:tc>
                <w:tcPr>
                  <w:tcW w:w="1090" w:type="dxa"/>
                  <w:vMerge w:val="restart"/>
                  <w:noWrap w:val="0"/>
                  <w:vAlign w:val="center"/>
                </w:tcPr>
                <w:p w14:paraId="4D593BD2">
                  <w:pPr>
                    <w:widowControl w:val="0"/>
                    <w:autoSpaceDE w:val="0"/>
                    <w:autoSpaceDN w:val="0"/>
                    <w:adjustRightInd w:val="0"/>
                    <w:snapToGrid w:val="0"/>
                    <w:jc w:val="center"/>
                    <w:rPr>
                      <w:rFonts w:ascii="Times New Roman" w:hAnsi="Times New Roman" w:eastAsia="宋体" w:cs="Times New Roman"/>
                      <w:b/>
                      <w:color w:val="auto"/>
                      <w:sz w:val="21"/>
                      <w:szCs w:val="21"/>
                      <w:highlight w:val="none"/>
                      <w:lang w:val="en-US" w:eastAsia="zh-CN" w:bidi="ar-SA"/>
                    </w:rPr>
                  </w:pPr>
                  <w:r>
                    <w:rPr>
                      <w:rFonts w:ascii="Times New Roman" w:hAnsi="Times New Roman" w:eastAsia="宋体" w:cs="Times New Roman"/>
                      <w:b/>
                      <w:color w:val="auto"/>
                      <w:sz w:val="21"/>
                      <w:szCs w:val="21"/>
                      <w:highlight w:val="none"/>
                      <w:lang w:val="en-US" w:eastAsia="zh-CN" w:bidi="ar-SA"/>
                    </w:rPr>
                    <w:t>爆炸危险度H</w:t>
                  </w:r>
                </w:p>
              </w:tc>
            </w:tr>
            <w:tr w14:paraId="3D36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89" w:type="dxa"/>
                  <w:vMerge w:val="continue"/>
                  <w:noWrap w:val="0"/>
                  <w:vAlign w:val="center"/>
                </w:tcPr>
                <w:p w14:paraId="4BB77256">
                  <w:pPr>
                    <w:widowControl w:val="0"/>
                    <w:autoSpaceDE w:val="0"/>
                    <w:autoSpaceDN w:val="0"/>
                    <w:adjustRightInd w:val="0"/>
                    <w:snapToGrid w:val="0"/>
                    <w:jc w:val="center"/>
                    <w:rPr>
                      <w:rFonts w:ascii="Times New Roman" w:hAnsi="Times New Roman" w:eastAsia="宋体" w:cs="Times New Roman"/>
                      <w:b/>
                      <w:color w:val="auto"/>
                      <w:sz w:val="21"/>
                      <w:szCs w:val="21"/>
                      <w:highlight w:val="none"/>
                      <w:lang w:val="en-US" w:eastAsia="zh-CN" w:bidi="ar-SA"/>
                    </w:rPr>
                  </w:pPr>
                </w:p>
              </w:tc>
              <w:tc>
                <w:tcPr>
                  <w:tcW w:w="1089" w:type="dxa"/>
                  <w:vMerge w:val="continue"/>
                  <w:noWrap w:val="0"/>
                  <w:vAlign w:val="center"/>
                </w:tcPr>
                <w:p w14:paraId="62B2CA9F">
                  <w:pPr>
                    <w:widowControl w:val="0"/>
                    <w:autoSpaceDE w:val="0"/>
                    <w:autoSpaceDN w:val="0"/>
                    <w:adjustRightInd w:val="0"/>
                    <w:snapToGrid w:val="0"/>
                    <w:jc w:val="center"/>
                    <w:rPr>
                      <w:rFonts w:ascii="Times New Roman" w:hAnsi="Times New Roman" w:eastAsia="宋体" w:cs="Times New Roman"/>
                      <w:b/>
                      <w:color w:val="auto"/>
                      <w:sz w:val="21"/>
                      <w:szCs w:val="21"/>
                      <w:highlight w:val="none"/>
                      <w:lang w:val="en-US" w:eastAsia="zh-CN" w:bidi="ar-SA"/>
                    </w:rPr>
                  </w:pPr>
                </w:p>
              </w:tc>
              <w:tc>
                <w:tcPr>
                  <w:tcW w:w="1089" w:type="dxa"/>
                  <w:vMerge w:val="continue"/>
                  <w:noWrap w:val="0"/>
                  <w:vAlign w:val="center"/>
                </w:tcPr>
                <w:p w14:paraId="69E18C42">
                  <w:pPr>
                    <w:widowControl w:val="0"/>
                    <w:autoSpaceDE w:val="0"/>
                    <w:autoSpaceDN w:val="0"/>
                    <w:adjustRightInd w:val="0"/>
                    <w:snapToGrid w:val="0"/>
                    <w:jc w:val="center"/>
                    <w:rPr>
                      <w:rFonts w:ascii="Times New Roman" w:hAnsi="Times New Roman" w:eastAsia="宋体" w:cs="Times New Roman"/>
                      <w:b/>
                      <w:color w:val="auto"/>
                      <w:sz w:val="21"/>
                      <w:szCs w:val="21"/>
                      <w:highlight w:val="none"/>
                      <w:lang w:val="en-US" w:eastAsia="zh-CN" w:bidi="ar-SA"/>
                    </w:rPr>
                  </w:pPr>
                </w:p>
              </w:tc>
              <w:tc>
                <w:tcPr>
                  <w:tcW w:w="1089" w:type="dxa"/>
                  <w:vMerge w:val="continue"/>
                  <w:noWrap w:val="0"/>
                  <w:vAlign w:val="center"/>
                </w:tcPr>
                <w:p w14:paraId="41B4E70A">
                  <w:pPr>
                    <w:widowControl w:val="0"/>
                    <w:autoSpaceDE w:val="0"/>
                    <w:autoSpaceDN w:val="0"/>
                    <w:adjustRightInd w:val="0"/>
                    <w:snapToGrid w:val="0"/>
                    <w:jc w:val="center"/>
                    <w:rPr>
                      <w:rFonts w:ascii="Times New Roman" w:hAnsi="Times New Roman" w:eastAsia="宋体" w:cs="Times New Roman"/>
                      <w:b/>
                      <w:color w:val="auto"/>
                      <w:sz w:val="21"/>
                      <w:szCs w:val="21"/>
                      <w:highlight w:val="none"/>
                      <w:lang w:val="en-US" w:eastAsia="zh-CN" w:bidi="ar-SA"/>
                    </w:rPr>
                  </w:pPr>
                </w:p>
              </w:tc>
              <w:tc>
                <w:tcPr>
                  <w:tcW w:w="1089" w:type="dxa"/>
                  <w:noWrap w:val="0"/>
                  <w:vAlign w:val="center"/>
                </w:tcPr>
                <w:p w14:paraId="2595968A">
                  <w:pPr>
                    <w:widowControl w:val="0"/>
                    <w:autoSpaceDE w:val="0"/>
                    <w:autoSpaceDN w:val="0"/>
                    <w:adjustRightInd w:val="0"/>
                    <w:snapToGrid w:val="0"/>
                    <w:jc w:val="center"/>
                    <w:rPr>
                      <w:rFonts w:ascii="Times New Roman" w:hAnsi="Times New Roman" w:eastAsia="宋体" w:cs="Times New Roman"/>
                      <w:b/>
                      <w:color w:val="auto"/>
                      <w:sz w:val="21"/>
                      <w:szCs w:val="21"/>
                      <w:highlight w:val="none"/>
                      <w:lang w:val="en-US" w:eastAsia="zh-CN" w:bidi="ar-SA"/>
                    </w:rPr>
                  </w:pPr>
                  <w:r>
                    <w:rPr>
                      <w:rFonts w:ascii="Times New Roman" w:hAnsi="Times New Roman" w:eastAsia="宋体" w:cs="Times New Roman"/>
                      <w:b/>
                      <w:color w:val="auto"/>
                      <w:sz w:val="21"/>
                      <w:szCs w:val="21"/>
                      <w:highlight w:val="none"/>
                      <w:lang w:val="en-US" w:eastAsia="zh-CN" w:bidi="ar-SA"/>
                    </w:rPr>
                    <w:t>下限</w:t>
                  </w:r>
                </w:p>
              </w:tc>
              <w:tc>
                <w:tcPr>
                  <w:tcW w:w="1089" w:type="dxa"/>
                  <w:noWrap w:val="0"/>
                  <w:vAlign w:val="center"/>
                </w:tcPr>
                <w:p w14:paraId="49490DF8">
                  <w:pPr>
                    <w:widowControl w:val="0"/>
                    <w:autoSpaceDE w:val="0"/>
                    <w:autoSpaceDN w:val="0"/>
                    <w:adjustRightInd w:val="0"/>
                    <w:snapToGrid w:val="0"/>
                    <w:jc w:val="center"/>
                    <w:rPr>
                      <w:rFonts w:ascii="Times New Roman" w:hAnsi="Times New Roman" w:eastAsia="宋体" w:cs="Times New Roman"/>
                      <w:b/>
                      <w:color w:val="auto"/>
                      <w:sz w:val="21"/>
                      <w:szCs w:val="21"/>
                      <w:highlight w:val="none"/>
                      <w:lang w:val="en-US" w:eastAsia="zh-CN" w:bidi="ar-SA"/>
                    </w:rPr>
                  </w:pPr>
                  <w:r>
                    <w:rPr>
                      <w:rFonts w:ascii="Times New Roman" w:hAnsi="Times New Roman" w:eastAsia="宋体" w:cs="Times New Roman"/>
                      <w:b/>
                      <w:color w:val="auto"/>
                      <w:sz w:val="21"/>
                      <w:szCs w:val="21"/>
                      <w:highlight w:val="none"/>
                      <w:lang w:val="en-US" w:eastAsia="zh-CN" w:bidi="ar-SA"/>
                    </w:rPr>
                    <w:t>上限</w:t>
                  </w:r>
                </w:p>
              </w:tc>
              <w:tc>
                <w:tcPr>
                  <w:tcW w:w="1089" w:type="dxa"/>
                  <w:vMerge w:val="continue"/>
                  <w:noWrap w:val="0"/>
                  <w:vAlign w:val="center"/>
                </w:tcPr>
                <w:p w14:paraId="5EB68150">
                  <w:pPr>
                    <w:widowControl w:val="0"/>
                    <w:autoSpaceDE w:val="0"/>
                    <w:autoSpaceDN w:val="0"/>
                    <w:adjustRightInd w:val="0"/>
                    <w:snapToGrid w:val="0"/>
                    <w:jc w:val="center"/>
                    <w:rPr>
                      <w:rFonts w:ascii="Times New Roman" w:hAnsi="Times New Roman" w:eastAsia="宋体" w:cs="Times New Roman"/>
                      <w:b/>
                      <w:color w:val="auto"/>
                      <w:sz w:val="21"/>
                      <w:szCs w:val="21"/>
                      <w:highlight w:val="none"/>
                      <w:lang w:val="en-US" w:eastAsia="zh-CN" w:bidi="ar-SA"/>
                    </w:rPr>
                  </w:pPr>
                </w:p>
              </w:tc>
              <w:tc>
                <w:tcPr>
                  <w:tcW w:w="1090" w:type="dxa"/>
                  <w:vMerge w:val="continue"/>
                  <w:noWrap w:val="0"/>
                  <w:vAlign w:val="center"/>
                </w:tcPr>
                <w:p w14:paraId="22B95003">
                  <w:pPr>
                    <w:widowControl w:val="0"/>
                    <w:autoSpaceDE w:val="0"/>
                    <w:autoSpaceDN w:val="0"/>
                    <w:adjustRightInd w:val="0"/>
                    <w:snapToGrid w:val="0"/>
                    <w:jc w:val="center"/>
                    <w:rPr>
                      <w:rFonts w:ascii="Times New Roman" w:hAnsi="Times New Roman" w:eastAsia="宋体" w:cs="Times New Roman"/>
                      <w:b/>
                      <w:color w:val="auto"/>
                      <w:sz w:val="21"/>
                      <w:szCs w:val="21"/>
                      <w:highlight w:val="none"/>
                      <w:lang w:val="en-US" w:eastAsia="zh-CN" w:bidi="ar-SA"/>
                    </w:rPr>
                  </w:pPr>
                </w:p>
              </w:tc>
            </w:tr>
            <w:tr w14:paraId="461D7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89" w:type="dxa"/>
                  <w:noWrap w:val="0"/>
                  <w:vAlign w:val="center"/>
                </w:tcPr>
                <w:p w14:paraId="45B1D261">
                  <w:pPr>
                    <w:widowControl w:val="0"/>
                    <w:autoSpaceDE w:val="0"/>
                    <w:autoSpaceDN w:val="0"/>
                    <w:adjustRightInd w:val="0"/>
                    <w:snapToGrid w:val="0"/>
                    <w:jc w:val="center"/>
                    <w:rPr>
                      <w:rFonts w:ascii="Times New Roman" w:hAnsi="Times New Roman" w:eastAsia="宋体" w:cs="Times New Roman"/>
                      <w:color w:val="auto"/>
                      <w:sz w:val="21"/>
                      <w:szCs w:val="21"/>
                      <w:highlight w:val="none"/>
                      <w:lang w:val="en-US" w:eastAsia="zh-CN" w:bidi="ar-SA"/>
                    </w:rPr>
                  </w:pPr>
                  <w:r>
                    <w:rPr>
                      <w:rFonts w:ascii="Times New Roman" w:hAnsi="Times New Roman" w:eastAsia="宋体" w:cs="Times New Roman"/>
                      <w:color w:val="auto"/>
                      <w:sz w:val="21"/>
                      <w:szCs w:val="21"/>
                      <w:highlight w:val="none"/>
                      <w:lang w:val="en-US" w:eastAsia="zh-CN" w:bidi="ar-SA"/>
                    </w:rPr>
                    <w:t>废矿物油</w:t>
                  </w:r>
                </w:p>
              </w:tc>
              <w:tc>
                <w:tcPr>
                  <w:tcW w:w="1089" w:type="dxa"/>
                  <w:noWrap w:val="0"/>
                  <w:vAlign w:val="center"/>
                </w:tcPr>
                <w:p w14:paraId="763EBC60">
                  <w:pPr>
                    <w:widowControl w:val="0"/>
                    <w:autoSpaceDE w:val="0"/>
                    <w:autoSpaceDN w:val="0"/>
                    <w:adjustRightInd w:val="0"/>
                    <w:snapToGrid w:val="0"/>
                    <w:jc w:val="center"/>
                    <w:rPr>
                      <w:rFonts w:ascii="Times New Roman" w:hAnsi="Times New Roman" w:eastAsia="宋体" w:cs="Times New Roman"/>
                      <w:color w:val="auto"/>
                      <w:sz w:val="21"/>
                      <w:szCs w:val="21"/>
                      <w:highlight w:val="none"/>
                      <w:lang w:val="en-US" w:eastAsia="zh-CN" w:bidi="ar-SA"/>
                    </w:rPr>
                  </w:pPr>
                  <w:r>
                    <w:rPr>
                      <w:rFonts w:ascii="Times New Roman" w:hAnsi="Times New Roman" w:eastAsia="宋体" w:cs="Times New Roman"/>
                      <w:color w:val="auto"/>
                      <w:sz w:val="21"/>
                      <w:szCs w:val="21"/>
                      <w:highlight w:val="none"/>
                      <w:lang w:val="en-US" w:eastAsia="zh-CN" w:bidi="ar-SA"/>
                    </w:rPr>
                    <w:t>179-210</w:t>
                  </w:r>
                </w:p>
              </w:tc>
              <w:tc>
                <w:tcPr>
                  <w:tcW w:w="1089" w:type="dxa"/>
                  <w:noWrap w:val="0"/>
                  <w:vAlign w:val="center"/>
                </w:tcPr>
                <w:p w14:paraId="503AB97D">
                  <w:pPr>
                    <w:widowControl w:val="0"/>
                    <w:autoSpaceDE w:val="0"/>
                    <w:autoSpaceDN w:val="0"/>
                    <w:adjustRightInd w:val="0"/>
                    <w:snapToGrid w:val="0"/>
                    <w:jc w:val="center"/>
                    <w:rPr>
                      <w:rFonts w:ascii="Times New Roman" w:hAnsi="Times New Roman" w:eastAsia="宋体" w:cs="Times New Roman"/>
                      <w:color w:val="auto"/>
                      <w:sz w:val="21"/>
                      <w:szCs w:val="21"/>
                      <w:highlight w:val="none"/>
                      <w:lang w:val="en-US" w:eastAsia="zh-CN" w:bidi="ar-SA"/>
                    </w:rPr>
                  </w:pPr>
                  <w:r>
                    <w:rPr>
                      <w:rFonts w:ascii="Times New Roman" w:hAnsi="Times New Roman" w:eastAsia="宋体" w:cs="Times New Roman"/>
                      <w:color w:val="auto"/>
                      <w:sz w:val="21"/>
                      <w:szCs w:val="21"/>
                      <w:highlight w:val="none"/>
                      <w:lang w:val="en-US" w:eastAsia="zh-CN" w:bidi="ar-SA"/>
                    </w:rPr>
                    <w:t>0.85</w:t>
                  </w:r>
                </w:p>
              </w:tc>
              <w:tc>
                <w:tcPr>
                  <w:tcW w:w="1089" w:type="dxa"/>
                  <w:noWrap w:val="0"/>
                  <w:vAlign w:val="center"/>
                </w:tcPr>
                <w:p w14:paraId="2A9DB4EF">
                  <w:pPr>
                    <w:widowControl w:val="0"/>
                    <w:autoSpaceDE w:val="0"/>
                    <w:autoSpaceDN w:val="0"/>
                    <w:adjustRightInd w:val="0"/>
                    <w:snapToGrid w:val="0"/>
                    <w:jc w:val="center"/>
                    <w:rPr>
                      <w:rFonts w:ascii="Times New Roman" w:hAnsi="Times New Roman" w:eastAsia="宋体" w:cs="Times New Roman"/>
                      <w:color w:val="auto"/>
                      <w:sz w:val="21"/>
                      <w:szCs w:val="21"/>
                      <w:highlight w:val="none"/>
                      <w:lang w:val="en-US" w:eastAsia="zh-CN" w:bidi="ar-SA"/>
                    </w:rPr>
                  </w:pPr>
                  <w:r>
                    <w:rPr>
                      <w:rFonts w:ascii="Times New Roman" w:hAnsi="Times New Roman" w:eastAsia="宋体" w:cs="Times New Roman"/>
                      <w:color w:val="auto"/>
                      <w:sz w:val="21"/>
                      <w:szCs w:val="21"/>
                      <w:highlight w:val="none"/>
                      <w:lang w:val="en-US" w:eastAsia="zh-CN" w:bidi="ar-SA"/>
                    </w:rPr>
                    <w:t>135</w:t>
                  </w:r>
                </w:p>
              </w:tc>
              <w:tc>
                <w:tcPr>
                  <w:tcW w:w="1089" w:type="dxa"/>
                  <w:noWrap w:val="0"/>
                  <w:vAlign w:val="center"/>
                </w:tcPr>
                <w:p w14:paraId="31C6BC18">
                  <w:pPr>
                    <w:widowControl w:val="0"/>
                    <w:autoSpaceDE w:val="0"/>
                    <w:autoSpaceDN w:val="0"/>
                    <w:adjustRightInd w:val="0"/>
                    <w:snapToGrid w:val="0"/>
                    <w:jc w:val="center"/>
                    <w:rPr>
                      <w:rFonts w:ascii="Times New Roman" w:hAnsi="Times New Roman" w:eastAsia="宋体" w:cs="Times New Roman"/>
                      <w:color w:val="auto"/>
                      <w:sz w:val="21"/>
                      <w:szCs w:val="21"/>
                      <w:highlight w:val="none"/>
                      <w:lang w:val="en-US" w:eastAsia="zh-CN" w:bidi="ar-SA"/>
                    </w:rPr>
                  </w:pPr>
                  <w:r>
                    <w:rPr>
                      <w:rFonts w:ascii="Times New Roman" w:hAnsi="Times New Roman" w:eastAsia="宋体" w:cs="Times New Roman"/>
                      <w:color w:val="auto"/>
                      <w:sz w:val="21"/>
                      <w:szCs w:val="21"/>
                      <w:highlight w:val="none"/>
                      <w:lang w:val="en-US" w:eastAsia="zh-CN" w:bidi="ar-SA"/>
                    </w:rPr>
                    <w:t>3.8</w:t>
                  </w:r>
                </w:p>
              </w:tc>
              <w:tc>
                <w:tcPr>
                  <w:tcW w:w="1089" w:type="dxa"/>
                  <w:noWrap w:val="0"/>
                  <w:vAlign w:val="center"/>
                </w:tcPr>
                <w:p w14:paraId="3DAE216D">
                  <w:pPr>
                    <w:widowControl w:val="0"/>
                    <w:autoSpaceDE w:val="0"/>
                    <w:autoSpaceDN w:val="0"/>
                    <w:adjustRightInd w:val="0"/>
                    <w:snapToGrid w:val="0"/>
                    <w:jc w:val="center"/>
                    <w:rPr>
                      <w:rFonts w:ascii="Times New Roman" w:hAnsi="Times New Roman" w:eastAsia="宋体" w:cs="Times New Roman"/>
                      <w:color w:val="auto"/>
                      <w:sz w:val="21"/>
                      <w:szCs w:val="21"/>
                      <w:highlight w:val="none"/>
                      <w:lang w:val="en-US" w:eastAsia="zh-CN" w:bidi="ar-SA"/>
                    </w:rPr>
                  </w:pPr>
                  <w:r>
                    <w:rPr>
                      <w:rFonts w:ascii="Times New Roman" w:hAnsi="Times New Roman" w:eastAsia="宋体" w:cs="Times New Roman"/>
                      <w:color w:val="auto"/>
                      <w:sz w:val="21"/>
                      <w:szCs w:val="21"/>
                      <w:highlight w:val="none"/>
                      <w:lang w:val="en-US" w:eastAsia="zh-CN" w:bidi="ar-SA"/>
                    </w:rPr>
                    <w:t>10.2</w:t>
                  </w:r>
                </w:p>
              </w:tc>
              <w:tc>
                <w:tcPr>
                  <w:tcW w:w="1089" w:type="dxa"/>
                  <w:noWrap w:val="0"/>
                  <w:vAlign w:val="center"/>
                </w:tcPr>
                <w:p w14:paraId="60DC9443">
                  <w:pPr>
                    <w:widowControl w:val="0"/>
                    <w:autoSpaceDE w:val="0"/>
                    <w:autoSpaceDN w:val="0"/>
                    <w:adjustRightInd w:val="0"/>
                    <w:snapToGrid w:val="0"/>
                    <w:jc w:val="center"/>
                    <w:rPr>
                      <w:rFonts w:ascii="Times New Roman" w:hAnsi="Times New Roman" w:eastAsia="宋体" w:cs="Times New Roman"/>
                      <w:color w:val="auto"/>
                      <w:sz w:val="21"/>
                      <w:szCs w:val="21"/>
                      <w:highlight w:val="none"/>
                      <w:lang w:val="en-US" w:eastAsia="zh-CN" w:bidi="ar-SA"/>
                    </w:rPr>
                  </w:pPr>
                  <w:r>
                    <w:rPr>
                      <w:rFonts w:ascii="Times New Roman" w:hAnsi="Times New Roman" w:eastAsia="宋体" w:cs="Times New Roman"/>
                      <w:color w:val="auto"/>
                      <w:sz w:val="21"/>
                      <w:szCs w:val="21"/>
                      <w:highlight w:val="none"/>
                      <w:lang w:val="en-US" w:eastAsia="zh-CN" w:bidi="ar-SA"/>
                    </w:rPr>
                    <w:t>丙类可燃液体</w:t>
                  </w:r>
                </w:p>
              </w:tc>
              <w:tc>
                <w:tcPr>
                  <w:tcW w:w="1090" w:type="dxa"/>
                  <w:noWrap w:val="0"/>
                  <w:vAlign w:val="center"/>
                </w:tcPr>
                <w:p w14:paraId="40C32340">
                  <w:pPr>
                    <w:widowControl w:val="0"/>
                    <w:autoSpaceDE w:val="0"/>
                    <w:autoSpaceDN w:val="0"/>
                    <w:adjustRightInd w:val="0"/>
                    <w:snapToGrid w:val="0"/>
                    <w:jc w:val="center"/>
                    <w:rPr>
                      <w:rFonts w:ascii="Times New Roman" w:hAnsi="Times New Roman" w:eastAsia="宋体" w:cs="Times New Roman"/>
                      <w:color w:val="auto"/>
                      <w:sz w:val="21"/>
                      <w:szCs w:val="21"/>
                      <w:highlight w:val="none"/>
                      <w:lang w:val="en-US" w:eastAsia="zh-CN" w:bidi="ar-SA"/>
                    </w:rPr>
                  </w:pPr>
                  <w:r>
                    <w:rPr>
                      <w:rFonts w:ascii="Times New Roman" w:hAnsi="Times New Roman" w:eastAsia="宋体" w:cs="Times New Roman"/>
                      <w:color w:val="auto"/>
                      <w:sz w:val="21"/>
                      <w:szCs w:val="21"/>
                      <w:highlight w:val="none"/>
                      <w:lang w:val="en-US" w:eastAsia="zh-CN" w:bidi="ar-SA"/>
                    </w:rPr>
                    <w:t>1.68</w:t>
                  </w:r>
                </w:p>
              </w:tc>
            </w:tr>
          </w:tbl>
          <w:p w14:paraId="27C06784">
            <w:pPr>
              <w:spacing w:line="360" w:lineRule="auto"/>
              <w:ind w:firstLine="480" w:firstLineChars="200"/>
              <w:rPr>
                <w:color w:val="auto"/>
                <w:sz w:val="24"/>
                <w:highlight w:val="none"/>
              </w:rPr>
            </w:pPr>
            <w:r>
              <w:rPr>
                <w:color w:val="auto"/>
                <w:sz w:val="24"/>
                <w:highlight w:val="none"/>
              </w:rPr>
              <w:fldChar w:fldCharType="begin"/>
            </w:r>
            <w:r>
              <w:rPr>
                <w:color w:val="auto"/>
                <w:sz w:val="24"/>
                <w:highlight w:val="none"/>
              </w:rPr>
              <w:instrText xml:space="preserve"> = 2 \* GB3 </w:instrText>
            </w:r>
            <w:r>
              <w:rPr>
                <w:color w:val="auto"/>
                <w:sz w:val="24"/>
                <w:highlight w:val="none"/>
              </w:rPr>
              <w:fldChar w:fldCharType="separate"/>
            </w:r>
            <w:r>
              <w:rPr>
                <w:color w:val="auto"/>
                <w:sz w:val="24"/>
                <w:highlight w:val="none"/>
              </w:rPr>
              <w:t>②</w:t>
            </w:r>
            <w:r>
              <w:rPr>
                <w:color w:val="auto"/>
                <w:sz w:val="24"/>
                <w:highlight w:val="none"/>
              </w:rPr>
              <w:fldChar w:fldCharType="end"/>
            </w:r>
            <w:r>
              <w:rPr>
                <w:color w:val="auto"/>
                <w:sz w:val="24"/>
                <w:highlight w:val="none"/>
              </w:rPr>
              <w:t>生产设施风险识别</w:t>
            </w:r>
          </w:p>
          <w:p w14:paraId="65A4B50E">
            <w:pPr>
              <w:spacing w:line="360" w:lineRule="auto"/>
              <w:ind w:firstLine="480" w:firstLineChars="200"/>
              <w:rPr>
                <w:color w:val="auto"/>
                <w:sz w:val="24"/>
                <w:highlight w:val="none"/>
              </w:rPr>
            </w:pPr>
            <w:r>
              <w:rPr>
                <w:color w:val="auto"/>
                <w:sz w:val="24"/>
                <w:highlight w:val="none"/>
              </w:rPr>
              <w:t>根据本项目工程特点，项目涉及的危险单元主要为储油间</w:t>
            </w:r>
            <w:r>
              <w:rPr>
                <w:rFonts w:hint="eastAsia"/>
                <w:color w:val="auto"/>
                <w:sz w:val="24"/>
                <w:highlight w:val="none"/>
                <w:lang w:eastAsia="zh-CN"/>
              </w:rPr>
              <w:t>、</w:t>
            </w:r>
            <w:r>
              <w:rPr>
                <w:rFonts w:hint="eastAsia"/>
                <w:color w:val="auto"/>
                <w:sz w:val="24"/>
                <w:highlight w:val="none"/>
                <w:lang w:val="en-US" w:eastAsia="zh-CN"/>
              </w:rPr>
              <w:t>危废暂存间</w:t>
            </w:r>
            <w:r>
              <w:rPr>
                <w:color w:val="auto"/>
                <w:sz w:val="24"/>
                <w:highlight w:val="none"/>
              </w:rPr>
              <w:t>，在运营过程中，可能发生的危险因素分析见表4-1</w:t>
            </w:r>
            <w:r>
              <w:rPr>
                <w:rFonts w:hint="eastAsia"/>
                <w:color w:val="auto"/>
                <w:sz w:val="24"/>
                <w:highlight w:val="none"/>
                <w:lang w:val="en-US" w:eastAsia="zh-CN"/>
              </w:rPr>
              <w:t>7</w:t>
            </w:r>
            <w:r>
              <w:rPr>
                <w:color w:val="auto"/>
                <w:sz w:val="24"/>
                <w:highlight w:val="none"/>
              </w:rPr>
              <w:t>。</w:t>
            </w:r>
          </w:p>
          <w:p w14:paraId="3D298F63">
            <w:pPr>
              <w:spacing w:line="360" w:lineRule="auto"/>
              <w:jc w:val="center"/>
              <w:rPr>
                <w:b/>
                <w:bCs/>
                <w:color w:val="auto"/>
                <w:sz w:val="24"/>
                <w:highlight w:val="none"/>
              </w:rPr>
            </w:pPr>
            <w:r>
              <w:rPr>
                <w:b/>
                <w:bCs/>
                <w:color w:val="auto"/>
                <w:sz w:val="24"/>
                <w:highlight w:val="none"/>
              </w:rPr>
              <w:t>表4-1</w:t>
            </w:r>
            <w:r>
              <w:rPr>
                <w:rFonts w:hint="eastAsia"/>
                <w:b/>
                <w:bCs/>
                <w:color w:val="auto"/>
                <w:sz w:val="24"/>
                <w:highlight w:val="none"/>
                <w:lang w:val="en-US" w:eastAsia="zh-CN"/>
              </w:rPr>
              <w:t xml:space="preserve">7 </w:t>
            </w:r>
            <w:r>
              <w:rPr>
                <w:b/>
                <w:bCs/>
                <w:color w:val="auto"/>
                <w:sz w:val="24"/>
                <w:highlight w:val="none"/>
              </w:rPr>
              <w:t>生产过程主要风险因素分析</w:t>
            </w:r>
          </w:p>
          <w:tbl>
            <w:tblPr>
              <w:tblStyle w:val="20"/>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5"/>
              <w:gridCol w:w="2310"/>
              <w:gridCol w:w="3670"/>
            </w:tblGrid>
            <w:tr w14:paraId="1C22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295" w:type="dxa"/>
                  <w:tcBorders>
                    <w:tl2br w:val="nil"/>
                    <w:tr2bl w:val="nil"/>
                  </w:tcBorders>
                  <w:tcMar>
                    <w:left w:w="0" w:type="dxa"/>
                    <w:right w:w="0" w:type="dxa"/>
                  </w:tcMar>
                  <w:vAlign w:val="center"/>
                </w:tcPr>
                <w:p w14:paraId="246A8087">
                  <w:pPr>
                    <w:pStyle w:val="27"/>
                    <w:rPr>
                      <w:b/>
                      <w:bCs/>
                      <w:color w:val="auto"/>
                      <w:highlight w:val="none"/>
                    </w:rPr>
                  </w:pPr>
                  <w:r>
                    <w:rPr>
                      <w:b/>
                      <w:bCs/>
                      <w:color w:val="auto"/>
                      <w:highlight w:val="none"/>
                    </w:rPr>
                    <w:t>事故环节</w:t>
                  </w:r>
                </w:p>
              </w:tc>
              <w:tc>
                <w:tcPr>
                  <w:tcW w:w="2310" w:type="dxa"/>
                  <w:tcBorders>
                    <w:tl2br w:val="nil"/>
                    <w:tr2bl w:val="nil"/>
                  </w:tcBorders>
                  <w:tcMar>
                    <w:left w:w="0" w:type="dxa"/>
                    <w:right w:w="0" w:type="dxa"/>
                  </w:tcMar>
                  <w:vAlign w:val="center"/>
                </w:tcPr>
                <w:p w14:paraId="0186FA72">
                  <w:pPr>
                    <w:pStyle w:val="27"/>
                    <w:rPr>
                      <w:b/>
                      <w:bCs/>
                      <w:color w:val="auto"/>
                      <w:highlight w:val="none"/>
                    </w:rPr>
                  </w:pPr>
                  <w:r>
                    <w:rPr>
                      <w:b/>
                      <w:bCs/>
                      <w:color w:val="auto"/>
                      <w:highlight w:val="none"/>
                    </w:rPr>
                    <w:t>类型</w:t>
                  </w:r>
                </w:p>
              </w:tc>
              <w:tc>
                <w:tcPr>
                  <w:tcW w:w="3670" w:type="dxa"/>
                  <w:tcBorders>
                    <w:tl2br w:val="nil"/>
                    <w:tr2bl w:val="nil"/>
                  </w:tcBorders>
                  <w:tcMar>
                    <w:left w:w="0" w:type="dxa"/>
                    <w:right w:w="0" w:type="dxa"/>
                  </w:tcMar>
                  <w:vAlign w:val="center"/>
                </w:tcPr>
                <w:p w14:paraId="45E49895">
                  <w:pPr>
                    <w:pStyle w:val="27"/>
                    <w:rPr>
                      <w:b/>
                      <w:bCs/>
                      <w:color w:val="auto"/>
                      <w:highlight w:val="none"/>
                    </w:rPr>
                  </w:pPr>
                  <w:r>
                    <w:rPr>
                      <w:b/>
                      <w:bCs/>
                      <w:color w:val="auto"/>
                      <w:highlight w:val="none"/>
                    </w:rPr>
                    <w:t>事故原因</w:t>
                  </w:r>
                </w:p>
              </w:tc>
            </w:tr>
            <w:tr w14:paraId="6D45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295" w:type="dxa"/>
                  <w:tcBorders>
                    <w:tl2br w:val="nil"/>
                    <w:tr2bl w:val="nil"/>
                  </w:tcBorders>
                  <w:tcMar>
                    <w:left w:w="0" w:type="dxa"/>
                    <w:right w:w="0" w:type="dxa"/>
                  </w:tcMar>
                  <w:vAlign w:val="center"/>
                </w:tcPr>
                <w:p w14:paraId="64138155">
                  <w:pPr>
                    <w:pStyle w:val="27"/>
                    <w:rPr>
                      <w:color w:val="auto"/>
                      <w:highlight w:val="none"/>
                    </w:rPr>
                  </w:pPr>
                  <w:r>
                    <w:rPr>
                      <w:color w:val="auto"/>
                      <w:highlight w:val="none"/>
                    </w:rPr>
                    <w:t>转运</w:t>
                  </w:r>
                </w:p>
              </w:tc>
              <w:tc>
                <w:tcPr>
                  <w:tcW w:w="2310" w:type="dxa"/>
                  <w:tcBorders>
                    <w:tl2br w:val="nil"/>
                    <w:tr2bl w:val="nil"/>
                  </w:tcBorders>
                  <w:tcMar>
                    <w:left w:w="0" w:type="dxa"/>
                    <w:right w:w="0" w:type="dxa"/>
                  </w:tcMar>
                  <w:vAlign w:val="center"/>
                </w:tcPr>
                <w:p w14:paraId="03AA9DFD">
                  <w:pPr>
                    <w:pStyle w:val="27"/>
                    <w:rPr>
                      <w:color w:val="auto"/>
                      <w:highlight w:val="none"/>
                    </w:rPr>
                  </w:pPr>
                  <w:r>
                    <w:rPr>
                      <w:color w:val="auto"/>
                      <w:highlight w:val="none"/>
                    </w:rPr>
                    <w:t>泄漏</w:t>
                  </w:r>
                </w:p>
              </w:tc>
              <w:tc>
                <w:tcPr>
                  <w:tcW w:w="3670" w:type="dxa"/>
                  <w:tcBorders>
                    <w:tl2br w:val="nil"/>
                    <w:tr2bl w:val="nil"/>
                  </w:tcBorders>
                  <w:tcMar>
                    <w:left w:w="0" w:type="dxa"/>
                    <w:right w:w="0" w:type="dxa"/>
                  </w:tcMar>
                  <w:vAlign w:val="center"/>
                </w:tcPr>
                <w:p w14:paraId="6B4C6262">
                  <w:pPr>
                    <w:pStyle w:val="27"/>
                    <w:rPr>
                      <w:rFonts w:hint="eastAsia" w:eastAsia="宋体"/>
                      <w:color w:val="auto"/>
                      <w:highlight w:val="none"/>
                      <w:lang w:eastAsia="zh-CN"/>
                    </w:rPr>
                  </w:pPr>
                  <w:r>
                    <w:rPr>
                      <w:color w:val="auto"/>
                      <w:highlight w:val="none"/>
                    </w:rPr>
                    <w:t>操作失误或容器破损</w:t>
                  </w:r>
                  <w:r>
                    <w:rPr>
                      <w:rFonts w:hint="eastAsia"/>
                      <w:color w:val="auto"/>
                      <w:highlight w:val="none"/>
                      <w:lang w:eastAsia="zh-CN"/>
                    </w:rPr>
                    <w:t>导致</w:t>
                  </w:r>
                  <w:r>
                    <w:rPr>
                      <w:color w:val="auto"/>
                      <w:highlight w:val="none"/>
                    </w:rPr>
                    <w:t>泄漏</w:t>
                  </w:r>
                  <w:r>
                    <w:rPr>
                      <w:rFonts w:hint="eastAsia"/>
                      <w:color w:val="auto"/>
                      <w:highlight w:val="none"/>
                      <w:lang w:eastAsia="zh-CN"/>
                    </w:rPr>
                    <w:t>。</w:t>
                  </w:r>
                </w:p>
              </w:tc>
            </w:tr>
            <w:tr w14:paraId="737D8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295" w:type="dxa"/>
                  <w:tcBorders>
                    <w:tl2br w:val="nil"/>
                    <w:tr2bl w:val="nil"/>
                  </w:tcBorders>
                  <w:tcMar>
                    <w:left w:w="0" w:type="dxa"/>
                    <w:right w:w="0" w:type="dxa"/>
                  </w:tcMar>
                  <w:vAlign w:val="center"/>
                </w:tcPr>
                <w:p w14:paraId="671143E8">
                  <w:pPr>
                    <w:pStyle w:val="27"/>
                    <w:rPr>
                      <w:color w:val="auto"/>
                      <w:highlight w:val="none"/>
                    </w:rPr>
                  </w:pPr>
                  <w:r>
                    <w:rPr>
                      <w:color w:val="auto"/>
                      <w:highlight w:val="none"/>
                    </w:rPr>
                    <w:t>储存</w:t>
                  </w:r>
                </w:p>
              </w:tc>
              <w:tc>
                <w:tcPr>
                  <w:tcW w:w="2310" w:type="dxa"/>
                  <w:tcBorders>
                    <w:tl2br w:val="nil"/>
                    <w:tr2bl w:val="nil"/>
                  </w:tcBorders>
                  <w:tcMar>
                    <w:left w:w="0" w:type="dxa"/>
                    <w:right w:w="0" w:type="dxa"/>
                  </w:tcMar>
                  <w:vAlign w:val="center"/>
                </w:tcPr>
                <w:p w14:paraId="519905A4">
                  <w:pPr>
                    <w:pStyle w:val="27"/>
                    <w:rPr>
                      <w:color w:val="auto"/>
                      <w:highlight w:val="none"/>
                    </w:rPr>
                  </w:pPr>
                  <w:r>
                    <w:rPr>
                      <w:color w:val="auto"/>
                      <w:highlight w:val="none"/>
                    </w:rPr>
                    <w:t>泄漏、火灾、爆炸</w:t>
                  </w:r>
                </w:p>
              </w:tc>
              <w:tc>
                <w:tcPr>
                  <w:tcW w:w="3670" w:type="dxa"/>
                  <w:tcBorders>
                    <w:tl2br w:val="nil"/>
                    <w:tr2bl w:val="nil"/>
                  </w:tcBorders>
                  <w:tcMar>
                    <w:left w:w="0" w:type="dxa"/>
                    <w:right w:w="0" w:type="dxa"/>
                  </w:tcMar>
                  <w:vAlign w:val="center"/>
                </w:tcPr>
                <w:p w14:paraId="7EEFCF06">
                  <w:pPr>
                    <w:pStyle w:val="27"/>
                    <w:rPr>
                      <w:rFonts w:hint="eastAsia" w:eastAsia="宋体"/>
                      <w:color w:val="auto"/>
                      <w:highlight w:val="none"/>
                      <w:lang w:eastAsia="zh-CN"/>
                    </w:rPr>
                  </w:pPr>
                  <w:r>
                    <w:rPr>
                      <w:color w:val="auto"/>
                      <w:highlight w:val="none"/>
                    </w:rPr>
                    <w:t>容器或集液池、导流槽发生破损导致泄漏；废机油遇明火发生火灾</w:t>
                  </w:r>
                  <w:r>
                    <w:rPr>
                      <w:rFonts w:hint="eastAsia"/>
                      <w:color w:val="auto"/>
                      <w:highlight w:val="none"/>
                      <w:lang w:eastAsia="zh-CN"/>
                    </w:rPr>
                    <w:t>。</w:t>
                  </w:r>
                </w:p>
              </w:tc>
            </w:tr>
          </w:tbl>
          <w:p w14:paraId="6FF6D273">
            <w:pPr>
              <w:tabs>
                <w:tab w:val="left" w:pos="639"/>
              </w:tabs>
              <w:autoSpaceDE w:val="0"/>
              <w:autoSpaceDN w:val="0"/>
              <w:spacing w:line="360" w:lineRule="auto"/>
              <w:ind w:firstLine="480" w:firstLineChars="200"/>
              <w:jc w:val="left"/>
              <w:outlineLvl w:val="3"/>
              <w:rPr>
                <w:bCs/>
                <w:color w:val="auto"/>
                <w:sz w:val="24"/>
                <w:highlight w:val="none"/>
              </w:rPr>
            </w:pPr>
            <w:r>
              <w:rPr>
                <w:bCs/>
                <w:color w:val="auto"/>
                <w:sz w:val="24"/>
                <w:highlight w:val="none"/>
              </w:rPr>
              <w:t>（</w:t>
            </w:r>
            <w:r>
              <w:rPr>
                <w:rFonts w:hint="eastAsia"/>
                <w:bCs/>
                <w:color w:val="auto"/>
                <w:sz w:val="24"/>
                <w:highlight w:val="none"/>
                <w:lang w:val="en-US" w:eastAsia="zh-CN"/>
              </w:rPr>
              <w:t>5</w:t>
            </w:r>
            <w:r>
              <w:rPr>
                <w:bCs/>
                <w:color w:val="auto"/>
                <w:sz w:val="24"/>
                <w:highlight w:val="none"/>
              </w:rPr>
              <w:t>）可能影响途径</w:t>
            </w:r>
          </w:p>
          <w:p w14:paraId="06831CA0">
            <w:pPr>
              <w:tabs>
                <w:tab w:val="left" w:pos="639"/>
              </w:tabs>
              <w:autoSpaceDE w:val="0"/>
              <w:autoSpaceDN w:val="0"/>
              <w:spacing w:line="360" w:lineRule="auto"/>
              <w:ind w:firstLine="480" w:firstLineChars="200"/>
              <w:rPr>
                <w:color w:val="auto"/>
                <w:sz w:val="24"/>
                <w:highlight w:val="none"/>
              </w:rPr>
            </w:pPr>
            <w:r>
              <w:rPr>
                <w:color w:val="auto"/>
                <w:sz w:val="24"/>
                <w:highlight w:val="none"/>
              </w:rPr>
              <w:t>①泄漏污染事故</w:t>
            </w:r>
          </w:p>
          <w:p w14:paraId="15D604A9">
            <w:pPr>
              <w:tabs>
                <w:tab w:val="left" w:pos="639"/>
              </w:tabs>
              <w:autoSpaceDE w:val="0"/>
              <w:autoSpaceDN w:val="0"/>
              <w:spacing w:line="360" w:lineRule="auto"/>
              <w:ind w:firstLine="480" w:firstLineChars="200"/>
              <w:rPr>
                <w:color w:val="auto"/>
                <w:sz w:val="24"/>
                <w:highlight w:val="none"/>
              </w:rPr>
            </w:pPr>
            <w:r>
              <w:rPr>
                <w:color w:val="auto"/>
                <w:sz w:val="24"/>
                <w:highlight w:val="none"/>
              </w:rPr>
              <w:t>项目发生柴油</w:t>
            </w:r>
            <w:r>
              <w:rPr>
                <w:rFonts w:hint="eastAsia"/>
                <w:color w:val="auto"/>
                <w:sz w:val="24"/>
                <w:highlight w:val="none"/>
                <w:lang w:eastAsia="zh-CN"/>
              </w:rPr>
              <w:t>、</w:t>
            </w:r>
            <w:r>
              <w:rPr>
                <w:rFonts w:hint="eastAsia"/>
                <w:color w:val="auto"/>
                <w:sz w:val="24"/>
                <w:highlight w:val="none"/>
                <w:lang w:val="en-US" w:eastAsia="zh-CN"/>
              </w:rPr>
              <w:t>废矿物油</w:t>
            </w:r>
            <w:r>
              <w:rPr>
                <w:color w:val="auto"/>
                <w:sz w:val="24"/>
                <w:highlight w:val="none"/>
              </w:rPr>
              <w:t>泄漏事故，柴油</w:t>
            </w:r>
            <w:r>
              <w:rPr>
                <w:rFonts w:hint="eastAsia"/>
                <w:color w:val="auto"/>
                <w:sz w:val="24"/>
                <w:highlight w:val="none"/>
                <w:lang w:eastAsia="zh-CN"/>
              </w:rPr>
              <w:t>、</w:t>
            </w:r>
            <w:r>
              <w:rPr>
                <w:rFonts w:hint="eastAsia"/>
                <w:color w:val="auto"/>
                <w:sz w:val="24"/>
                <w:highlight w:val="none"/>
                <w:lang w:val="en-US" w:eastAsia="zh-CN"/>
              </w:rPr>
              <w:t>废矿物油</w:t>
            </w:r>
            <w:r>
              <w:rPr>
                <w:color w:val="auto"/>
                <w:sz w:val="24"/>
                <w:highlight w:val="none"/>
              </w:rPr>
              <w:t>进入环境，对土壤造成污染。</w:t>
            </w:r>
          </w:p>
          <w:p w14:paraId="141453DC">
            <w:pPr>
              <w:tabs>
                <w:tab w:val="left" w:pos="639"/>
              </w:tabs>
              <w:autoSpaceDE w:val="0"/>
              <w:autoSpaceDN w:val="0"/>
              <w:spacing w:line="360" w:lineRule="auto"/>
              <w:ind w:firstLine="480" w:firstLineChars="200"/>
              <w:rPr>
                <w:color w:val="auto"/>
                <w:sz w:val="24"/>
                <w:highlight w:val="none"/>
              </w:rPr>
            </w:pPr>
            <w:r>
              <w:rPr>
                <w:color w:val="auto"/>
                <w:sz w:val="24"/>
                <w:highlight w:val="none"/>
              </w:rPr>
              <w:t>②柴油</w:t>
            </w:r>
            <w:r>
              <w:rPr>
                <w:rFonts w:hint="eastAsia"/>
                <w:color w:val="auto"/>
                <w:sz w:val="24"/>
                <w:highlight w:val="none"/>
                <w:lang w:eastAsia="zh-CN"/>
              </w:rPr>
              <w:t>、</w:t>
            </w:r>
            <w:r>
              <w:rPr>
                <w:rFonts w:hint="eastAsia"/>
                <w:color w:val="auto"/>
                <w:sz w:val="24"/>
                <w:highlight w:val="none"/>
                <w:lang w:val="en-US" w:eastAsia="zh-CN"/>
              </w:rPr>
              <w:t>废矿物等因油</w:t>
            </w:r>
            <w:r>
              <w:rPr>
                <w:color w:val="auto"/>
                <w:sz w:val="24"/>
                <w:highlight w:val="none"/>
              </w:rPr>
              <w:t>火灾爆炸产生的次生污染物对环境影响</w:t>
            </w:r>
          </w:p>
          <w:p w14:paraId="2A1723F2">
            <w:pPr>
              <w:tabs>
                <w:tab w:val="left" w:pos="639"/>
              </w:tabs>
              <w:autoSpaceDE w:val="0"/>
              <w:autoSpaceDN w:val="0"/>
              <w:spacing w:line="360" w:lineRule="auto"/>
              <w:ind w:firstLine="480" w:firstLineChars="200"/>
              <w:rPr>
                <w:color w:val="auto"/>
                <w:sz w:val="24"/>
                <w:highlight w:val="none"/>
              </w:rPr>
            </w:pPr>
            <w:r>
              <w:rPr>
                <w:color w:val="auto"/>
                <w:sz w:val="24"/>
                <w:highlight w:val="none"/>
              </w:rPr>
              <w:t>柴油</w:t>
            </w:r>
            <w:r>
              <w:rPr>
                <w:rFonts w:hint="eastAsia"/>
                <w:color w:val="auto"/>
                <w:sz w:val="24"/>
                <w:highlight w:val="none"/>
                <w:lang w:eastAsia="zh-CN"/>
              </w:rPr>
              <w:t>、</w:t>
            </w:r>
            <w:r>
              <w:rPr>
                <w:rFonts w:hint="eastAsia"/>
                <w:color w:val="auto"/>
                <w:sz w:val="24"/>
                <w:highlight w:val="none"/>
                <w:lang w:val="en-US" w:eastAsia="zh-CN"/>
              </w:rPr>
              <w:t>废矿物油</w:t>
            </w:r>
            <w:r>
              <w:rPr>
                <w:color w:val="auto"/>
                <w:sz w:val="24"/>
                <w:highlight w:val="none"/>
              </w:rPr>
              <w:t>发生火灾、爆炸事故引发的次生/伴生影响主要体现在火灾和爆炸过程产生的燃烧产物，燃烧产物为CO、NO</w:t>
            </w:r>
            <w:r>
              <w:rPr>
                <w:color w:val="auto"/>
                <w:sz w:val="24"/>
                <w:highlight w:val="none"/>
                <w:vertAlign w:val="subscript"/>
              </w:rPr>
              <w:t>x</w:t>
            </w:r>
            <w:r>
              <w:rPr>
                <w:color w:val="auto"/>
                <w:sz w:val="24"/>
                <w:highlight w:val="none"/>
              </w:rPr>
              <w:t>、SO</w:t>
            </w:r>
            <w:r>
              <w:rPr>
                <w:color w:val="auto"/>
                <w:sz w:val="24"/>
                <w:highlight w:val="none"/>
                <w:vertAlign w:val="subscript"/>
              </w:rPr>
              <w:t>2</w:t>
            </w:r>
            <w:r>
              <w:rPr>
                <w:color w:val="auto"/>
                <w:sz w:val="24"/>
                <w:highlight w:val="none"/>
              </w:rPr>
              <w:t>以及未燃烧的非甲烷总烃等，会对周边环境空气产生影响。</w:t>
            </w:r>
          </w:p>
          <w:p w14:paraId="0E231207">
            <w:pPr>
              <w:tabs>
                <w:tab w:val="left" w:pos="639"/>
              </w:tabs>
              <w:autoSpaceDE w:val="0"/>
              <w:autoSpaceDN w:val="0"/>
              <w:spacing w:line="360" w:lineRule="auto"/>
              <w:ind w:firstLine="480" w:firstLineChars="200"/>
              <w:rPr>
                <w:color w:val="auto"/>
                <w:sz w:val="24"/>
                <w:highlight w:val="none"/>
              </w:rPr>
            </w:pPr>
            <w:r>
              <w:rPr>
                <w:color w:val="auto"/>
                <w:sz w:val="24"/>
                <w:highlight w:val="none"/>
              </w:rPr>
              <w:t>（</w:t>
            </w:r>
            <w:r>
              <w:rPr>
                <w:rFonts w:hint="eastAsia"/>
                <w:color w:val="auto"/>
                <w:sz w:val="24"/>
                <w:highlight w:val="none"/>
                <w:lang w:val="en-US" w:eastAsia="zh-CN"/>
              </w:rPr>
              <w:t>6</w:t>
            </w:r>
            <w:r>
              <w:rPr>
                <w:color w:val="auto"/>
                <w:sz w:val="24"/>
                <w:highlight w:val="none"/>
              </w:rPr>
              <w:t>）风险防范措施</w:t>
            </w:r>
          </w:p>
          <w:p w14:paraId="3CDF8610">
            <w:pPr>
              <w:tabs>
                <w:tab w:val="left" w:pos="639"/>
              </w:tabs>
              <w:autoSpaceDE w:val="0"/>
              <w:autoSpaceDN w:val="0"/>
              <w:spacing w:line="360" w:lineRule="auto"/>
              <w:ind w:firstLine="480" w:firstLineChars="200"/>
              <w:rPr>
                <w:color w:val="auto"/>
                <w:sz w:val="24"/>
                <w:highlight w:val="none"/>
              </w:rPr>
            </w:pPr>
            <w:r>
              <w:rPr>
                <w:color w:val="auto"/>
                <w:sz w:val="24"/>
                <w:highlight w:val="none"/>
              </w:rPr>
              <w:t>①加强运行管理，定期检查，避免泄漏；</w:t>
            </w:r>
          </w:p>
          <w:p w14:paraId="18B5A65B">
            <w:pPr>
              <w:tabs>
                <w:tab w:val="left" w:pos="639"/>
              </w:tabs>
              <w:autoSpaceDE w:val="0"/>
              <w:autoSpaceDN w:val="0"/>
              <w:spacing w:line="360" w:lineRule="auto"/>
              <w:ind w:firstLine="480" w:firstLineChars="200"/>
              <w:rPr>
                <w:color w:val="auto"/>
                <w:sz w:val="24"/>
                <w:highlight w:val="none"/>
              </w:rPr>
            </w:pPr>
            <w:r>
              <w:rPr>
                <w:color w:val="auto"/>
                <w:sz w:val="24"/>
                <w:highlight w:val="none"/>
              </w:rPr>
              <w:t>②加强操作人员的岗位培训，严格遵守规程，对事故易发处按规定时间巡检，发现问题及早解决；该项目防火等消防安全措施必须到位；</w:t>
            </w:r>
          </w:p>
          <w:p w14:paraId="033F4F51">
            <w:pPr>
              <w:tabs>
                <w:tab w:val="left" w:pos="639"/>
              </w:tabs>
              <w:autoSpaceDE w:val="0"/>
              <w:autoSpaceDN w:val="0"/>
              <w:spacing w:line="360" w:lineRule="auto"/>
              <w:ind w:firstLine="480" w:firstLineChars="200"/>
              <w:rPr>
                <w:color w:val="auto"/>
                <w:sz w:val="24"/>
                <w:highlight w:val="none"/>
              </w:rPr>
            </w:pPr>
            <w:r>
              <w:rPr>
                <w:color w:val="auto"/>
                <w:sz w:val="24"/>
                <w:highlight w:val="none"/>
              </w:rPr>
              <w:t>③当发生泄漏时应及时控制扩散范围，保护周围环境；同时明确泄漏可能导致的后果，泄漏</w:t>
            </w:r>
            <w:r>
              <w:rPr>
                <w:rFonts w:hint="eastAsia"/>
                <w:color w:val="auto"/>
                <w:sz w:val="24"/>
                <w:highlight w:val="none"/>
                <w:lang w:eastAsia="zh-CN"/>
              </w:rPr>
              <w:t>危及</w:t>
            </w:r>
            <w:r>
              <w:rPr>
                <w:color w:val="auto"/>
                <w:sz w:val="24"/>
                <w:highlight w:val="none"/>
              </w:rPr>
              <w:t>周围环境的可能性，隔离泄漏区，周围设警告标志；</w:t>
            </w:r>
          </w:p>
          <w:p w14:paraId="397B6129">
            <w:pPr>
              <w:tabs>
                <w:tab w:val="left" w:pos="639"/>
              </w:tabs>
              <w:autoSpaceDE w:val="0"/>
              <w:autoSpaceDN w:val="0"/>
              <w:spacing w:line="360" w:lineRule="auto"/>
              <w:ind w:firstLine="480" w:firstLineChars="200"/>
              <w:rPr>
                <w:color w:val="auto"/>
                <w:sz w:val="24"/>
                <w:highlight w:val="none"/>
              </w:rPr>
            </w:pPr>
            <w:r>
              <w:rPr>
                <w:color w:val="auto"/>
                <w:sz w:val="24"/>
                <w:highlight w:val="none"/>
              </w:rPr>
              <w:t>④加强管理，建立并严格执行安全生产责任制度，科学监控设备运行，消除故障隐患；</w:t>
            </w:r>
          </w:p>
          <w:p w14:paraId="5D1CCBDB">
            <w:pPr>
              <w:tabs>
                <w:tab w:val="left" w:pos="639"/>
              </w:tabs>
              <w:autoSpaceDE w:val="0"/>
              <w:autoSpaceDN w:val="0"/>
              <w:spacing w:line="360" w:lineRule="auto"/>
              <w:ind w:firstLine="480" w:firstLineChars="200"/>
              <w:rPr>
                <w:color w:val="auto"/>
                <w:sz w:val="24"/>
                <w:highlight w:val="none"/>
              </w:rPr>
            </w:pPr>
            <w:r>
              <w:rPr>
                <w:color w:val="auto"/>
                <w:sz w:val="24"/>
                <w:highlight w:val="none"/>
              </w:rPr>
              <w:t>⑤制定定期巡查制度，发现异常及时处理和报告；</w:t>
            </w:r>
          </w:p>
          <w:p w14:paraId="46CE1F8E">
            <w:pPr>
              <w:tabs>
                <w:tab w:val="left" w:pos="639"/>
              </w:tabs>
              <w:autoSpaceDE w:val="0"/>
              <w:autoSpaceDN w:val="0"/>
              <w:spacing w:line="360" w:lineRule="auto"/>
              <w:ind w:firstLine="480" w:firstLineChars="200"/>
              <w:rPr>
                <w:color w:val="auto"/>
                <w:sz w:val="24"/>
                <w:highlight w:val="none"/>
              </w:rPr>
            </w:pPr>
            <w:r>
              <w:rPr>
                <w:color w:val="auto"/>
                <w:sz w:val="24"/>
                <w:highlight w:val="none"/>
              </w:rPr>
              <w:t>⑥建立应急响应机构，配备快捷的交通通讯工具，以便对泄漏事故及时作出反应和处理；</w:t>
            </w:r>
          </w:p>
          <w:p w14:paraId="5FD1D43B">
            <w:pPr>
              <w:tabs>
                <w:tab w:val="left" w:pos="639"/>
              </w:tabs>
              <w:autoSpaceDE w:val="0"/>
              <w:autoSpaceDN w:val="0"/>
              <w:spacing w:line="360" w:lineRule="auto"/>
              <w:ind w:firstLine="480" w:firstLineChars="200"/>
              <w:rPr>
                <w:color w:val="auto"/>
                <w:sz w:val="24"/>
                <w:highlight w:val="none"/>
              </w:rPr>
            </w:pPr>
            <w:r>
              <w:rPr>
                <w:color w:val="auto"/>
                <w:sz w:val="24"/>
                <w:highlight w:val="none"/>
              </w:rPr>
              <w:t>⑦配备相应数量的应急救援物资；</w:t>
            </w:r>
          </w:p>
          <w:p w14:paraId="26817A53">
            <w:pPr>
              <w:adjustRightInd w:val="0"/>
              <w:snapToGrid w:val="0"/>
              <w:spacing w:line="360" w:lineRule="auto"/>
              <w:ind w:firstLine="480" w:firstLineChars="200"/>
              <w:rPr>
                <w:color w:val="auto"/>
                <w:highlight w:val="none"/>
              </w:rPr>
            </w:pPr>
            <w:r>
              <w:rPr>
                <w:color w:val="auto"/>
                <w:sz w:val="24"/>
                <w:highlight w:val="none"/>
              </w:rPr>
              <w:t>⑧柴油</w:t>
            </w:r>
            <w:r>
              <w:rPr>
                <w:rFonts w:hint="eastAsia"/>
                <w:color w:val="auto"/>
                <w:sz w:val="24"/>
                <w:highlight w:val="none"/>
                <w:lang w:eastAsia="zh-CN"/>
              </w:rPr>
              <w:t>、</w:t>
            </w:r>
            <w:r>
              <w:rPr>
                <w:rFonts w:hint="eastAsia"/>
                <w:color w:val="auto"/>
                <w:sz w:val="24"/>
                <w:highlight w:val="none"/>
                <w:lang w:val="en-US" w:eastAsia="zh-CN"/>
              </w:rPr>
              <w:t>废矿物油</w:t>
            </w:r>
            <w:r>
              <w:rPr>
                <w:color w:val="auto"/>
                <w:sz w:val="24"/>
                <w:highlight w:val="none"/>
              </w:rPr>
              <w:t>属于易燃、毒性液体，一般情况较为稳定，但遇明火或高温可能发生火灾危险。本项目储油间</w:t>
            </w:r>
            <w:r>
              <w:rPr>
                <w:rFonts w:hint="eastAsia"/>
                <w:color w:val="auto"/>
                <w:sz w:val="24"/>
                <w:highlight w:val="none"/>
                <w:lang w:eastAsia="zh-CN"/>
              </w:rPr>
              <w:t>、</w:t>
            </w:r>
            <w:r>
              <w:rPr>
                <w:rFonts w:hint="eastAsia"/>
                <w:color w:val="auto"/>
                <w:sz w:val="24"/>
                <w:highlight w:val="none"/>
                <w:lang w:val="en-US" w:eastAsia="zh-CN"/>
              </w:rPr>
              <w:t>危废暂存间</w:t>
            </w:r>
            <w:r>
              <w:rPr>
                <w:color w:val="auto"/>
                <w:sz w:val="24"/>
                <w:highlight w:val="none"/>
              </w:rPr>
              <w:t>内严禁明火。按照消防规定设置消防设施及灭火器材，包括泡沫灭火器、消防沙、防护服等。</w:t>
            </w:r>
          </w:p>
          <w:p w14:paraId="20E92A38">
            <w:pPr>
              <w:adjustRightInd w:val="0"/>
              <w:snapToGrid w:val="0"/>
              <w:spacing w:line="360" w:lineRule="auto"/>
              <w:ind w:firstLine="440" w:firstLineChars="200"/>
              <w:rPr>
                <w:bCs/>
                <w:color w:val="auto"/>
                <w:spacing w:val="-10"/>
                <w:sz w:val="24"/>
                <w:highlight w:val="none"/>
              </w:rPr>
            </w:pPr>
            <w:r>
              <w:rPr>
                <w:bCs/>
                <w:color w:val="auto"/>
                <w:spacing w:val="-10"/>
                <w:sz w:val="24"/>
                <w:highlight w:val="none"/>
              </w:rPr>
              <w:t>⑨柴油罐</w:t>
            </w:r>
            <w:r>
              <w:rPr>
                <w:rFonts w:hint="eastAsia"/>
                <w:bCs/>
                <w:color w:val="auto"/>
                <w:spacing w:val="-10"/>
                <w:sz w:val="24"/>
                <w:highlight w:val="none"/>
              </w:rPr>
              <w:t>采用双层罐</w:t>
            </w:r>
            <w:r>
              <w:rPr>
                <w:bCs/>
                <w:color w:val="auto"/>
                <w:spacing w:val="-10"/>
                <w:sz w:val="24"/>
                <w:highlight w:val="none"/>
              </w:rPr>
              <w:t>。</w:t>
            </w:r>
          </w:p>
          <w:p w14:paraId="3A6CFCB2">
            <w:pPr>
              <w:adjustRightInd w:val="0"/>
              <w:snapToGrid w:val="0"/>
              <w:spacing w:line="360" w:lineRule="auto"/>
              <w:ind w:firstLine="440" w:firstLineChars="200"/>
              <w:rPr>
                <w:b/>
                <w:color w:val="auto"/>
                <w:spacing w:val="-10"/>
                <w:sz w:val="24"/>
                <w:highlight w:val="none"/>
              </w:rPr>
            </w:pPr>
            <w:r>
              <w:rPr>
                <w:bCs/>
                <w:color w:val="auto"/>
                <w:spacing w:val="-10"/>
                <w:sz w:val="24"/>
                <w:highlight w:val="none"/>
              </w:rPr>
              <w:t>综上所述，本项目在采取报告中提出的风险防范措施后，环境风险较小。</w:t>
            </w:r>
          </w:p>
          <w:p w14:paraId="7B9DBB80">
            <w:pPr>
              <w:adjustRightInd w:val="0"/>
              <w:snapToGrid w:val="0"/>
              <w:spacing w:line="360" w:lineRule="auto"/>
              <w:jc w:val="center"/>
              <w:rPr>
                <w:color w:val="auto"/>
                <w:highlight w:val="none"/>
              </w:rPr>
            </w:pPr>
            <w:r>
              <w:rPr>
                <w:b/>
                <w:bCs/>
                <w:color w:val="auto"/>
                <w:sz w:val="24"/>
                <w:highlight w:val="none"/>
              </w:rPr>
              <w:t>表4-</w:t>
            </w:r>
            <w:r>
              <w:rPr>
                <w:rFonts w:hint="eastAsia"/>
                <w:b/>
                <w:bCs/>
                <w:color w:val="auto"/>
                <w:sz w:val="24"/>
                <w:highlight w:val="none"/>
                <w:lang w:val="en-US" w:eastAsia="zh-CN"/>
              </w:rPr>
              <w:t>18</w:t>
            </w:r>
            <w:r>
              <w:rPr>
                <w:b/>
                <w:bCs/>
                <w:color w:val="auto"/>
                <w:sz w:val="24"/>
                <w:highlight w:val="none"/>
              </w:rPr>
              <w:t xml:space="preserve"> 建设项目环境风险简单分析内容表</w:t>
            </w:r>
          </w:p>
          <w:tbl>
            <w:tblPr>
              <w:tblStyle w:val="21"/>
              <w:tblW w:w="82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9"/>
              <w:gridCol w:w="949"/>
              <w:gridCol w:w="2347"/>
              <w:gridCol w:w="1083"/>
              <w:gridCol w:w="2008"/>
            </w:tblGrid>
            <w:tr w14:paraId="38C94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89" w:type="dxa"/>
                  <w:tcBorders>
                    <w:tl2br w:val="nil"/>
                    <w:tr2bl w:val="nil"/>
                  </w:tcBorders>
                  <w:vAlign w:val="center"/>
                </w:tcPr>
                <w:p w14:paraId="74D87BAA">
                  <w:pPr>
                    <w:pStyle w:val="27"/>
                    <w:rPr>
                      <w:color w:val="auto"/>
                      <w:highlight w:val="none"/>
                    </w:rPr>
                  </w:pPr>
                  <w:r>
                    <w:rPr>
                      <w:color w:val="auto"/>
                      <w:highlight w:val="none"/>
                    </w:rPr>
                    <w:t>建设项目名称</w:t>
                  </w:r>
                </w:p>
              </w:tc>
              <w:tc>
                <w:tcPr>
                  <w:tcW w:w="6387" w:type="dxa"/>
                  <w:gridSpan w:val="4"/>
                  <w:tcBorders>
                    <w:tl2br w:val="nil"/>
                    <w:tr2bl w:val="nil"/>
                  </w:tcBorders>
                  <w:vAlign w:val="center"/>
                </w:tcPr>
                <w:p w14:paraId="3500493F">
                  <w:pPr>
                    <w:pStyle w:val="27"/>
                    <w:rPr>
                      <w:color w:val="auto"/>
                      <w:highlight w:val="none"/>
                    </w:rPr>
                  </w:pPr>
                  <w:r>
                    <w:rPr>
                      <w:color w:val="auto"/>
                      <w:highlight w:val="none"/>
                    </w:rPr>
                    <w:t>杭锦旗殡仪馆项目</w:t>
                  </w:r>
                </w:p>
              </w:tc>
            </w:tr>
            <w:tr w14:paraId="7E18A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89" w:type="dxa"/>
                  <w:tcBorders>
                    <w:tl2br w:val="nil"/>
                    <w:tr2bl w:val="nil"/>
                  </w:tcBorders>
                  <w:vAlign w:val="center"/>
                </w:tcPr>
                <w:p w14:paraId="08422F3A">
                  <w:pPr>
                    <w:pStyle w:val="27"/>
                    <w:rPr>
                      <w:color w:val="auto"/>
                      <w:highlight w:val="none"/>
                    </w:rPr>
                  </w:pPr>
                  <w:r>
                    <w:rPr>
                      <w:color w:val="auto"/>
                      <w:highlight w:val="none"/>
                    </w:rPr>
                    <w:t>建设地点</w:t>
                  </w:r>
                </w:p>
              </w:tc>
              <w:tc>
                <w:tcPr>
                  <w:tcW w:w="6387" w:type="dxa"/>
                  <w:gridSpan w:val="4"/>
                  <w:tcBorders>
                    <w:tl2br w:val="nil"/>
                    <w:tr2bl w:val="nil"/>
                  </w:tcBorders>
                  <w:vAlign w:val="center"/>
                </w:tcPr>
                <w:p w14:paraId="4D091C83">
                  <w:pPr>
                    <w:pStyle w:val="27"/>
                    <w:rPr>
                      <w:color w:val="auto"/>
                      <w:highlight w:val="none"/>
                    </w:rPr>
                  </w:pPr>
                  <w:r>
                    <w:rPr>
                      <w:color w:val="auto"/>
                      <w:highlight w:val="none"/>
                    </w:rPr>
                    <w:t>鄂尔多斯市杭锦旗锡尼镇巴音布拉格嘎查</w:t>
                  </w:r>
                </w:p>
              </w:tc>
            </w:tr>
            <w:tr w14:paraId="4381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89" w:type="dxa"/>
                  <w:tcBorders>
                    <w:tl2br w:val="nil"/>
                    <w:tr2bl w:val="nil"/>
                  </w:tcBorders>
                  <w:vAlign w:val="center"/>
                </w:tcPr>
                <w:p w14:paraId="5BC9BEB2">
                  <w:pPr>
                    <w:pStyle w:val="27"/>
                    <w:rPr>
                      <w:color w:val="auto"/>
                      <w:highlight w:val="none"/>
                    </w:rPr>
                  </w:pPr>
                  <w:r>
                    <w:rPr>
                      <w:color w:val="auto"/>
                      <w:highlight w:val="none"/>
                    </w:rPr>
                    <w:t>地理坐标</w:t>
                  </w:r>
                </w:p>
              </w:tc>
              <w:tc>
                <w:tcPr>
                  <w:tcW w:w="949" w:type="dxa"/>
                  <w:tcBorders>
                    <w:tl2br w:val="nil"/>
                    <w:tr2bl w:val="nil"/>
                  </w:tcBorders>
                  <w:vAlign w:val="center"/>
                </w:tcPr>
                <w:p w14:paraId="6037D0EB">
                  <w:pPr>
                    <w:pStyle w:val="27"/>
                    <w:rPr>
                      <w:color w:val="auto"/>
                      <w:highlight w:val="none"/>
                    </w:rPr>
                  </w:pPr>
                  <w:r>
                    <w:rPr>
                      <w:color w:val="auto"/>
                      <w:highlight w:val="none"/>
                    </w:rPr>
                    <w:t>经度</w:t>
                  </w:r>
                </w:p>
              </w:tc>
              <w:tc>
                <w:tcPr>
                  <w:tcW w:w="2347" w:type="dxa"/>
                  <w:tcBorders>
                    <w:tl2br w:val="nil"/>
                    <w:tr2bl w:val="nil"/>
                  </w:tcBorders>
                  <w:vAlign w:val="center"/>
                </w:tcPr>
                <w:p w14:paraId="19ACD1F4">
                  <w:pPr>
                    <w:pStyle w:val="27"/>
                    <w:rPr>
                      <w:rFonts w:hint="eastAsia" w:eastAsia="宋体"/>
                      <w:color w:val="auto"/>
                      <w:highlight w:val="none"/>
                      <w:lang w:eastAsia="zh-CN"/>
                    </w:rPr>
                  </w:pPr>
                  <w:r>
                    <w:rPr>
                      <w:color w:val="auto"/>
                      <w:highlight w:val="none"/>
                    </w:rPr>
                    <w:t>E108</w:t>
                  </w:r>
                  <w:r>
                    <w:rPr>
                      <w:rFonts w:hint="eastAsia"/>
                      <w:color w:val="auto"/>
                      <w:highlight w:val="none"/>
                      <w:lang w:val="en-US" w:eastAsia="zh-CN"/>
                    </w:rPr>
                    <w:t>°</w:t>
                  </w:r>
                  <w:r>
                    <w:rPr>
                      <w:color w:val="auto"/>
                      <w:highlight w:val="none"/>
                    </w:rPr>
                    <w:t>39</w:t>
                  </w:r>
                  <w:r>
                    <w:rPr>
                      <w:rFonts w:hint="eastAsia"/>
                      <w:color w:val="auto"/>
                      <w:highlight w:val="none"/>
                      <w:lang w:eastAsia="zh-CN"/>
                    </w:rPr>
                    <w:t>′</w:t>
                  </w:r>
                  <w:r>
                    <w:rPr>
                      <w:color w:val="auto"/>
                      <w:highlight w:val="none"/>
                    </w:rPr>
                    <w:t>16.898</w:t>
                  </w:r>
                  <w:r>
                    <w:rPr>
                      <w:rFonts w:hint="eastAsia"/>
                      <w:color w:val="auto"/>
                      <w:highlight w:val="none"/>
                      <w:lang w:eastAsia="zh-CN"/>
                    </w:rPr>
                    <w:t>″</w:t>
                  </w:r>
                </w:p>
              </w:tc>
              <w:tc>
                <w:tcPr>
                  <w:tcW w:w="1083" w:type="dxa"/>
                  <w:tcBorders>
                    <w:tl2br w:val="nil"/>
                    <w:tr2bl w:val="nil"/>
                  </w:tcBorders>
                  <w:vAlign w:val="center"/>
                </w:tcPr>
                <w:p w14:paraId="1A7A8E22">
                  <w:pPr>
                    <w:pStyle w:val="27"/>
                    <w:rPr>
                      <w:color w:val="auto"/>
                      <w:highlight w:val="none"/>
                    </w:rPr>
                  </w:pPr>
                  <w:r>
                    <w:rPr>
                      <w:color w:val="auto"/>
                      <w:highlight w:val="none"/>
                    </w:rPr>
                    <w:t>纬度</w:t>
                  </w:r>
                </w:p>
              </w:tc>
              <w:tc>
                <w:tcPr>
                  <w:tcW w:w="2008" w:type="dxa"/>
                  <w:tcBorders>
                    <w:tl2br w:val="nil"/>
                    <w:tr2bl w:val="nil"/>
                  </w:tcBorders>
                  <w:vAlign w:val="center"/>
                </w:tcPr>
                <w:p w14:paraId="6D844ADF">
                  <w:pPr>
                    <w:pStyle w:val="27"/>
                    <w:rPr>
                      <w:rFonts w:hint="eastAsia" w:eastAsia="宋体"/>
                      <w:color w:val="auto"/>
                      <w:highlight w:val="none"/>
                      <w:lang w:eastAsia="zh-CN"/>
                    </w:rPr>
                  </w:pPr>
                  <w:r>
                    <w:rPr>
                      <w:color w:val="auto"/>
                      <w:highlight w:val="none"/>
                    </w:rPr>
                    <w:t>N39</w:t>
                  </w:r>
                  <w:r>
                    <w:rPr>
                      <w:rFonts w:hint="eastAsia"/>
                      <w:color w:val="auto"/>
                      <w:highlight w:val="none"/>
                      <w:lang w:val="en-US" w:eastAsia="zh-CN"/>
                    </w:rPr>
                    <w:t>°</w:t>
                  </w:r>
                  <w:r>
                    <w:rPr>
                      <w:color w:val="auto"/>
                      <w:highlight w:val="none"/>
                    </w:rPr>
                    <w:t>45</w:t>
                  </w:r>
                  <w:r>
                    <w:rPr>
                      <w:rFonts w:hint="eastAsia"/>
                      <w:color w:val="auto"/>
                      <w:highlight w:val="none"/>
                      <w:lang w:eastAsia="zh-CN"/>
                    </w:rPr>
                    <w:t>′</w:t>
                  </w:r>
                  <w:r>
                    <w:rPr>
                      <w:color w:val="auto"/>
                      <w:highlight w:val="none"/>
                    </w:rPr>
                    <w:t>37.601</w:t>
                  </w:r>
                  <w:r>
                    <w:rPr>
                      <w:rFonts w:hint="eastAsia"/>
                      <w:color w:val="auto"/>
                      <w:highlight w:val="none"/>
                      <w:lang w:eastAsia="zh-CN"/>
                    </w:rPr>
                    <w:t>″</w:t>
                  </w:r>
                </w:p>
              </w:tc>
            </w:tr>
            <w:tr w14:paraId="25ABF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89" w:type="dxa"/>
                  <w:tcBorders>
                    <w:tl2br w:val="nil"/>
                    <w:tr2bl w:val="nil"/>
                  </w:tcBorders>
                  <w:vAlign w:val="center"/>
                </w:tcPr>
                <w:p w14:paraId="42B078E9">
                  <w:pPr>
                    <w:pStyle w:val="27"/>
                    <w:rPr>
                      <w:color w:val="auto"/>
                      <w:highlight w:val="none"/>
                    </w:rPr>
                  </w:pPr>
                  <w:r>
                    <w:rPr>
                      <w:color w:val="auto"/>
                      <w:highlight w:val="none"/>
                    </w:rPr>
                    <w:t>主要危险物质及分布</w:t>
                  </w:r>
                </w:p>
              </w:tc>
              <w:tc>
                <w:tcPr>
                  <w:tcW w:w="6387" w:type="dxa"/>
                  <w:gridSpan w:val="4"/>
                  <w:tcBorders>
                    <w:tl2br w:val="nil"/>
                    <w:tr2bl w:val="nil"/>
                  </w:tcBorders>
                  <w:vAlign w:val="center"/>
                </w:tcPr>
                <w:p w14:paraId="15D24ACB">
                  <w:pPr>
                    <w:pStyle w:val="27"/>
                    <w:rPr>
                      <w:rFonts w:hint="eastAsia" w:eastAsia="宋体"/>
                      <w:color w:val="auto"/>
                      <w:highlight w:val="none"/>
                      <w:lang w:eastAsia="zh-CN"/>
                    </w:rPr>
                  </w:pPr>
                  <w:r>
                    <w:rPr>
                      <w:color w:val="auto"/>
                      <w:highlight w:val="none"/>
                    </w:rPr>
                    <w:t>柴油</w:t>
                  </w:r>
                  <w:r>
                    <w:rPr>
                      <w:rFonts w:hint="eastAsia"/>
                      <w:color w:val="auto"/>
                      <w:highlight w:val="none"/>
                      <w:lang w:eastAsia="zh-CN"/>
                    </w:rPr>
                    <w:t>、</w:t>
                  </w:r>
                  <w:r>
                    <w:rPr>
                      <w:rFonts w:hint="eastAsia"/>
                      <w:color w:val="auto"/>
                      <w:highlight w:val="none"/>
                      <w:lang w:val="en-US" w:eastAsia="zh-CN"/>
                    </w:rPr>
                    <w:t>废矿物油；</w:t>
                  </w:r>
                  <w:r>
                    <w:rPr>
                      <w:color w:val="auto"/>
                      <w:highlight w:val="none"/>
                    </w:rPr>
                    <w:t>储油间</w:t>
                  </w:r>
                  <w:r>
                    <w:rPr>
                      <w:rFonts w:hint="eastAsia"/>
                      <w:color w:val="auto"/>
                      <w:highlight w:val="none"/>
                      <w:lang w:eastAsia="zh-CN"/>
                    </w:rPr>
                    <w:t>、</w:t>
                  </w:r>
                  <w:r>
                    <w:rPr>
                      <w:rFonts w:hint="eastAsia"/>
                      <w:color w:val="auto"/>
                      <w:highlight w:val="none"/>
                      <w:lang w:val="en-US" w:eastAsia="zh-CN"/>
                    </w:rPr>
                    <w:t>危废暂存间</w:t>
                  </w:r>
                </w:p>
              </w:tc>
            </w:tr>
            <w:tr w14:paraId="6623F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89" w:type="dxa"/>
                  <w:tcBorders>
                    <w:tl2br w:val="nil"/>
                    <w:tr2bl w:val="nil"/>
                  </w:tcBorders>
                  <w:vAlign w:val="center"/>
                </w:tcPr>
                <w:p w14:paraId="4C946B9F">
                  <w:pPr>
                    <w:pStyle w:val="27"/>
                    <w:rPr>
                      <w:color w:val="auto"/>
                      <w:highlight w:val="none"/>
                    </w:rPr>
                  </w:pPr>
                  <w:r>
                    <w:rPr>
                      <w:color w:val="auto"/>
                      <w:highlight w:val="none"/>
                    </w:rPr>
                    <w:t>环境影响途径及危害后果</w:t>
                  </w:r>
                </w:p>
              </w:tc>
              <w:tc>
                <w:tcPr>
                  <w:tcW w:w="6387" w:type="dxa"/>
                  <w:gridSpan w:val="4"/>
                  <w:tcBorders>
                    <w:tl2br w:val="nil"/>
                    <w:tr2bl w:val="nil"/>
                  </w:tcBorders>
                  <w:vAlign w:val="center"/>
                </w:tcPr>
                <w:p w14:paraId="753D4B09">
                  <w:pPr>
                    <w:pStyle w:val="27"/>
                    <w:rPr>
                      <w:color w:val="auto"/>
                      <w:highlight w:val="none"/>
                    </w:rPr>
                  </w:pPr>
                  <w:r>
                    <w:rPr>
                      <w:color w:val="auto"/>
                      <w:highlight w:val="none"/>
                    </w:rPr>
                    <w:t>发生泄漏污染土壤以及发生火灾、爆炸事故产生的伴生/次生污染物污染大气。</w:t>
                  </w:r>
                </w:p>
              </w:tc>
            </w:tr>
            <w:tr w14:paraId="7D6EB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89" w:type="dxa"/>
                  <w:tcBorders>
                    <w:tl2br w:val="nil"/>
                    <w:tr2bl w:val="nil"/>
                  </w:tcBorders>
                  <w:vAlign w:val="center"/>
                </w:tcPr>
                <w:p w14:paraId="1B03524B">
                  <w:pPr>
                    <w:pStyle w:val="27"/>
                    <w:rPr>
                      <w:color w:val="auto"/>
                      <w:highlight w:val="none"/>
                    </w:rPr>
                  </w:pPr>
                  <w:r>
                    <w:rPr>
                      <w:color w:val="auto"/>
                      <w:highlight w:val="none"/>
                    </w:rPr>
                    <w:t>风险防范措施</w:t>
                  </w:r>
                </w:p>
                <w:p w14:paraId="451EB0F1">
                  <w:pPr>
                    <w:pStyle w:val="27"/>
                    <w:rPr>
                      <w:color w:val="auto"/>
                      <w:highlight w:val="none"/>
                    </w:rPr>
                  </w:pPr>
                  <w:r>
                    <w:rPr>
                      <w:color w:val="auto"/>
                      <w:highlight w:val="none"/>
                    </w:rPr>
                    <w:t>要求</w:t>
                  </w:r>
                </w:p>
              </w:tc>
              <w:tc>
                <w:tcPr>
                  <w:tcW w:w="6387" w:type="dxa"/>
                  <w:gridSpan w:val="4"/>
                  <w:tcBorders>
                    <w:tl2br w:val="nil"/>
                    <w:tr2bl w:val="nil"/>
                  </w:tcBorders>
                  <w:vAlign w:val="center"/>
                </w:tcPr>
                <w:p w14:paraId="426781E0">
                  <w:pPr>
                    <w:pStyle w:val="27"/>
                    <w:jc w:val="left"/>
                    <w:rPr>
                      <w:color w:val="auto"/>
                      <w:highlight w:val="none"/>
                    </w:rPr>
                  </w:pPr>
                  <w:r>
                    <w:rPr>
                      <w:color w:val="auto"/>
                      <w:highlight w:val="none"/>
                    </w:rPr>
                    <w:t>①加强运行管理，定期检查，避免泄漏；</w:t>
                  </w:r>
                </w:p>
                <w:p w14:paraId="3A6CBFB7">
                  <w:pPr>
                    <w:pStyle w:val="27"/>
                    <w:jc w:val="left"/>
                    <w:rPr>
                      <w:color w:val="auto"/>
                      <w:highlight w:val="none"/>
                    </w:rPr>
                  </w:pPr>
                  <w:r>
                    <w:rPr>
                      <w:color w:val="auto"/>
                      <w:highlight w:val="none"/>
                    </w:rPr>
                    <w:t>②加强操作人员的岗位培训，严格遵守规程，对事故易发处按规定时间巡检，发现问题及早解决；该项目防火等消防安全措施必须到位；</w:t>
                  </w:r>
                </w:p>
                <w:p w14:paraId="08BAA185">
                  <w:pPr>
                    <w:pStyle w:val="27"/>
                    <w:jc w:val="left"/>
                    <w:rPr>
                      <w:color w:val="auto"/>
                      <w:highlight w:val="none"/>
                    </w:rPr>
                  </w:pPr>
                  <w:r>
                    <w:rPr>
                      <w:color w:val="auto"/>
                      <w:highlight w:val="none"/>
                    </w:rPr>
                    <w:t>③当发生泄漏时应及时控制扩散范围，保护周围环境；同时明确泄漏可能导致的后果，泄漏</w:t>
                  </w:r>
                  <w:r>
                    <w:rPr>
                      <w:rFonts w:hint="eastAsia"/>
                      <w:color w:val="auto"/>
                      <w:highlight w:val="none"/>
                      <w:lang w:eastAsia="zh-CN"/>
                    </w:rPr>
                    <w:t>危及</w:t>
                  </w:r>
                  <w:r>
                    <w:rPr>
                      <w:color w:val="auto"/>
                      <w:highlight w:val="none"/>
                    </w:rPr>
                    <w:t>周围环境的可能性，隔离泄漏区，周围设警告标志；</w:t>
                  </w:r>
                </w:p>
                <w:p w14:paraId="2C130FDC">
                  <w:pPr>
                    <w:pStyle w:val="27"/>
                    <w:jc w:val="left"/>
                    <w:rPr>
                      <w:color w:val="auto"/>
                      <w:highlight w:val="none"/>
                    </w:rPr>
                  </w:pPr>
                  <w:r>
                    <w:rPr>
                      <w:color w:val="auto"/>
                      <w:highlight w:val="none"/>
                    </w:rPr>
                    <w:t>④加强管理，建立并严格执行安全生产责任制度，科学监控设</w:t>
                  </w:r>
                </w:p>
                <w:p w14:paraId="03C48F2D">
                  <w:pPr>
                    <w:pStyle w:val="27"/>
                    <w:jc w:val="left"/>
                    <w:rPr>
                      <w:color w:val="auto"/>
                      <w:highlight w:val="none"/>
                    </w:rPr>
                  </w:pPr>
                  <w:r>
                    <w:rPr>
                      <w:color w:val="auto"/>
                      <w:highlight w:val="none"/>
                    </w:rPr>
                    <w:t>备运行，消除故障隐患；</w:t>
                  </w:r>
                </w:p>
                <w:p w14:paraId="30BF0EFC">
                  <w:pPr>
                    <w:pStyle w:val="27"/>
                    <w:jc w:val="left"/>
                    <w:rPr>
                      <w:color w:val="auto"/>
                      <w:highlight w:val="none"/>
                    </w:rPr>
                  </w:pPr>
                  <w:r>
                    <w:rPr>
                      <w:color w:val="auto"/>
                      <w:highlight w:val="none"/>
                    </w:rPr>
                    <w:t>⑤制定定期巡查制度，发现异常及时处理和报告；</w:t>
                  </w:r>
                </w:p>
                <w:p w14:paraId="24FC6841">
                  <w:pPr>
                    <w:pStyle w:val="27"/>
                    <w:jc w:val="left"/>
                    <w:rPr>
                      <w:color w:val="auto"/>
                      <w:highlight w:val="none"/>
                    </w:rPr>
                  </w:pPr>
                  <w:r>
                    <w:rPr>
                      <w:color w:val="auto"/>
                      <w:highlight w:val="none"/>
                    </w:rPr>
                    <w:t>⑥建立应急响应机构，配备快捷的交通通讯工具，以便对泄漏事故及时作出反应和处理；</w:t>
                  </w:r>
                </w:p>
                <w:p w14:paraId="19CD8330">
                  <w:pPr>
                    <w:pStyle w:val="27"/>
                    <w:jc w:val="left"/>
                    <w:rPr>
                      <w:color w:val="auto"/>
                      <w:highlight w:val="none"/>
                    </w:rPr>
                  </w:pPr>
                  <w:r>
                    <w:rPr>
                      <w:color w:val="auto"/>
                      <w:highlight w:val="none"/>
                    </w:rPr>
                    <w:t>⑦配备相应数量的应急救援物资；</w:t>
                  </w:r>
                </w:p>
                <w:p w14:paraId="6EAB9B74">
                  <w:pPr>
                    <w:pStyle w:val="27"/>
                    <w:jc w:val="left"/>
                    <w:rPr>
                      <w:color w:val="auto"/>
                      <w:highlight w:val="none"/>
                    </w:rPr>
                  </w:pPr>
                  <w:r>
                    <w:rPr>
                      <w:color w:val="auto"/>
                      <w:highlight w:val="none"/>
                    </w:rPr>
                    <w:t>⑧柴油</w:t>
                  </w:r>
                  <w:r>
                    <w:rPr>
                      <w:rFonts w:hint="eastAsia"/>
                      <w:color w:val="auto"/>
                      <w:highlight w:val="none"/>
                      <w:lang w:eastAsia="zh-CN"/>
                    </w:rPr>
                    <w:t>、</w:t>
                  </w:r>
                  <w:r>
                    <w:rPr>
                      <w:rFonts w:hint="eastAsia"/>
                      <w:color w:val="auto"/>
                      <w:highlight w:val="none"/>
                      <w:lang w:val="en-US" w:eastAsia="zh-CN"/>
                    </w:rPr>
                    <w:t>废矿物油</w:t>
                  </w:r>
                  <w:r>
                    <w:rPr>
                      <w:color w:val="auto"/>
                      <w:highlight w:val="none"/>
                    </w:rPr>
                    <w:t>属于易燃、毒性液体，一般情况较为稳定，但遇明火或高温可能发生火灾危险。本项目储油间</w:t>
                  </w:r>
                  <w:r>
                    <w:rPr>
                      <w:rFonts w:hint="eastAsia"/>
                      <w:color w:val="auto"/>
                      <w:highlight w:val="none"/>
                      <w:lang w:eastAsia="zh-CN"/>
                    </w:rPr>
                    <w:t>、</w:t>
                  </w:r>
                  <w:r>
                    <w:rPr>
                      <w:rFonts w:hint="eastAsia"/>
                      <w:color w:val="auto"/>
                      <w:highlight w:val="none"/>
                      <w:lang w:val="en-US" w:eastAsia="zh-CN"/>
                    </w:rPr>
                    <w:t>危废暂存间</w:t>
                  </w:r>
                  <w:r>
                    <w:rPr>
                      <w:color w:val="auto"/>
                      <w:highlight w:val="none"/>
                    </w:rPr>
                    <w:t>内严禁明火。按照消防规定设置消防设施及灭火器材，包括消防水池、泡沫灭火器、消防沙、防护服等。</w:t>
                  </w:r>
                </w:p>
              </w:tc>
            </w:tr>
            <w:tr w14:paraId="3A80E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76" w:type="dxa"/>
                  <w:gridSpan w:val="5"/>
                  <w:tcBorders>
                    <w:tl2br w:val="nil"/>
                    <w:tr2bl w:val="nil"/>
                  </w:tcBorders>
                  <w:vAlign w:val="center"/>
                </w:tcPr>
                <w:p w14:paraId="74D133F1">
                  <w:pPr>
                    <w:pStyle w:val="27"/>
                    <w:rPr>
                      <w:rFonts w:hint="eastAsia" w:eastAsia="宋体"/>
                      <w:color w:val="auto"/>
                      <w:highlight w:val="none"/>
                      <w:lang w:eastAsia="zh-CN"/>
                    </w:rPr>
                  </w:pPr>
                  <w:r>
                    <w:rPr>
                      <w:color w:val="auto"/>
                      <w:highlight w:val="none"/>
                    </w:rPr>
                    <w:t>填表说明：无</w:t>
                  </w:r>
                  <w:r>
                    <w:rPr>
                      <w:rFonts w:hint="eastAsia"/>
                      <w:color w:val="auto"/>
                      <w:highlight w:val="none"/>
                      <w:lang w:eastAsia="zh-CN"/>
                    </w:rPr>
                    <w:t>。</w:t>
                  </w:r>
                </w:p>
              </w:tc>
            </w:tr>
          </w:tbl>
          <w:p w14:paraId="4849274C">
            <w:pPr>
              <w:widowControl/>
              <w:adjustRightInd w:val="0"/>
              <w:snapToGrid w:val="0"/>
              <w:spacing w:line="360" w:lineRule="auto"/>
              <w:rPr>
                <w:b/>
                <w:bCs/>
                <w:color w:val="auto"/>
                <w:sz w:val="24"/>
                <w:szCs w:val="32"/>
                <w:highlight w:val="none"/>
              </w:rPr>
            </w:pPr>
          </w:p>
          <w:p w14:paraId="6A7DD685">
            <w:pPr>
              <w:widowControl/>
              <w:adjustRightInd w:val="0"/>
              <w:snapToGrid w:val="0"/>
              <w:spacing w:line="360" w:lineRule="auto"/>
              <w:rPr>
                <w:color w:val="auto"/>
                <w:kern w:val="1"/>
                <w:sz w:val="24"/>
                <w:highlight w:val="none"/>
              </w:rPr>
            </w:pPr>
            <w:r>
              <w:rPr>
                <w:b/>
                <w:bCs/>
                <w:color w:val="auto"/>
                <w:sz w:val="24"/>
                <w:szCs w:val="32"/>
                <w:highlight w:val="none"/>
              </w:rPr>
              <w:t>7.</w:t>
            </w:r>
            <w:r>
              <w:rPr>
                <w:rFonts w:hint="eastAsia"/>
                <w:b/>
                <w:bCs/>
                <w:color w:val="auto"/>
                <w:sz w:val="24"/>
                <w:szCs w:val="32"/>
                <w:highlight w:val="none"/>
                <w:lang w:eastAsia="zh-CN"/>
              </w:rPr>
              <w:t>“</w:t>
            </w:r>
            <w:r>
              <w:rPr>
                <w:b/>
                <w:bCs/>
                <w:color w:val="auto"/>
                <w:sz w:val="24"/>
                <w:szCs w:val="32"/>
                <w:highlight w:val="none"/>
              </w:rPr>
              <w:t>三同时</w:t>
            </w:r>
            <w:r>
              <w:rPr>
                <w:rFonts w:hint="eastAsia"/>
                <w:b/>
                <w:bCs/>
                <w:color w:val="auto"/>
                <w:sz w:val="24"/>
                <w:szCs w:val="32"/>
                <w:highlight w:val="none"/>
                <w:lang w:eastAsia="zh-CN"/>
              </w:rPr>
              <w:t>”</w:t>
            </w:r>
            <w:r>
              <w:rPr>
                <w:b/>
                <w:bCs/>
                <w:color w:val="auto"/>
                <w:sz w:val="24"/>
                <w:szCs w:val="32"/>
                <w:highlight w:val="none"/>
              </w:rPr>
              <w:t>验收清单</w:t>
            </w:r>
          </w:p>
          <w:p w14:paraId="0A08CC67">
            <w:pPr>
              <w:pStyle w:val="32"/>
              <w:rPr>
                <w:color w:val="auto"/>
                <w:highlight w:val="none"/>
              </w:rPr>
            </w:pPr>
            <w:r>
              <w:rPr>
                <w:color w:val="auto"/>
                <w:highlight w:val="none"/>
              </w:rPr>
              <w:t>表4-</w:t>
            </w:r>
            <w:r>
              <w:rPr>
                <w:rFonts w:hint="eastAsia"/>
                <w:color w:val="auto"/>
                <w:highlight w:val="none"/>
                <w:lang w:val="en-US" w:eastAsia="zh-CN"/>
              </w:rPr>
              <w:t xml:space="preserve">19 </w:t>
            </w:r>
            <w:r>
              <w:rPr>
                <w:color w:val="auto"/>
                <w:highlight w:val="none"/>
              </w:rPr>
              <w:t>建设项目</w:t>
            </w:r>
            <w:r>
              <w:rPr>
                <w:rFonts w:hint="eastAsia"/>
                <w:color w:val="auto"/>
                <w:highlight w:val="none"/>
                <w:lang w:eastAsia="zh-CN"/>
              </w:rPr>
              <w:t>“</w:t>
            </w:r>
            <w:r>
              <w:rPr>
                <w:color w:val="auto"/>
                <w:highlight w:val="none"/>
              </w:rPr>
              <w:t>三同时</w:t>
            </w:r>
            <w:r>
              <w:rPr>
                <w:rFonts w:hint="eastAsia"/>
                <w:color w:val="auto"/>
                <w:highlight w:val="none"/>
                <w:lang w:eastAsia="zh-CN"/>
              </w:rPr>
              <w:t>”</w:t>
            </w:r>
            <w:r>
              <w:rPr>
                <w:color w:val="auto"/>
                <w:highlight w:val="none"/>
              </w:rPr>
              <w:t>工程验收一览表</w:t>
            </w:r>
          </w:p>
          <w:tbl>
            <w:tblPr>
              <w:tblStyle w:val="20"/>
              <w:tblW w:w="496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488"/>
              <w:gridCol w:w="3679"/>
              <w:gridCol w:w="2566"/>
            </w:tblGrid>
            <w:tr w14:paraId="535B2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9" w:type="pct"/>
                  <w:vAlign w:val="center"/>
                </w:tcPr>
                <w:p w14:paraId="139C6114">
                  <w:pPr>
                    <w:adjustRightInd w:val="0"/>
                    <w:snapToGrid w:val="0"/>
                    <w:jc w:val="center"/>
                    <w:rPr>
                      <w:b/>
                      <w:bCs/>
                      <w:color w:val="auto"/>
                      <w:highlight w:val="none"/>
                    </w:rPr>
                  </w:pPr>
                  <w:r>
                    <w:rPr>
                      <w:b/>
                      <w:bCs/>
                      <w:color w:val="auto"/>
                      <w:highlight w:val="none"/>
                    </w:rPr>
                    <w:t>类型</w:t>
                  </w:r>
                </w:p>
              </w:tc>
              <w:tc>
                <w:tcPr>
                  <w:tcW w:w="906" w:type="pct"/>
                  <w:vAlign w:val="center"/>
                </w:tcPr>
                <w:p w14:paraId="3437F5BA">
                  <w:pPr>
                    <w:adjustRightInd w:val="0"/>
                    <w:snapToGrid w:val="0"/>
                    <w:jc w:val="center"/>
                    <w:rPr>
                      <w:b/>
                      <w:bCs/>
                      <w:color w:val="auto"/>
                      <w:highlight w:val="none"/>
                    </w:rPr>
                  </w:pPr>
                  <w:r>
                    <w:rPr>
                      <w:b/>
                      <w:bCs/>
                      <w:color w:val="auto"/>
                      <w:highlight w:val="none"/>
                    </w:rPr>
                    <w:t>污染工序</w:t>
                  </w:r>
                </w:p>
              </w:tc>
              <w:tc>
                <w:tcPr>
                  <w:tcW w:w="2241" w:type="pct"/>
                  <w:vAlign w:val="center"/>
                </w:tcPr>
                <w:p w14:paraId="3EF89C9A">
                  <w:pPr>
                    <w:adjustRightInd w:val="0"/>
                    <w:snapToGrid w:val="0"/>
                    <w:jc w:val="center"/>
                    <w:rPr>
                      <w:b/>
                      <w:bCs/>
                      <w:color w:val="auto"/>
                      <w:highlight w:val="none"/>
                    </w:rPr>
                  </w:pPr>
                  <w:r>
                    <w:rPr>
                      <w:b/>
                      <w:bCs/>
                      <w:color w:val="auto"/>
                      <w:highlight w:val="none"/>
                    </w:rPr>
                    <w:t>环保措施</w:t>
                  </w:r>
                </w:p>
              </w:tc>
              <w:tc>
                <w:tcPr>
                  <w:tcW w:w="1562" w:type="pct"/>
                  <w:vAlign w:val="center"/>
                </w:tcPr>
                <w:p w14:paraId="3BB50E9C">
                  <w:pPr>
                    <w:adjustRightInd w:val="0"/>
                    <w:snapToGrid w:val="0"/>
                    <w:jc w:val="center"/>
                    <w:rPr>
                      <w:b/>
                      <w:bCs/>
                      <w:color w:val="auto"/>
                      <w:highlight w:val="none"/>
                    </w:rPr>
                  </w:pPr>
                  <w:r>
                    <w:rPr>
                      <w:b/>
                      <w:bCs/>
                      <w:color w:val="auto"/>
                      <w:highlight w:val="none"/>
                    </w:rPr>
                    <w:t>验收标准</w:t>
                  </w:r>
                </w:p>
              </w:tc>
            </w:tr>
            <w:tr w14:paraId="1FC52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9" w:type="pct"/>
                  <w:vMerge w:val="restart"/>
                  <w:vAlign w:val="center"/>
                </w:tcPr>
                <w:p w14:paraId="76E6E561">
                  <w:pPr>
                    <w:adjustRightInd w:val="0"/>
                    <w:snapToGrid w:val="0"/>
                    <w:jc w:val="center"/>
                    <w:rPr>
                      <w:b/>
                      <w:bCs/>
                      <w:color w:val="auto"/>
                      <w:highlight w:val="none"/>
                    </w:rPr>
                  </w:pPr>
                  <w:r>
                    <w:rPr>
                      <w:color w:val="auto"/>
                      <w:highlight w:val="none"/>
                    </w:rPr>
                    <w:t>废气</w:t>
                  </w:r>
                </w:p>
              </w:tc>
              <w:tc>
                <w:tcPr>
                  <w:tcW w:w="906" w:type="pct"/>
                  <w:vAlign w:val="center"/>
                </w:tcPr>
                <w:p w14:paraId="3C88CE0C">
                  <w:pPr>
                    <w:adjustRightInd w:val="0"/>
                    <w:snapToGrid w:val="0"/>
                    <w:jc w:val="center"/>
                    <w:rPr>
                      <w:color w:val="auto"/>
                      <w:highlight w:val="none"/>
                    </w:rPr>
                  </w:pPr>
                  <w:r>
                    <w:rPr>
                      <w:color w:val="auto"/>
                      <w:kern w:val="0"/>
                      <w:szCs w:val="21"/>
                      <w:highlight w:val="none"/>
                    </w:rPr>
                    <w:t>火化机废气</w:t>
                  </w:r>
                </w:p>
              </w:tc>
              <w:tc>
                <w:tcPr>
                  <w:tcW w:w="2241" w:type="pct"/>
                  <w:vAlign w:val="center"/>
                </w:tcPr>
                <w:p w14:paraId="0F2264A5">
                  <w:pPr>
                    <w:adjustRightInd w:val="0"/>
                    <w:snapToGrid w:val="0"/>
                    <w:jc w:val="center"/>
                    <w:rPr>
                      <w:rFonts w:hint="eastAsia" w:eastAsia="宋体"/>
                      <w:color w:val="auto"/>
                      <w:highlight w:val="none"/>
                      <w:lang w:eastAsia="zh-CN"/>
                    </w:rPr>
                  </w:pPr>
                  <w:r>
                    <w:rPr>
                      <w:rFonts w:hint="eastAsia"/>
                      <w:color w:val="auto"/>
                      <w:highlight w:val="none"/>
                    </w:rPr>
                    <w:t>烟气急冷系统+消石灰+</w:t>
                  </w:r>
                  <w:r>
                    <w:rPr>
                      <w:rFonts w:hint="eastAsia"/>
                      <w:color w:val="auto"/>
                      <w:highlight w:val="none"/>
                      <w:lang w:eastAsia="zh-CN"/>
                    </w:rPr>
                    <w:t>旋风除尘器</w:t>
                  </w:r>
                  <w:r>
                    <w:rPr>
                      <w:color w:val="auto"/>
                      <w:highlight w:val="none"/>
                    </w:rPr>
                    <w:t>+</w:t>
                  </w:r>
                  <w:r>
                    <w:rPr>
                      <w:rFonts w:hint="eastAsia"/>
                      <w:color w:val="auto"/>
                      <w:highlight w:val="none"/>
                      <w:lang w:eastAsia="zh-CN"/>
                    </w:rPr>
                    <w:t>活性炭喷射装置+布袋除尘器</w:t>
                  </w:r>
                  <w:r>
                    <w:rPr>
                      <w:color w:val="auto"/>
                      <w:highlight w:val="none"/>
                    </w:rPr>
                    <w:t>+1根12</w:t>
                  </w:r>
                  <w:r>
                    <w:rPr>
                      <w:rFonts w:hint="eastAsia"/>
                      <w:color w:val="auto"/>
                      <w:highlight w:val="none"/>
                      <w:lang w:eastAsia="zh-CN"/>
                    </w:rPr>
                    <w:t>m</w:t>
                  </w:r>
                  <w:r>
                    <w:rPr>
                      <w:color w:val="auto"/>
                      <w:highlight w:val="none"/>
                    </w:rPr>
                    <w:t>高的排气筒排放</w:t>
                  </w:r>
                  <w:r>
                    <w:rPr>
                      <w:rFonts w:hint="eastAsia"/>
                      <w:color w:val="auto"/>
                      <w:highlight w:val="none"/>
                      <w:lang w:eastAsia="zh-CN"/>
                    </w:rPr>
                    <w:t>。</w:t>
                  </w:r>
                </w:p>
              </w:tc>
              <w:tc>
                <w:tcPr>
                  <w:tcW w:w="1562" w:type="pct"/>
                  <w:vMerge w:val="restart"/>
                  <w:vAlign w:val="center"/>
                </w:tcPr>
                <w:p w14:paraId="1FA51ADC">
                  <w:pPr>
                    <w:adjustRightInd w:val="0"/>
                    <w:snapToGrid w:val="0"/>
                    <w:jc w:val="center"/>
                    <w:rPr>
                      <w:color w:val="auto"/>
                      <w:highlight w:val="none"/>
                    </w:rPr>
                  </w:pPr>
                  <w:r>
                    <w:rPr>
                      <w:color w:val="auto"/>
                      <w:highlight w:val="none"/>
                    </w:rPr>
                    <w:t>《火葬场大气污染排放标准》（GB13801-2015）表2、表3，《恶臭污染物排放标准》（GB14554-93）表2</w:t>
                  </w:r>
                </w:p>
              </w:tc>
            </w:tr>
            <w:tr w14:paraId="6C246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9" w:type="pct"/>
                  <w:vMerge w:val="continue"/>
                  <w:vAlign w:val="center"/>
                </w:tcPr>
                <w:p w14:paraId="54B7C6E3">
                  <w:pPr>
                    <w:adjustRightInd w:val="0"/>
                    <w:snapToGrid w:val="0"/>
                    <w:jc w:val="center"/>
                    <w:rPr>
                      <w:color w:val="auto"/>
                      <w:highlight w:val="none"/>
                    </w:rPr>
                  </w:pPr>
                </w:p>
              </w:tc>
              <w:tc>
                <w:tcPr>
                  <w:tcW w:w="906" w:type="pct"/>
                  <w:vAlign w:val="center"/>
                </w:tcPr>
                <w:p w14:paraId="4DD02CF2">
                  <w:pPr>
                    <w:numPr>
                      <w:ilvl w:val="3"/>
                      <w:numId w:val="0"/>
                    </w:numPr>
                    <w:tabs>
                      <w:tab w:val="left" w:pos="851"/>
                      <w:tab w:val="left" w:pos="2880"/>
                    </w:tabs>
                    <w:adjustRightInd w:val="0"/>
                    <w:snapToGrid w:val="0"/>
                    <w:jc w:val="center"/>
                    <w:rPr>
                      <w:bCs/>
                      <w:color w:val="auto"/>
                      <w:kern w:val="0"/>
                      <w:szCs w:val="21"/>
                      <w:highlight w:val="none"/>
                    </w:rPr>
                  </w:pPr>
                  <w:r>
                    <w:rPr>
                      <w:color w:val="auto"/>
                      <w:szCs w:val="21"/>
                      <w:highlight w:val="none"/>
                    </w:rPr>
                    <w:t>焚烧炉废气</w:t>
                  </w:r>
                </w:p>
              </w:tc>
              <w:tc>
                <w:tcPr>
                  <w:tcW w:w="2241" w:type="pct"/>
                  <w:vAlign w:val="center"/>
                </w:tcPr>
                <w:p w14:paraId="0B6F6909">
                  <w:pPr>
                    <w:numPr>
                      <w:ilvl w:val="3"/>
                      <w:numId w:val="0"/>
                    </w:numPr>
                    <w:tabs>
                      <w:tab w:val="left" w:pos="851"/>
                      <w:tab w:val="left" w:pos="2880"/>
                    </w:tabs>
                    <w:adjustRightInd w:val="0"/>
                    <w:snapToGrid w:val="0"/>
                    <w:jc w:val="center"/>
                    <w:rPr>
                      <w:rFonts w:hint="eastAsia" w:eastAsia="宋体"/>
                      <w:bCs/>
                      <w:color w:val="auto"/>
                      <w:kern w:val="0"/>
                      <w:szCs w:val="21"/>
                      <w:highlight w:val="none"/>
                      <w:lang w:eastAsia="zh-CN"/>
                    </w:rPr>
                  </w:pPr>
                  <w:r>
                    <w:rPr>
                      <w:rFonts w:hint="eastAsia"/>
                      <w:bCs/>
                      <w:color w:val="auto"/>
                      <w:kern w:val="0"/>
                      <w:szCs w:val="21"/>
                      <w:highlight w:val="none"/>
                    </w:rPr>
                    <w:t>烟气急冷系统+消石灰+</w:t>
                  </w:r>
                  <w:r>
                    <w:rPr>
                      <w:rFonts w:hint="eastAsia"/>
                      <w:bCs/>
                      <w:color w:val="auto"/>
                      <w:kern w:val="0"/>
                      <w:szCs w:val="21"/>
                      <w:highlight w:val="none"/>
                      <w:lang w:eastAsia="zh-CN"/>
                    </w:rPr>
                    <w:t>旋风除尘器</w:t>
                  </w:r>
                  <w:r>
                    <w:rPr>
                      <w:bCs/>
                      <w:color w:val="auto"/>
                      <w:kern w:val="0"/>
                      <w:szCs w:val="21"/>
                      <w:highlight w:val="none"/>
                    </w:rPr>
                    <w:t>+</w:t>
                  </w:r>
                  <w:r>
                    <w:rPr>
                      <w:rFonts w:hint="eastAsia"/>
                      <w:bCs/>
                      <w:color w:val="auto"/>
                      <w:kern w:val="0"/>
                      <w:szCs w:val="21"/>
                      <w:highlight w:val="none"/>
                      <w:lang w:eastAsia="zh-CN"/>
                    </w:rPr>
                    <w:t>活性炭喷射装置+布袋除尘器</w:t>
                  </w:r>
                  <w:r>
                    <w:rPr>
                      <w:bCs/>
                      <w:color w:val="auto"/>
                      <w:kern w:val="0"/>
                      <w:szCs w:val="21"/>
                      <w:highlight w:val="none"/>
                    </w:rPr>
                    <w:t>+1根12</w:t>
                  </w:r>
                  <w:r>
                    <w:rPr>
                      <w:rFonts w:hint="eastAsia"/>
                      <w:bCs/>
                      <w:color w:val="auto"/>
                      <w:kern w:val="0"/>
                      <w:szCs w:val="21"/>
                      <w:highlight w:val="none"/>
                      <w:lang w:eastAsia="zh-CN"/>
                    </w:rPr>
                    <w:t>m</w:t>
                  </w:r>
                  <w:r>
                    <w:rPr>
                      <w:bCs/>
                      <w:color w:val="auto"/>
                      <w:kern w:val="0"/>
                      <w:szCs w:val="21"/>
                      <w:highlight w:val="none"/>
                    </w:rPr>
                    <w:t>高的排气筒排放</w:t>
                  </w:r>
                  <w:r>
                    <w:rPr>
                      <w:rFonts w:hint="eastAsia"/>
                      <w:bCs/>
                      <w:color w:val="auto"/>
                      <w:kern w:val="0"/>
                      <w:szCs w:val="21"/>
                      <w:highlight w:val="none"/>
                      <w:lang w:eastAsia="zh-CN"/>
                    </w:rPr>
                    <w:t>。</w:t>
                  </w:r>
                </w:p>
              </w:tc>
              <w:tc>
                <w:tcPr>
                  <w:tcW w:w="1562" w:type="pct"/>
                  <w:vMerge w:val="continue"/>
                  <w:vAlign w:val="center"/>
                </w:tcPr>
                <w:p w14:paraId="08DB3B05">
                  <w:pPr>
                    <w:adjustRightInd w:val="0"/>
                    <w:snapToGrid w:val="0"/>
                    <w:jc w:val="center"/>
                    <w:rPr>
                      <w:color w:val="auto"/>
                      <w:highlight w:val="none"/>
                    </w:rPr>
                  </w:pPr>
                </w:p>
              </w:tc>
            </w:tr>
            <w:tr w14:paraId="56227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9" w:type="pct"/>
                  <w:vAlign w:val="center"/>
                </w:tcPr>
                <w:p w14:paraId="2F9A7A7E">
                  <w:pPr>
                    <w:adjustRightInd w:val="0"/>
                    <w:snapToGrid w:val="0"/>
                    <w:jc w:val="center"/>
                    <w:rPr>
                      <w:color w:val="auto"/>
                      <w:highlight w:val="none"/>
                    </w:rPr>
                  </w:pPr>
                  <w:r>
                    <w:rPr>
                      <w:color w:val="auto"/>
                      <w:highlight w:val="none"/>
                    </w:rPr>
                    <w:t>废水</w:t>
                  </w:r>
                </w:p>
              </w:tc>
              <w:tc>
                <w:tcPr>
                  <w:tcW w:w="906" w:type="pct"/>
                  <w:shd w:val="clear" w:color="auto" w:fill="auto"/>
                  <w:vAlign w:val="center"/>
                </w:tcPr>
                <w:p w14:paraId="7229A293">
                  <w:pPr>
                    <w:numPr>
                      <w:ilvl w:val="3"/>
                      <w:numId w:val="0"/>
                    </w:numPr>
                    <w:tabs>
                      <w:tab w:val="left" w:pos="851"/>
                      <w:tab w:val="left" w:pos="2880"/>
                    </w:tabs>
                    <w:adjustRightInd w:val="0"/>
                    <w:snapToGrid w:val="0"/>
                    <w:jc w:val="center"/>
                    <w:rPr>
                      <w:bCs/>
                      <w:color w:val="auto"/>
                      <w:kern w:val="0"/>
                      <w:szCs w:val="21"/>
                      <w:highlight w:val="none"/>
                    </w:rPr>
                  </w:pPr>
                  <w:r>
                    <w:rPr>
                      <w:bCs/>
                      <w:color w:val="auto"/>
                      <w:kern w:val="0"/>
                      <w:szCs w:val="21"/>
                      <w:highlight w:val="none"/>
                    </w:rPr>
                    <w:t>生活污水、餐饮废水、遗体处置废水、解剖废水</w:t>
                  </w:r>
                  <w:r>
                    <w:rPr>
                      <w:rFonts w:hint="eastAsia"/>
                      <w:bCs/>
                      <w:color w:val="auto"/>
                      <w:kern w:val="0"/>
                      <w:szCs w:val="21"/>
                      <w:highlight w:val="none"/>
                      <w:lang w:eastAsia="zh-CN"/>
                    </w:rPr>
                    <w:t>和</w:t>
                  </w:r>
                  <w:r>
                    <w:rPr>
                      <w:bCs/>
                      <w:color w:val="auto"/>
                      <w:kern w:val="0"/>
                      <w:szCs w:val="21"/>
                      <w:highlight w:val="none"/>
                    </w:rPr>
                    <w:t>殡仪车辆清洗废水</w:t>
                  </w:r>
                </w:p>
              </w:tc>
              <w:tc>
                <w:tcPr>
                  <w:tcW w:w="2241" w:type="pct"/>
                  <w:shd w:val="clear" w:color="auto" w:fill="auto"/>
                  <w:vAlign w:val="center"/>
                </w:tcPr>
                <w:p w14:paraId="4F43393B">
                  <w:pPr>
                    <w:numPr>
                      <w:ilvl w:val="3"/>
                      <w:numId w:val="0"/>
                    </w:numPr>
                    <w:tabs>
                      <w:tab w:val="left" w:pos="851"/>
                      <w:tab w:val="left" w:pos="2880"/>
                    </w:tabs>
                    <w:adjustRightInd w:val="0"/>
                    <w:snapToGrid w:val="0"/>
                    <w:jc w:val="center"/>
                    <w:rPr>
                      <w:rFonts w:hint="eastAsia" w:eastAsia="宋体"/>
                      <w:bCs/>
                      <w:color w:val="auto"/>
                      <w:kern w:val="0"/>
                      <w:szCs w:val="21"/>
                      <w:highlight w:val="none"/>
                      <w:lang w:eastAsia="zh-CN"/>
                    </w:rPr>
                  </w:pPr>
                  <w:r>
                    <w:rPr>
                      <w:bCs/>
                      <w:color w:val="auto"/>
                      <w:kern w:val="0"/>
                      <w:szCs w:val="21"/>
                      <w:highlight w:val="none"/>
                    </w:rPr>
                    <w:t>暂存于化粪池（20</w:t>
                  </w:r>
                  <w:r>
                    <w:rPr>
                      <w:rFonts w:hint="eastAsia"/>
                      <w:bCs/>
                      <w:color w:val="auto"/>
                      <w:kern w:val="0"/>
                      <w:szCs w:val="21"/>
                      <w:highlight w:val="none"/>
                      <w:vertAlign w:val="baseline"/>
                      <w:lang w:eastAsia="zh-CN"/>
                    </w:rPr>
                    <w:t>m</w:t>
                  </w:r>
                  <w:r>
                    <w:rPr>
                      <w:rFonts w:hint="eastAsia"/>
                      <w:bCs/>
                      <w:color w:val="auto"/>
                      <w:kern w:val="0"/>
                      <w:szCs w:val="21"/>
                      <w:highlight w:val="none"/>
                      <w:vertAlign w:val="superscript"/>
                      <w:lang w:eastAsia="zh-CN"/>
                    </w:rPr>
                    <w:t>3</w:t>
                  </w:r>
                  <w:r>
                    <w:rPr>
                      <w:bCs/>
                      <w:color w:val="auto"/>
                      <w:kern w:val="0"/>
                      <w:szCs w:val="21"/>
                      <w:highlight w:val="none"/>
                    </w:rPr>
                    <w:t>）内，定期拉运至杭锦旗锡尼镇污水处理厂处理</w:t>
                  </w:r>
                  <w:r>
                    <w:rPr>
                      <w:rFonts w:hint="eastAsia"/>
                      <w:bCs/>
                      <w:color w:val="auto"/>
                      <w:kern w:val="0"/>
                      <w:szCs w:val="21"/>
                      <w:highlight w:val="none"/>
                      <w:lang w:eastAsia="zh-CN"/>
                    </w:rPr>
                    <w:t>。</w:t>
                  </w:r>
                </w:p>
              </w:tc>
              <w:tc>
                <w:tcPr>
                  <w:tcW w:w="1562" w:type="pct"/>
                  <w:vAlign w:val="center"/>
                </w:tcPr>
                <w:p w14:paraId="1650B5FB">
                  <w:pPr>
                    <w:adjustRightInd w:val="0"/>
                    <w:snapToGrid w:val="0"/>
                    <w:jc w:val="center"/>
                    <w:rPr>
                      <w:color w:val="auto"/>
                      <w:highlight w:val="none"/>
                    </w:rPr>
                  </w:pPr>
                  <w:r>
                    <w:rPr>
                      <w:color w:val="auto"/>
                      <w:highlight w:val="none"/>
                    </w:rPr>
                    <w:t>《污水综合排放标准》（GB8978-1996）表4三级标准</w:t>
                  </w:r>
                </w:p>
              </w:tc>
            </w:tr>
            <w:tr w14:paraId="19C36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9" w:type="pct"/>
                  <w:vAlign w:val="center"/>
                </w:tcPr>
                <w:p w14:paraId="3879A405">
                  <w:pPr>
                    <w:adjustRightInd w:val="0"/>
                    <w:snapToGrid w:val="0"/>
                    <w:rPr>
                      <w:color w:val="auto"/>
                      <w:highlight w:val="none"/>
                    </w:rPr>
                  </w:pPr>
                  <w:r>
                    <w:rPr>
                      <w:color w:val="auto"/>
                      <w:highlight w:val="none"/>
                    </w:rPr>
                    <w:t>噪声</w:t>
                  </w:r>
                </w:p>
              </w:tc>
              <w:tc>
                <w:tcPr>
                  <w:tcW w:w="906" w:type="pct"/>
                  <w:vAlign w:val="center"/>
                </w:tcPr>
                <w:p w14:paraId="255393F3">
                  <w:pPr>
                    <w:adjustRightInd w:val="0"/>
                    <w:snapToGrid w:val="0"/>
                    <w:jc w:val="center"/>
                    <w:rPr>
                      <w:color w:val="auto"/>
                      <w:highlight w:val="none"/>
                    </w:rPr>
                  </w:pPr>
                  <w:r>
                    <w:rPr>
                      <w:color w:val="auto"/>
                      <w:highlight w:val="none"/>
                    </w:rPr>
                    <w:t>生产设备</w:t>
                  </w:r>
                </w:p>
              </w:tc>
              <w:tc>
                <w:tcPr>
                  <w:tcW w:w="2241" w:type="pct"/>
                  <w:vAlign w:val="center"/>
                </w:tcPr>
                <w:p w14:paraId="616072BA">
                  <w:pPr>
                    <w:adjustRightInd w:val="0"/>
                    <w:snapToGrid w:val="0"/>
                    <w:jc w:val="center"/>
                    <w:rPr>
                      <w:rFonts w:hint="eastAsia" w:eastAsia="宋体"/>
                      <w:color w:val="auto"/>
                      <w:highlight w:val="none"/>
                      <w:lang w:eastAsia="zh-CN"/>
                    </w:rPr>
                  </w:pPr>
                  <w:r>
                    <w:rPr>
                      <w:color w:val="auto"/>
                      <w:highlight w:val="none"/>
                    </w:rPr>
                    <w:t>选用低噪声设备，基础减振、并经距离衰减后可有效减轻噪声对外界的影响</w:t>
                  </w:r>
                  <w:r>
                    <w:rPr>
                      <w:rFonts w:hint="eastAsia"/>
                      <w:color w:val="auto"/>
                      <w:highlight w:val="none"/>
                      <w:lang w:eastAsia="zh-CN"/>
                    </w:rPr>
                    <w:t>。</w:t>
                  </w:r>
                </w:p>
              </w:tc>
              <w:tc>
                <w:tcPr>
                  <w:tcW w:w="1562" w:type="pct"/>
                  <w:vAlign w:val="center"/>
                </w:tcPr>
                <w:p w14:paraId="1A2B6E45">
                  <w:pPr>
                    <w:adjustRightInd w:val="0"/>
                    <w:snapToGrid w:val="0"/>
                    <w:jc w:val="center"/>
                    <w:rPr>
                      <w:color w:val="auto"/>
                      <w:highlight w:val="none"/>
                    </w:rPr>
                  </w:pPr>
                  <w:r>
                    <w:rPr>
                      <w:color w:val="auto"/>
                      <w:highlight w:val="none"/>
                    </w:rPr>
                    <w:t>《工业企业厂界环境噪声排放标准》（GB12348-2008）1类标准要求</w:t>
                  </w:r>
                </w:p>
              </w:tc>
            </w:tr>
            <w:tr w14:paraId="7193E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9" w:type="pct"/>
                  <w:vMerge w:val="restart"/>
                  <w:vAlign w:val="center"/>
                </w:tcPr>
                <w:p w14:paraId="6B40626F">
                  <w:pPr>
                    <w:adjustRightInd w:val="0"/>
                    <w:snapToGrid w:val="0"/>
                    <w:rPr>
                      <w:color w:val="auto"/>
                      <w:highlight w:val="none"/>
                    </w:rPr>
                  </w:pPr>
                  <w:r>
                    <w:rPr>
                      <w:color w:val="auto"/>
                      <w:highlight w:val="none"/>
                    </w:rPr>
                    <w:t>固废</w:t>
                  </w:r>
                </w:p>
              </w:tc>
              <w:tc>
                <w:tcPr>
                  <w:tcW w:w="906" w:type="pct"/>
                  <w:shd w:val="clear" w:color="auto" w:fill="auto"/>
                  <w:vAlign w:val="center"/>
                </w:tcPr>
                <w:p w14:paraId="7B027D70">
                  <w:pPr>
                    <w:numPr>
                      <w:ilvl w:val="3"/>
                      <w:numId w:val="0"/>
                    </w:numPr>
                    <w:tabs>
                      <w:tab w:val="left" w:pos="851"/>
                      <w:tab w:val="left" w:pos="2880"/>
                    </w:tabs>
                    <w:adjustRightInd w:val="0"/>
                    <w:snapToGrid w:val="0"/>
                    <w:jc w:val="center"/>
                    <w:rPr>
                      <w:bCs/>
                      <w:color w:val="auto"/>
                      <w:kern w:val="0"/>
                      <w:szCs w:val="21"/>
                      <w:highlight w:val="none"/>
                    </w:rPr>
                  </w:pPr>
                  <w:r>
                    <w:rPr>
                      <w:bCs/>
                      <w:color w:val="auto"/>
                      <w:szCs w:val="21"/>
                      <w:highlight w:val="none"/>
                    </w:rPr>
                    <w:t>生活垃圾</w:t>
                  </w:r>
                </w:p>
              </w:tc>
              <w:tc>
                <w:tcPr>
                  <w:tcW w:w="2241" w:type="pct"/>
                  <w:shd w:val="clear" w:color="auto" w:fill="auto"/>
                  <w:vAlign w:val="center"/>
                </w:tcPr>
                <w:p w14:paraId="6EE2611E">
                  <w:pPr>
                    <w:numPr>
                      <w:ilvl w:val="3"/>
                      <w:numId w:val="0"/>
                    </w:numPr>
                    <w:tabs>
                      <w:tab w:val="left" w:pos="851"/>
                      <w:tab w:val="left" w:pos="2880"/>
                    </w:tabs>
                    <w:adjustRightInd w:val="0"/>
                    <w:snapToGrid w:val="0"/>
                    <w:jc w:val="center"/>
                    <w:rPr>
                      <w:rFonts w:hint="eastAsia" w:eastAsia="宋体"/>
                      <w:bCs/>
                      <w:color w:val="auto"/>
                      <w:kern w:val="0"/>
                      <w:szCs w:val="21"/>
                      <w:highlight w:val="none"/>
                      <w:lang w:eastAsia="zh-CN"/>
                    </w:rPr>
                  </w:pPr>
                  <w:r>
                    <w:rPr>
                      <w:color w:val="auto"/>
                      <w:szCs w:val="21"/>
                      <w:highlight w:val="none"/>
                    </w:rPr>
                    <w:t>经厂内垃圾箱收集后交由当地环卫部门定期清运处理</w:t>
                  </w:r>
                  <w:r>
                    <w:rPr>
                      <w:rFonts w:hint="eastAsia"/>
                      <w:color w:val="auto"/>
                      <w:szCs w:val="21"/>
                      <w:highlight w:val="none"/>
                      <w:lang w:eastAsia="zh-CN"/>
                    </w:rPr>
                    <w:t>。</w:t>
                  </w:r>
                </w:p>
              </w:tc>
              <w:tc>
                <w:tcPr>
                  <w:tcW w:w="1562" w:type="pct"/>
                  <w:vAlign w:val="center"/>
                </w:tcPr>
                <w:p w14:paraId="70B4FF48">
                  <w:pPr>
                    <w:adjustRightInd w:val="0"/>
                    <w:snapToGrid w:val="0"/>
                    <w:jc w:val="center"/>
                    <w:rPr>
                      <w:color w:val="auto"/>
                      <w:highlight w:val="none"/>
                    </w:rPr>
                  </w:pPr>
                  <w:r>
                    <w:rPr>
                      <w:color w:val="auto"/>
                      <w:highlight w:val="none"/>
                    </w:rPr>
                    <w:t>/</w:t>
                  </w:r>
                </w:p>
              </w:tc>
            </w:tr>
            <w:tr w14:paraId="24284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9" w:type="pct"/>
                  <w:vMerge w:val="continue"/>
                  <w:vAlign w:val="center"/>
                </w:tcPr>
                <w:p w14:paraId="4278C855">
                  <w:pPr>
                    <w:adjustRightInd w:val="0"/>
                    <w:snapToGrid w:val="0"/>
                    <w:rPr>
                      <w:color w:val="auto"/>
                      <w:highlight w:val="none"/>
                    </w:rPr>
                  </w:pPr>
                </w:p>
              </w:tc>
              <w:tc>
                <w:tcPr>
                  <w:tcW w:w="906" w:type="pct"/>
                  <w:vAlign w:val="center"/>
                </w:tcPr>
                <w:p w14:paraId="292B9EAD">
                  <w:pPr>
                    <w:numPr>
                      <w:ilvl w:val="3"/>
                      <w:numId w:val="0"/>
                    </w:numPr>
                    <w:tabs>
                      <w:tab w:val="left" w:pos="851"/>
                      <w:tab w:val="left" w:pos="2880"/>
                    </w:tabs>
                    <w:adjustRightInd w:val="0"/>
                    <w:snapToGrid w:val="0"/>
                    <w:jc w:val="center"/>
                    <w:rPr>
                      <w:rFonts w:hint="eastAsia" w:eastAsia="宋体"/>
                      <w:bCs/>
                      <w:color w:val="auto"/>
                      <w:kern w:val="0"/>
                      <w:szCs w:val="21"/>
                      <w:highlight w:val="none"/>
                      <w:lang w:eastAsia="zh-CN"/>
                    </w:rPr>
                  </w:pPr>
                  <w:r>
                    <w:rPr>
                      <w:rFonts w:hint="eastAsia" w:eastAsia="宋体"/>
                      <w:bCs/>
                      <w:color w:val="auto"/>
                      <w:szCs w:val="21"/>
                      <w:highlight w:val="none"/>
                      <w:lang w:eastAsia="zh-CN"/>
                    </w:rPr>
                    <w:t>除尘灰（含废活性炭）、焚烧炉渣、除酸废渣、废布袋、</w:t>
                  </w:r>
                  <w:r>
                    <w:rPr>
                      <w:rFonts w:hint="eastAsia" w:ascii="Times New Roman" w:eastAsia="宋体"/>
                      <w:bCs/>
                      <w:color w:val="auto"/>
                      <w:szCs w:val="21"/>
                      <w:highlight w:val="none"/>
                      <w:lang w:val="en-US" w:eastAsia="zh-CN"/>
                    </w:rPr>
                    <w:t>废矿物油</w:t>
                  </w:r>
                  <w:r>
                    <w:rPr>
                      <w:rFonts w:hint="eastAsia"/>
                      <w:bCs/>
                      <w:color w:val="auto"/>
                      <w:szCs w:val="21"/>
                      <w:highlight w:val="none"/>
                      <w:lang w:val="en-US" w:eastAsia="zh-CN"/>
                    </w:rPr>
                    <w:t>和</w:t>
                  </w:r>
                  <w:r>
                    <w:rPr>
                      <w:rFonts w:hint="eastAsia" w:ascii="Times New Roman" w:eastAsia="宋体"/>
                      <w:bCs/>
                      <w:color w:val="auto"/>
                      <w:szCs w:val="21"/>
                      <w:highlight w:val="none"/>
                      <w:lang w:val="en-US" w:eastAsia="zh-CN"/>
                    </w:rPr>
                    <w:t>废油桶</w:t>
                  </w:r>
                </w:p>
              </w:tc>
              <w:tc>
                <w:tcPr>
                  <w:tcW w:w="2241" w:type="pct"/>
                  <w:shd w:val="clear" w:color="auto" w:fill="auto"/>
                  <w:vAlign w:val="center"/>
                </w:tcPr>
                <w:p w14:paraId="2D199F95">
                  <w:pPr>
                    <w:adjustRightInd w:val="0"/>
                    <w:snapToGrid w:val="0"/>
                    <w:jc w:val="center"/>
                    <w:rPr>
                      <w:rFonts w:hint="eastAsia" w:eastAsia="宋体"/>
                      <w:bCs/>
                      <w:color w:val="auto"/>
                      <w:kern w:val="0"/>
                      <w:szCs w:val="21"/>
                      <w:highlight w:val="none"/>
                      <w:lang w:eastAsia="zh-CN"/>
                    </w:rPr>
                  </w:pPr>
                  <w:r>
                    <w:rPr>
                      <w:bCs/>
                      <w:color w:val="auto"/>
                      <w:szCs w:val="21"/>
                      <w:highlight w:val="none"/>
                    </w:rPr>
                    <w:t>集中收集至危废暂存间内，最终交有资质单位处置</w:t>
                  </w:r>
                  <w:r>
                    <w:rPr>
                      <w:rFonts w:hint="eastAsia"/>
                      <w:bCs/>
                      <w:color w:val="auto"/>
                      <w:szCs w:val="21"/>
                      <w:highlight w:val="none"/>
                      <w:lang w:eastAsia="zh-CN"/>
                    </w:rPr>
                    <w:t>。</w:t>
                  </w:r>
                </w:p>
              </w:tc>
              <w:tc>
                <w:tcPr>
                  <w:tcW w:w="1562" w:type="pct"/>
                  <w:vAlign w:val="center"/>
                </w:tcPr>
                <w:p w14:paraId="7EB13C8F">
                  <w:pPr>
                    <w:adjustRightInd w:val="0"/>
                    <w:snapToGrid w:val="0"/>
                    <w:jc w:val="center"/>
                    <w:rPr>
                      <w:color w:val="auto"/>
                      <w:highlight w:val="none"/>
                    </w:rPr>
                  </w:pPr>
                  <w:r>
                    <w:rPr>
                      <w:bCs/>
                      <w:color w:val="auto"/>
                      <w:highlight w:val="none"/>
                    </w:rPr>
                    <w:t>《危险废物贮存污染控制标准》（GB18597-2023）</w:t>
                  </w:r>
                </w:p>
              </w:tc>
            </w:tr>
            <w:tr w14:paraId="6774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96" w:type="pct"/>
                  <w:gridSpan w:val="2"/>
                  <w:vAlign w:val="center"/>
                </w:tcPr>
                <w:p w14:paraId="479FC77D">
                  <w:pPr>
                    <w:adjustRightInd w:val="0"/>
                    <w:snapToGrid w:val="0"/>
                    <w:jc w:val="center"/>
                    <w:rPr>
                      <w:bCs/>
                      <w:color w:val="auto"/>
                      <w:szCs w:val="21"/>
                      <w:highlight w:val="none"/>
                    </w:rPr>
                  </w:pPr>
                  <w:r>
                    <w:rPr>
                      <w:rFonts w:hint="eastAsia"/>
                      <w:bCs/>
                      <w:color w:val="auto"/>
                      <w:szCs w:val="21"/>
                      <w:highlight w:val="none"/>
                    </w:rPr>
                    <w:t>防渗</w:t>
                  </w:r>
                </w:p>
              </w:tc>
              <w:tc>
                <w:tcPr>
                  <w:tcW w:w="2241" w:type="pct"/>
                  <w:shd w:val="clear" w:color="auto" w:fill="auto"/>
                  <w:vAlign w:val="center"/>
                </w:tcPr>
                <w:p w14:paraId="0D5ABEA1">
                  <w:pPr>
                    <w:widowControl/>
                    <w:rPr>
                      <w:color w:val="auto"/>
                      <w:kern w:val="0"/>
                      <w:szCs w:val="21"/>
                      <w:highlight w:val="none"/>
                    </w:rPr>
                  </w:pPr>
                  <w:r>
                    <w:rPr>
                      <w:color w:val="auto"/>
                      <w:kern w:val="0"/>
                      <w:szCs w:val="21"/>
                      <w:highlight w:val="none"/>
                    </w:rPr>
                    <w:t>重点防渗区：危废暂存间、储油间地面、裙角以及导流槽</w:t>
                  </w:r>
                  <w:r>
                    <w:rPr>
                      <w:rFonts w:hint="eastAsia"/>
                      <w:color w:val="auto"/>
                      <w:kern w:val="0"/>
                      <w:szCs w:val="21"/>
                      <w:highlight w:val="none"/>
                      <w:lang w:eastAsia="zh-CN"/>
                    </w:rPr>
                    <w:t>和</w:t>
                  </w:r>
                  <w:r>
                    <w:rPr>
                      <w:color w:val="auto"/>
                      <w:kern w:val="0"/>
                      <w:szCs w:val="21"/>
                      <w:highlight w:val="none"/>
                    </w:rPr>
                    <w:t>集液池基础防渗措施：防渗层为至少2</w:t>
                  </w:r>
                  <w:r>
                    <w:rPr>
                      <w:rFonts w:hint="eastAsia"/>
                      <w:color w:val="auto"/>
                      <w:kern w:val="0"/>
                      <w:szCs w:val="21"/>
                      <w:highlight w:val="none"/>
                      <w:lang w:eastAsia="zh-CN"/>
                    </w:rPr>
                    <w:t>mm</w:t>
                  </w:r>
                  <w:r>
                    <w:rPr>
                      <w:color w:val="auto"/>
                      <w:kern w:val="0"/>
                      <w:szCs w:val="21"/>
                      <w:highlight w:val="none"/>
                    </w:rPr>
                    <w:t>厚</w:t>
                  </w:r>
                  <w:r>
                    <w:rPr>
                      <w:rFonts w:hint="eastAsia"/>
                      <w:color w:val="auto"/>
                      <w:kern w:val="0"/>
                      <w:szCs w:val="21"/>
                      <w:highlight w:val="none"/>
                      <w:lang w:eastAsia="zh-CN"/>
                    </w:rPr>
                    <w:t>的</w:t>
                  </w:r>
                  <w:r>
                    <w:rPr>
                      <w:color w:val="auto"/>
                      <w:kern w:val="0"/>
                      <w:szCs w:val="21"/>
                      <w:highlight w:val="none"/>
                    </w:rPr>
                    <w:t>高密度聚乙烯膜（渗透系数不大于10</w:t>
                  </w:r>
                  <w:r>
                    <w:rPr>
                      <w:color w:val="auto"/>
                      <w:kern w:val="0"/>
                      <w:szCs w:val="21"/>
                      <w:highlight w:val="none"/>
                      <w:vertAlign w:val="superscript"/>
                    </w:rPr>
                    <w:t>-10</w:t>
                  </w:r>
                  <w:r>
                    <w:rPr>
                      <w:color w:val="auto"/>
                      <w:kern w:val="0"/>
                      <w:szCs w:val="21"/>
                      <w:highlight w:val="none"/>
                    </w:rPr>
                    <w:t>c</w:t>
                  </w:r>
                  <w:r>
                    <w:rPr>
                      <w:rFonts w:hint="eastAsia"/>
                      <w:color w:val="auto"/>
                      <w:kern w:val="0"/>
                      <w:szCs w:val="21"/>
                      <w:highlight w:val="none"/>
                      <w:lang w:eastAsia="zh-CN"/>
                    </w:rPr>
                    <w:t>m</w:t>
                  </w:r>
                  <w:r>
                    <w:rPr>
                      <w:color w:val="auto"/>
                      <w:kern w:val="0"/>
                      <w:szCs w:val="21"/>
                      <w:highlight w:val="none"/>
                    </w:rPr>
                    <w:t>/s），地面、裙角以及导流槽</w:t>
                  </w:r>
                  <w:r>
                    <w:rPr>
                      <w:rFonts w:hint="eastAsia"/>
                      <w:color w:val="auto"/>
                      <w:kern w:val="0"/>
                      <w:szCs w:val="21"/>
                      <w:highlight w:val="none"/>
                      <w:lang w:eastAsia="zh-CN"/>
                    </w:rPr>
                    <w:t>和</w:t>
                  </w:r>
                  <w:r>
                    <w:rPr>
                      <w:color w:val="auto"/>
                      <w:kern w:val="0"/>
                      <w:szCs w:val="21"/>
                      <w:highlight w:val="none"/>
                    </w:rPr>
                    <w:t>集液池表面防渗采用抗渗混凝土。</w:t>
                  </w:r>
                </w:p>
                <w:p w14:paraId="1E07301A">
                  <w:pPr>
                    <w:widowControl/>
                    <w:rPr>
                      <w:color w:val="auto"/>
                      <w:kern w:val="0"/>
                      <w:szCs w:val="21"/>
                      <w:highlight w:val="none"/>
                    </w:rPr>
                  </w:pPr>
                  <w:r>
                    <w:rPr>
                      <w:color w:val="auto"/>
                      <w:kern w:val="0"/>
                      <w:szCs w:val="21"/>
                      <w:highlight w:val="none"/>
                    </w:rPr>
                    <w:t>一般防渗区：采用玻璃钢化粪池。</w:t>
                  </w:r>
                </w:p>
                <w:p w14:paraId="1605A9C0">
                  <w:pPr>
                    <w:adjustRightInd w:val="0"/>
                    <w:snapToGrid w:val="0"/>
                    <w:rPr>
                      <w:bCs/>
                      <w:color w:val="auto"/>
                      <w:szCs w:val="21"/>
                      <w:highlight w:val="none"/>
                    </w:rPr>
                  </w:pPr>
                  <w:r>
                    <w:rPr>
                      <w:color w:val="auto"/>
                      <w:kern w:val="0"/>
                      <w:szCs w:val="21"/>
                      <w:highlight w:val="none"/>
                    </w:rPr>
                    <w:t>简单防渗区：其他区域采用水泥进行地面硬化。</w:t>
                  </w:r>
                </w:p>
              </w:tc>
              <w:tc>
                <w:tcPr>
                  <w:tcW w:w="1562" w:type="pct"/>
                  <w:vAlign w:val="center"/>
                </w:tcPr>
                <w:p w14:paraId="1EC991A4">
                  <w:pPr>
                    <w:adjustRightInd w:val="0"/>
                    <w:snapToGrid w:val="0"/>
                    <w:jc w:val="center"/>
                    <w:rPr>
                      <w:bCs/>
                      <w:color w:val="auto"/>
                      <w:highlight w:val="none"/>
                    </w:rPr>
                  </w:pPr>
                  <w:r>
                    <w:rPr>
                      <w:rFonts w:hint="eastAsia"/>
                      <w:bCs/>
                      <w:color w:val="auto"/>
                      <w:highlight w:val="none"/>
                    </w:rPr>
                    <w:t>《危险废物贮存污染控制标准》（GB18597-2023）</w:t>
                  </w:r>
                </w:p>
              </w:tc>
            </w:tr>
          </w:tbl>
          <w:p w14:paraId="46B70451">
            <w:pPr>
              <w:spacing w:before="240" w:line="360" w:lineRule="auto"/>
              <w:rPr>
                <w:b/>
                <w:bCs/>
                <w:color w:val="auto"/>
                <w:sz w:val="24"/>
                <w:highlight w:val="none"/>
              </w:rPr>
            </w:pPr>
            <w:r>
              <w:rPr>
                <w:b/>
                <w:bCs/>
                <w:color w:val="auto"/>
                <w:sz w:val="24"/>
                <w:highlight w:val="none"/>
              </w:rPr>
              <w:t>8.环保治理措施及投资估算</w:t>
            </w:r>
          </w:p>
          <w:p w14:paraId="1BA7AEB1">
            <w:pPr>
              <w:snapToGrid w:val="0"/>
              <w:spacing w:line="360" w:lineRule="auto"/>
              <w:ind w:firstLine="480" w:firstLineChars="200"/>
              <w:jc w:val="left"/>
              <w:rPr>
                <w:color w:val="auto"/>
                <w:sz w:val="24"/>
                <w:highlight w:val="none"/>
              </w:rPr>
            </w:pPr>
            <w:r>
              <w:rPr>
                <w:color w:val="auto"/>
                <w:sz w:val="24"/>
                <w:highlight w:val="none"/>
              </w:rPr>
              <w:t>本期工程总投资</w:t>
            </w:r>
            <w:r>
              <w:rPr>
                <w:rFonts w:hint="eastAsia"/>
                <w:color w:val="auto"/>
                <w:sz w:val="24"/>
                <w:highlight w:val="none"/>
                <w:lang w:val="en-US" w:eastAsia="zh-CN"/>
              </w:rPr>
              <w:t>1500</w:t>
            </w:r>
            <w:r>
              <w:rPr>
                <w:color w:val="auto"/>
                <w:sz w:val="24"/>
                <w:highlight w:val="none"/>
              </w:rPr>
              <w:t>万元</w:t>
            </w:r>
            <w:r>
              <w:rPr>
                <w:rFonts w:hint="eastAsia"/>
                <w:color w:val="auto"/>
                <w:sz w:val="24"/>
                <w:highlight w:val="none"/>
                <w:lang w:eastAsia="zh-CN"/>
              </w:rPr>
              <w:t>，</w:t>
            </w:r>
            <w:r>
              <w:rPr>
                <w:rFonts w:hint="eastAsia"/>
                <w:color w:val="auto"/>
                <w:sz w:val="24"/>
                <w:highlight w:val="none"/>
                <w:lang w:val="en-US" w:eastAsia="zh-CN"/>
              </w:rPr>
              <w:t>其中</w:t>
            </w:r>
            <w:r>
              <w:rPr>
                <w:color w:val="auto"/>
                <w:sz w:val="24"/>
                <w:highlight w:val="none"/>
              </w:rPr>
              <w:t>环保投资</w:t>
            </w:r>
            <w:r>
              <w:rPr>
                <w:rFonts w:hint="eastAsia"/>
                <w:color w:val="auto"/>
                <w:sz w:val="24"/>
                <w:highlight w:val="none"/>
                <w:lang w:val="en-US" w:eastAsia="zh-CN"/>
              </w:rPr>
              <w:t>75</w:t>
            </w:r>
            <w:r>
              <w:rPr>
                <w:color w:val="auto"/>
                <w:sz w:val="24"/>
                <w:highlight w:val="none"/>
              </w:rPr>
              <w:t>万元，占</w:t>
            </w:r>
            <w:r>
              <w:rPr>
                <w:rFonts w:hint="eastAsia"/>
                <w:color w:val="auto"/>
                <w:sz w:val="24"/>
                <w:highlight w:val="none"/>
                <w:lang w:val="en-US" w:eastAsia="zh-CN"/>
              </w:rPr>
              <w:t>总投资的5</w:t>
            </w:r>
            <w:r>
              <w:rPr>
                <w:color w:val="auto"/>
                <w:sz w:val="24"/>
                <w:highlight w:val="none"/>
              </w:rPr>
              <w:t>%。环保投资估算明细见表4-2</w:t>
            </w:r>
            <w:r>
              <w:rPr>
                <w:rFonts w:hint="eastAsia"/>
                <w:color w:val="auto"/>
                <w:sz w:val="24"/>
                <w:highlight w:val="none"/>
                <w:lang w:val="en-US" w:eastAsia="zh-CN"/>
              </w:rPr>
              <w:t>0</w:t>
            </w:r>
            <w:r>
              <w:rPr>
                <w:color w:val="auto"/>
                <w:sz w:val="24"/>
                <w:highlight w:val="none"/>
              </w:rPr>
              <w:t>。</w:t>
            </w:r>
          </w:p>
          <w:p w14:paraId="033F8BB8">
            <w:pPr>
              <w:pStyle w:val="29"/>
              <w:jc w:val="center"/>
              <w:rPr>
                <w:color w:val="auto"/>
                <w:highlight w:val="none"/>
              </w:rPr>
            </w:pPr>
            <w:r>
              <w:rPr>
                <w:color w:val="auto"/>
                <w:highlight w:val="none"/>
              </w:rPr>
              <w:t>表4-2</w:t>
            </w:r>
            <w:r>
              <w:rPr>
                <w:rFonts w:hint="eastAsia"/>
                <w:color w:val="auto"/>
                <w:highlight w:val="none"/>
                <w:lang w:val="en-US" w:eastAsia="zh-CN"/>
              </w:rPr>
              <w:t>0</w:t>
            </w:r>
            <w:r>
              <w:rPr>
                <w:color w:val="auto"/>
                <w:highlight w:val="none"/>
              </w:rPr>
              <w:t xml:space="preserve"> </w:t>
            </w:r>
            <w:r>
              <w:rPr>
                <w:rFonts w:hint="eastAsia"/>
                <w:color w:val="auto"/>
                <w:highlight w:val="none"/>
              </w:rPr>
              <w:t>本</w:t>
            </w:r>
            <w:r>
              <w:rPr>
                <w:color w:val="auto"/>
                <w:highlight w:val="none"/>
              </w:rPr>
              <w:t>工程环境保护投资估算一览表</w:t>
            </w:r>
            <w:r>
              <w:rPr>
                <w:rFonts w:hint="eastAsia"/>
                <w:color w:val="auto"/>
                <w:highlight w:val="none"/>
                <w:lang w:eastAsia="zh-CN"/>
              </w:rPr>
              <w:t>（</w:t>
            </w:r>
            <w:r>
              <w:rPr>
                <w:color w:val="auto"/>
                <w:highlight w:val="none"/>
              </w:rPr>
              <w:t>单位：万元</w:t>
            </w:r>
            <w:r>
              <w:rPr>
                <w:rFonts w:hint="eastAsia"/>
                <w:color w:val="auto"/>
                <w:highlight w:val="none"/>
                <w:lang w:eastAsia="zh-CN"/>
              </w:rPr>
              <w:t>）</w:t>
            </w:r>
          </w:p>
          <w:tbl>
            <w:tblPr>
              <w:tblStyle w:val="20"/>
              <w:tblW w:w="5000" w:type="pct"/>
              <w:tblInd w:w="-5"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0" w:type="dxa"/>
                <w:bottom w:w="0" w:type="dxa"/>
                <w:right w:w="0" w:type="dxa"/>
              </w:tblCellMar>
            </w:tblPr>
            <w:tblGrid>
              <w:gridCol w:w="518"/>
              <w:gridCol w:w="2054"/>
              <w:gridCol w:w="4001"/>
              <w:gridCol w:w="850"/>
              <w:gridCol w:w="851"/>
            </w:tblGrid>
            <w:tr w14:paraId="5398F7C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18" w:type="dxa"/>
                  <w:shd w:val="clear" w:color="auto" w:fill="auto"/>
                  <w:vAlign w:val="center"/>
                </w:tcPr>
                <w:p w14:paraId="627B1F12">
                  <w:pPr>
                    <w:widowControl/>
                    <w:jc w:val="center"/>
                    <w:rPr>
                      <w:b/>
                      <w:bCs/>
                      <w:color w:val="auto"/>
                      <w:kern w:val="0"/>
                      <w:szCs w:val="21"/>
                      <w:highlight w:val="none"/>
                    </w:rPr>
                  </w:pPr>
                  <w:bookmarkStart w:id="8" w:name="_Hlk81554350"/>
                  <w:r>
                    <w:rPr>
                      <w:b/>
                      <w:bCs/>
                      <w:color w:val="auto"/>
                      <w:kern w:val="0"/>
                      <w:szCs w:val="21"/>
                      <w:highlight w:val="none"/>
                    </w:rPr>
                    <w:t>类别</w:t>
                  </w:r>
                </w:p>
              </w:tc>
              <w:tc>
                <w:tcPr>
                  <w:tcW w:w="2054" w:type="dxa"/>
                  <w:shd w:val="clear" w:color="auto" w:fill="auto"/>
                  <w:vAlign w:val="center"/>
                </w:tcPr>
                <w:p w14:paraId="08A8019B">
                  <w:pPr>
                    <w:widowControl/>
                    <w:jc w:val="center"/>
                    <w:rPr>
                      <w:b/>
                      <w:bCs/>
                      <w:color w:val="auto"/>
                      <w:kern w:val="0"/>
                      <w:szCs w:val="21"/>
                      <w:highlight w:val="none"/>
                    </w:rPr>
                  </w:pPr>
                  <w:r>
                    <w:rPr>
                      <w:b/>
                      <w:bCs/>
                      <w:color w:val="auto"/>
                      <w:kern w:val="0"/>
                      <w:szCs w:val="21"/>
                      <w:highlight w:val="none"/>
                    </w:rPr>
                    <w:t>污染源</w:t>
                  </w:r>
                </w:p>
              </w:tc>
              <w:tc>
                <w:tcPr>
                  <w:tcW w:w="4001" w:type="dxa"/>
                  <w:shd w:val="clear" w:color="auto" w:fill="auto"/>
                  <w:vAlign w:val="center"/>
                </w:tcPr>
                <w:p w14:paraId="65765099">
                  <w:pPr>
                    <w:widowControl/>
                    <w:jc w:val="center"/>
                    <w:rPr>
                      <w:b/>
                      <w:bCs/>
                      <w:color w:val="auto"/>
                      <w:kern w:val="0"/>
                      <w:szCs w:val="21"/>
                      <w:highlight w:val="none"/>
                    </w:rPr>
                  </w:pPr>
                  <w:r>
                    <w:rPr>
                      <w:b/>
                      <w:bCs/>
                      <w:color w:val="auto"/>
                      <w:kern w:val="0"/>
                      <w:szCs w:val="21"/>
                      <w:highlight w:val="none"/>
                    </w:rPr>
                    <w:t>治理措施</w:t>
                  </w:r>
                </w:p>
              </w:tc>
              <w:tc>
                <w:tcPr>
                  <w:tcW w:w="850" w:type="dxa"/>
                  <w:shd w:val="clear" w:color="auto" w:fill="auto"/>
                  <w:vAlign w:val="center"/>
                </w:tcPr>
                <w:p w14:paraId="6738B7D8">
                  <w:pPr>
                    <w:widowControl/>
                    <w:jc w:val="center"/>
                    <w:rPr>
                      <w:b/>
                      <w:bCs/>
                      <w:color w:val="auto"/>
                      <w:kern w:val="0"/>
                      <w:szCs w:val="21"/>
                      <w:highlight w:val="none"/>
                    </w:rPr>
                  </w:pPr>
                  <w:r>
                    <w:rPr>
                      <w:rFonts w:hint="eastAsia"/>
                      <w:b/>
                      <w:bCs/>
                      <w:color w:val="auto"/>
                      <w:kern w:val="0"/>
                      <w:szCs w:val="21"/>
                      <w:highlight w:val="none"/>
                      <w:lang w:val="en-US" w:eastAsia="zh-CN"/>
                    </w:rPr>
                    <w:t>已</w:t>
                  </w:r>
                  <w:r>
                    <w:rPr>
                      <w:b/>
                      <w:bCs/>
                      <w:color w:val="auto"/>
                      <w:kern w:val="0"/>
                      <w:szCs w:val="21"/>
                      <w:highlight w:val="none"/>
                    </w:rPr>
                    <w:t>投资</w:t>
                  </w:r>
                </w:p>
              </w:tc>
              <w:tc>
                <w:tcPr>
                  <w:tcW w:w="851" w:type="dxa"/>
                  <w:shd w:val="clear" w:color="auto" w:fill="auto"/>
                  <w:vAlign w:val="center"/>
                </w:tcPr>
                <w:p w14:paraId="1627D57C">
                  <w:pPr>
                    <w:widowControl/>
                    <w:jc w:val="center"/>
                    <w:rPr>
                      <w:rFonts w:hint="eastAsia" w:eastAsia="宋体"/>
                      <w:b/>
                      <w:bCs/>
                      <w:color w:val="auto"/>
                      <w:kern w:val="0"/>
                      <w:szCs w:val="21"/>
                      <w:highlight w:val="none"/>
                      <w:lang w:eastAsia="zh-CN"/>
                    </w:rPr>
                  </w:pPr>
                  <w:r>
                    <w:rPr>
                      <w:rFonts w:hint="eastAsia"/>
                      <w:b/>
                      <w:bCs/>
                      <w:color w:val="auto"/>
                      <w:kern w:val="0"/>
                      <w:szCs w:val="21"/>
                      <w:highlight w:val="none"/>
                      <w:lang w:val="en-US" w:eastAsia="zh-CN"/>
                    </w:rPr>
                    <w:t>本次投资</w:t>
                  </w:r>
                </w:p>
              </w:tc>
            </w:tr>
            <w:tr w14:paraId="6D0840C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18" w:type="dxa"/>
                  <w:vMerge w:val="restart"/>
                  <w:shd w:val="clear" w:color="auto" w:fill="auto"/>
                  <w:vAlign w:val="center"/>
                </w:tcPr>
                <w:p w14:paraId="2EF0DDAF">
                  <w:pPr>
                    <w:widowControl/>
                    <w:jc w:val="center"/>
                    <w:rPr>
                      <w:color w:val="auto"/>
                      <w:kern w:val="0"/>
                      <w:szCs w:val="21"/>
                      <w:highlight w:val="none"/>
                    </w:rPr>
                  </w:pPr>
                  <w:r>
                    <w:rPr>
                      <w:color w:val="auto"/>
                      <w:kern w:val="0"/>
                      <w:szCs w:val="21"/>
                      <w:highlight w:val="none"/>
                    </w:rPr>
                    <w:t>废气</w:t>
                  </w:r>
                </w:p>
              </w:tc>
              <w:tc>
                <w:tcPr>
                  <w:tcW w:w="2054" w:type="dxa"/>
                  <w:shd w:val="clear" w:color="auto" w:fill="auto"/>
                  <w:vAlign w:val="center"/>
                </w:tcPr>
                <w:p w14:paraId="0469AF9B">
                  <w:pPr>
                    <w:adjustRightInd w:val="0"/>
                    <w:snapToGrid w:val="0"/>
                    <w:jc w:val="center"/>
                    <w:rPr>
                      <w:color w:val="auto"/>
                      <w:kern w:val="0"/>
                      <w:szCs w:val="21"/>
                      <w:highlight w:val="none"/>
                    </w:rPr>
                  </w:pPr>
                  <w:r>
                    <w:rPr>
                      <w:color w:val="auto"/>
                      <w:kern w:val="0"/>
                      <w:szCs w:val="21"/>
                      <w:highlight w:val="none"/>
                    </w:rPr>
                    <w:t>火化机废气</w:t>
                  </w:r>
                </w:p>
              </w:tc>
              <w:tc>
                <w:tcPr>
                  <w:tcW w:w="4001" w:type="dxa"/>
                  <w:shd w:val="clear" w:color="auto" w:fill="auto"/>
                  <w:vAlign w:val="center"/>
                </w:tcPr>
                <w:p w14:paraId="04AA2767">
                  <w:pPr>
                    <w:adjustRightInd w:val="0"/>
                    <w:snapToGrid w:val="0"/>
                    <w:jc w:val="center"/>
                    <w:rPr>
                      <w:rFonts w:hint="eastAsia" w:eastAsia="宋体"/>
                      <w:color w:val="auto"/>
                      <w:kern w:val="0"/>
                      <w:szCs w:val="21"/>
                      <w:highlight w:val="none"/>
                      <w:lang w:eastAsia="zh-CN"/>
                    </w:rPr>
                  </w:pPr>
                  <w:r>
                    <w:rPr>
                      <w:rFonts w:hint="eastAsia"/>
                      <w:color w:val="auto"/>
                      <w:highlight w:val="none"/>
                    </w:rPr>
                    <w:t>烟气急冷系统+消石灰+</w:t>
                  </w:r>
                  <w:r>
                    <w:rPr>
                      <w:rFonts w:hint="eastAsia"/>
                      <w:color w:val="auto"/>
                      <w:highlight w:val="none"/>
                      <w:lang w:eastAsia="zh-CN"/>
                    </w:rPr>
                    <w:t>旋风除尘器</w:t>
                  </w:r>
                  <w:r>
                    <w:rPr>
                      <w:color w:val="auto"/>
                      <w:highlight w:val="none"/>
                    </w:rPr>
                    <w:t>+</w:t>
                  </w:r>
                  <w:r>
                    <w:rPr>
                      <w:rFonts w:hint="eastAsia"/>
                      <w:color w:val="auto"/>
                      <w:highlight w:val="none"/>
                      <w:lang w:eastAsia="zh-CN"/>
                    </w:rPr>
                    <w:t>活性炭喷射装置+布袋除尘器</w:t>
                  </w:r>
                  <w:r>
                    <w:rPr>
                      <w:color w:val="auto"/>
                      <w:highlight w:val="none"/>
                    </w:rPr>
                    <w:t>+1根12</w:t>
                  </w:r>
                  <w:r>
                    <w:rPr>
                      <w:rFonts w:hint="eastAsia"/>
                      <w:color w:val="auto"/>
                      <w:highlight w:val="none"/>
                      <w:lang w:eastAsia="zh-CN"/>
                    </w:rPr>
                    <w:t>m</w:t>
                  </w:r>
                  <w:r>
                    <w:rPr>
                      <w:color w:val="auto"/>
                      <w:highlight w:val="none"/>
                    </w:rPr>
                    <w:t>高的排气筒排放</w:t>
                  </w:r>
                  <w:r>
                    <w:rPr>
                      <w:rFonts w:hint="eastAsia"/>
                      <w:color w:val="auto"/>
                      <w:highlight w:val="none"/>
                      <w:lang w:eastAsia="zh-CN"/>
                    </w:rPr>
                    <w:t>。</w:t>
                  </w:r>
                </w:p>
              </w:tc>
              <w:tc>
                <w:tcPr>
                  <w:tcW w:w="850" w:type="dxa"/>
                  <w:shd w:val="clear" w:color="auto" w:fill="auto"/>
                  <w:vAlign w:val="center"/>
                </w:tcPr>
                <w:p w14:paraId="68F89AFA">
                  <w:pPr>
                    <w:widowControl/>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60</w:t>
                  </w:r>
                </w:p>
              </w:tc>
              <w:tc>
                <w:tcPr>
                  <w:tcW w:w="851" w:type="dxa"/>
                  <w:shd w:val="clear" w:color="auto" w:fill="auto"/>
                  <w:vAlign w:val="center"/>
                </w:tcPr>
                <w:p w14:paraId="51819D5F">
                  <w:pPr>
                    <w:widowControl/>
                    <w:jc w:val="center"/>
                    <w:rPr>
                      <w:rFonts w:hint="eastAsia" w:eastAsia="宋体"/>
                      <w:color w:val="auto"/>
                      <w:kern w:val="0"/>
                      <w:szCs w:val="21"/>
                      <w:highlight w:val="none"/>
                      <w:lang w:val="en-US" w:eastAsia="zh-CN"/>
                    </w:rPr>
                  </w:pPr>
                  <w:r>
                    <w:rPr>
                      <w:rFonts w:hint="eastAsia"/>
                      <w:color w:val="auto"/>
                      <w:kern w:val="0"/>
                      <w:szCs w:val="21"/>
                      <w:highlight w:val="none"/>
                      <w:lang w:val="en-US" w:eastAsia="zh-CN"/>
                    </w:rPr>
                    <w:t>/</w:t>
                  </w:r>
                </w:p>
              </w:tc>
            </w:tr>
            <w:tr w14:paraId="2E4D143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18" w:type="dxa"/>
                  <w:vMerge w:val="continue"/>
                  <w:shd w:val="clear" w:color="auto" w:fill="auto"/>
                  <w:vAlign w:val="center"/>
                </w:tcPr>
                <w:p w14:paraId="0169688D">
                  <w:pPr>
                    <w:widowControl/>
                    <w:jc w:val="center"/>
                    <w:rPr>
                      <w:color w:val="auto"/>
                      <w:kern w:val="0"/>
                      <w:szCs w:val="21"/>
                      <w:highlight w:val="none"/>
                    </w:rPr>
                  </w:pPr>
                </w:p>
              </w:tc>
              <w:tc>
                <w:tcPr>
                  <w:tcW w:w="2054" w:type="dxa"/>
                  <w:shd w:val="clear" w:color="auto" w:fill="auto"/>
                  <w:vAlign w:val="center"/>
                </w:tcPr>
                <w:p w14:paraId="52D76FA1">
                  <w:pPr>
                    <w:numPr>
                      <w:ilvl w:val="3"/>
                      <w:numId w:val="0"/>
                    </w:numPr>
                    <w:tabs>
                      <w:tab w:val="left" w:pos="851"/>
                      <w:tab w:val="left" w:pos="2880"/>
                    </w:tabs>
                    <w:adjustRightInd w:val="0"/>
                    <w:snapToGrid w:val="0"/>
                    <w:jc w:val="center"/>
                    <w:rPr>
                      <w:color w:val="auto"/>
                      <w:kern w:val="0"/>
                      <w:szCs w:val="21"/>
                      <w:highlight w:val="none"/>
                    </w:rPr>
                  </w:pPr>
                  <w:r>
                    <w:rPr>
                      <w:color w:val="auto"/>
                      <w:szCs w:val="21"/>
                      <w:highlight w:val="none"/>
                    </w:rPr>
                    <w:t>焚烧炉废气</w:t>
                  </w:r>
                </w:p>
              </w:tc>
              <w:tc>
                <w:tcPr>
                  <w:tcW w:w="4001" w:type="dxa"/>
                  <w:shd w:val="clear" w:color="auto" w:fill="auto"/>
                  <w:vAlign w:val="center"/>
                </w:tcPr>
                <w:p w14:paraId="3D4FF4F6">
                  <w:pPr>
                    <w:numPr>
                      <w:ilvl w:val="3"/>
                      <w:numId w:val="0"/>
                    </w:numPr>
                    <w:tabs>
                      <w:tab w:val="left" w:pos="851"/>
                      <w:tab w:val="left" w:pos="2880"/>
                    </w:tabs>
                    <w:adjustRightInd w:val="0"/>
                    <w:snapToGrid w:val="0"/>
                    <w:jc w:val="center"/>
                    <w:rPr>
                      <w:rFonts w:hint="eastAsia" w:eastAsia="宋体"/>
                      <w:color w:val="auto"/>
                      <w:kern w:val="0"/>
                      <w:szCs w:val="21"/>
                      <w:highlight w:val="none"/>
                      <w:lang w:eastAsia="zh-CN"/>
                    </w:rPr>
                  </w:pPr>
                  <w:r>
                    <w:rPr>
                      <w:rFonts w:hint="eastAsia"/>
                      <w:bCs/>
                      <w:color w:val="auto"/>
                      <w:kern w:val="0"/>
                      <w:szCs w:val="21"/>
                      <w:highlight w:val="none"/>
                    </w:rPr>
                    <w:t>烟气急冷系统+消石灰+</w:t>
                  </w:r>
                  <w:r>
                    <w:rPr>
                      <w:rFonts w:hint="eastAsia"/>
                      <w:bCs/>
                      <w:color w:val="auto"/>
                      <w:kern w:val="0"/>
                      <w:szCs w:val="21"/>
                      <w:highlight w:val="none"/>
                      <w:lang w:eastAsia="zh-CN"/>
                    </w:rPr>
                    <w:t>旋风除尘器</w:t>
                  </w:r>
                  <w:r>
                    <w:rPr>
                      <w:bCs/>
                      <w:color w:val="auto"/>
                      <w:kern w:val="0"/>
                      <w:szCs w:val="21"/>
                      <w:highlight w:val="none"/>
                    </w:rPr>
                    <w:t>+</w:t>
                  </w:r>
                  <w:r>
                    <w:rPr>
                      <w:rFonts w:hint="eastAsia"/>
                      <w:bCs/>
                      <w:color w:val="auto"/>
                      <w:kern w:val="0"/>
                      <w:szCs w:val="21"/>
                      <w:highlight w:val="none"/>
                      <w:lang w:eastAsia="zh-CN"/>
                    </w:rPr>
                    <w:t>活性炭喷射装置+布袋除尘器</w:t>
                  </w:r>
                  <w:r>
                    <w:rPr>
                      <w:bCs/>
                      <w:color w:val="auto"/>
                      <w:kern w:val="0"/>
                      <w:szCs w:val="21"/>
                      <w:highlight w:val="none"/>
                    </w:rPr>
                    <w:t>+1根12</w:t>
                  </w:r>
                  <w:r>
                    <w:rPr>
                      <w:rFonts w:hint="eastAsia"/>
                      <w:bCs/>
                      <w:color w:val="auto"/>
                      <w:kern w:val="0"/>
                      <w:szCs w:val="21"/>
                      <w:highlight w:val="none"/>
                      <w:lang w:eastAsia="zh-CN"/>
                    </w:rPr>
                    <w:t>m</w:t>
                  </w:r>
                  <w:r>
                    <w:rPr>
                      <w:bCs/>
                      <w:color w:val="auto"/>
                      <w:kern w:val="0"/>
                      <w:szCs w:val="21"/>
                      <w:highlight w:val="none"/>
                    </w:rPr>
                    <w:t>高的排气筒排放</w:t>
                  </w:r>
                  <w:r>
                    <w:rPr>
                      <w:rFonts w:hint="eastAsia"/>
                      <w:bCs/>
                      <w:color w:val="auto"/>
                      <w:kern w:val="0"/>
                      <w:szCs w:val="21"/>
                      <w:highlight w:val="none"/>
                      <w:lang w:eastAsia="zh-CN"/>
                    </w:rPr>
                    <w:t>。</w:t>
                  </w:r>
                </w:p>
              </w:tc>
              <w:tc>
                <w:tcPr>
                  <w:tcW w:w="850" w:type="dxa"/>
                  <w:shd w:val="clear" w:color="auto" w:fill="auto"/>
                  <w:vAlign w:val="center"/>
                </w:tcPr>
                <w:p w14:paraId="3577506D">
                  <w:pPr>
                    <w:widowControl/>
                    <w:jc w:val="center"/>
                    <w:rPr>
                      <w:rFonts w:hint="eastAsia" w:eastAsia="宋体"/>
                      <w:color w:val="auto"/>
                      <w:kern w:val="0"/>
                      <w:szCs w:val="21"/>
                      <w:highlight w:val="none"/>
                      <w:lang w:val="en-US" w:eastAsia="zh-CN"/>
                    </w:rPr>
                  </w:pPr>
                  <w:r>
                    <w:rPr>
                      <w:rFonts w:hint="eastAsia"/>
                      <w:color w:val="auto"/>
                      <w:kern w:val="0"/>
                      <w:szCs w:val="21"/>
                      <w:highlight w:val="none"/>
                      <w:lang w:val="en-US" w:eastAsia="zh-CN"/>
                    </w:rPr>
                    <w:t>/</w:t>
                  </w:r>
                </w:p>
              </w:tc>
              <w:tc>
                <w:tcPr>
                  <w:tcW w:w="851" w:type="dxa"/>
                  <w:shd w:val="clear" w:color="auto" w:fill="auto"/>
                  <w:vAlign w:val="center"/>
                </w:tcPr>
                <w:p w14:paraId="5C8185B9">
                  <w:pPr>
                    <w:widowControl/>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60</w:t>
                  </w:r>
                </w:p>
              </w:tc>
            </w:tr>
            <w:tr w14:paraId="51A7E4B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18" w:type="dxa"/>
                  <w:shd w:val="clear" w:color="auto" w:fill="auto"/>
                  <w:vAlign w:val="center"/>
                </w:tcPr>
                <w:p w14:paraId="13BAD1CE">
                  <w:pPr>
                    <w:widowControl/>
                    <w:jc w:val="center"/>
                    <w:rPr>
                      <w:color w:val="auto"/>
                      <w:kern w:val="0"/>
                      <w:szCs w:val="21"/>
                      <w:highlight w:val="none"/>
                    </w:rPr>
                  </w:pPr>
                  <w:r>
                    <w:rPr>
                      <w:color w:val="auto"/>
                      <w:kern w:val="0"/>
                      <w:szCs w:val="21"/>
                      <w:highlight w:val="none"/>
                    </w:rPr>
                    <w:t>废水</w:t>
                  </w:r>
                </w:p>
              </w:tc>
              <w:tc>
                <w:tcPr>
                  <w:tcW w:w="2054" w:type="dxa"/>
                  <w:shd w:val="clear" w:color="auto" w:fill="auto"/>
                  <w:vAlign w:val="center"/>
                </w:tcPr>
                <w:p w14:paraId="59011AF8">
                  <w:pPr>
                    <w:numPr>
                      <w:ilvl w:val="3"/>
                      <w:numId w:val="0"/>
                    </w:numPr>
                    <w:tabs>
                      <w:tab w:val="left" w:pos="851"/>
                      <w:tab w:val="left" w:pos="2880"/>
                    </w:tabs>
                    <w:adjustRightInd w:val="0"/>
                    <w:snapToGrid w:val="0"/>
                    <w:jc w:val="center"/>
                    <w:rPr>
                      <w:color w:val="auto"/>
                      <w:kern w:val="0"/>
                      <w:szCs w:val="21"/>
                      <w:highlight w:val="none"/>
                    </w:rPr>
                  </w:pPr>
                  <w:r>
                    <w:rPr>
                      <w:bCs/>
                      <w:color w:val="auto"/>
                      <w:kern w:val="0"/>
                      <w:szCs w:val="21"/>
                      <w:highlight w:val="none"/>
                    </w:rPr>
                    <w:t>生活污水、餐饮废水、遗体处置废水、解剖废水、殡仪车辆清洗废水</w:t>
                  </w:r>
                </w:p>
              </w:tc>
              <w:tc>
                <w:tcPr>
                  <w:tcW w:w="4001" w:type="dxa"/>
                  <w:shd w:val="clear" w:color="auto" w:fill="auto"/>
                  <w:vAlign w:val="center"/>
                </w:tcPr>
                <w:p w14:paraId="37BFF6F7">
                  <w:pPr>
                    <w:numPr>
                      <w:ilvl w:val="3"/>
                      <w:numId w:val="0"/>
                    </w:numPr>
                    <w:tabs>
                      <w:tab w:val="left" w:pos="851"/>
                      <w:tab w:val="left" w:pos="2880"/>
                    </w:tabs>
                    <w:adjustRightInd w:val="0"/>
                    <w:snapToGrid w:val="0"/>
                    <w:jc w:val="center"/>
                    <w:rPr>
                      <w:rFonts w:hint="eastAsia" w:eastAsia="宋体"/>
                      <w:color w:val="auto"/>
                      <w:kern w:val="0"/>
                      <w:szCs w:val="21"/>
                      <w:highlight w:val="none"/>
                      <w:lang w:eastAsia="zh-CN"/>
                    </w:rPr>
                  </w:pPr>
                  <w:r>
                    <w:rPr>
                      <w:bCs/>
                      <w:color w:val="auto"/>
                      <w:kern w:val="0"/>
                      <w:szCs w:val="21"/>
                      <w:highlight w:val="none"/>
                    </w:rPr>
                    <w:t>暂存于化粪池（20</w:t>
                  </w:r>
                  <w:r>
                    <w:rPr>
                      <w:rFonts w:hint="eastAsia"/>
                      <w:bCs/>
                      <w:color w:val="auto"/>
                      <w:kern w:val="0"/>
                      <w:szCs w:val="21"/>
                      <w:highlight w:val="none"/>
                      <w:vertAlign w:val="baseline"/>
                      <w:lang w:eastAsia="zh-CN"/>
                    </w:rPr>
                    <w:t>m</w:t>
                  </w:r>
                  <w:r>
                    <w:rPr>
                      <w:rFonts w:hint="eastAsia"/>
                      <w:bCs/>
                      <w:color w:val="auto"/>
                      <w:kern w:val="0"/>
                      <w:szCs w:val="21"/>
                      <w:highlight w:val="none"/>
                      <w:vertAlign w:val="superscript"/>
                      <w:lang w:eastAsia="zh-CN"/>
                    </w:rPr>
                    <w:t>3</w:t>
                  </w:r>
                  <w:r>
                    <w:rPr>
                      <w:bCs/>
                      <w:color w:val="auto"/>
                      <w:kern w:val="0"/>
                      <w:szCs w:val="21"/>
                      <w:highlight w:val="none"/>
                    </w:rPr>
                    <w:t>）内，定期拉运至杭锦旗锡尼镇污水处理厂处理</w:t>
                  </w:r>
                  <w:r>
                    <w:rPr>
                      <w:rFonts w:hint="eastAsia"/>
                      <w:bCs/>
                      <w:color w:val="auto"/>
                      <w:kern w:val="0"/>
                      <w:szCs w:val="21"/>
                      <w:highlight w:val="none"/>
                      <w:lang w:eastAsia="zh-CN"/>
                    </w:rPr>
                    <w:t>。</w:t>
                  </w:r>
                </w:p>
              </w:tc>
              <w:tc>
                <w:tcPr>
                  <w:tcW w:w="850" w:type="dxa"/>
                  <w:shd w:val="clear" w:color="auto" w:fill="auto"/>
                  <w:vAlign w:val="center"/>
                </w:tcPr>
                <w:p w14:paraId="1342C234">
                  <w:pPr>
                    <w:widowControl/>
                    <w:jc w:val="center"/>
                    <w:rPr>
                      <w:color w:val="auto"/>
                      <w:kern w:val="0"/>
                      <w:szCs w:val="21"/>
                      <w:highlight w:val="none"/>
                    </w:rPr>
                  </w:pPr>
                  <w:r>
                    <w:rPr>
                      <w:color w:val="auto"/>
                      <w:kern w:val="0"/>
                      <w:szCs w:val="21"/>
                      <w:highlight w:val="none"/>
                    </w:rPr>
                    <w:t>5</w:t>
                  </w:r>
                </w:p>
              </w:tc>
              <w:tc>
                <w:tcPr>
                  <w:tcW w:w="851" w:type="dxa"/>
                  <w:shd w:val="clear" w:color="auto" w:fill="auto"/>
                  <w:vAlign w:val="center"/>
                </w:tcPr>
                <w:p w14:paraId="5523F477">
                  <w:pPr>
                    <w:widowControl/>
                    <w:jc w:val="center"/>
                    <w:rPr>
                      <w:rFonts w:hint="eastAsia" w:eastAsia="宋体"/>
                      <w:color w:val="auto"/>
                      <w:kern w:val="0"/>
                      <w:szCs w:val="21"/>
                      <w:highlight w:val="none"/>
                      <w:lang w:val="en-US" w:eastAsia="zh-CN"/>
                    </w:rPr>
                  </w:pPr>
                  <w:r>
                    <w:rPr>
                      <w:rFonts w:hint="eastAsia"/>
                      <w:color w:val="auto"/>
                      <w:kern w:val="0"/>
                      <w:szCs w:val="21"/>
                      <w:highlight w:val="none"/>
                      <w:lang w:val="en-US" w:eastAsia="zh-CN"/>
                    </w:rPr>
                    <w:t>/</w:t>
                  </w:r>
                </w:p>
              </w:tc>
            </w:tr>
            <w:tr w14:paraId="73B16C5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18" w:type="dxa"/>
                  <w:shd w:val="clear" w:color="auto" w:fill="auto"/>
                  <w:vAlign w:val="center"/>
                </w:tcPr>
                <w:p w14:paraId="41D8CBB7">
                  <w:pPr>
                    <w:widowControl/>
                    <w:jc w:val="center"/>
                    <w:rPr>
                      <w:color w:val="auto"/>
                      <w:kern w:val="0"/>
                      <w:szCs w:val="21"/>
                      <w:highlight w:val="none"/>
                    </w:rPr>
                  </w:pPr>
                  <w:r>
                    <w:rPr>
                      <w:color w:val="auto"/>
                      <w:kern w:val="0"/>
                      <w:szCs w:val="21"/>
                      <w:highlight w:val="none"/>
                    </w:rPr>
                    <w:t>噪声</w:t>
                  </w:r>
                </w:p>
              </w:tc>
              <w:tc>
                <w:tcPr>
                  <w:tcW w:w="2054" w:type="dxa"/>
                  <w:shd w:val="clear" w:color="auto" w:fill="auto"/>
                  <w:vAlign w:val="center"/>
                </w:tcPr>
                <w:p w14:paraId="366B9F80">
                  <w:pPr>
                    <w:widowControl/>
                    <w:jc w:val="center"/>
                    <w:rPr>
                      <w:color w:val="auto"/>
                      <w:kern w:val="0"/>
                      <w:szCs w:val="21"/>
                      <w:highlight w:val="none"/>
                    </w:rPr>
                  </w:pPr>
                  <w:r>
                    <w:rPr>
                      <w:color w:val="auto"/>
                      <w:kern w:val="0"/>
                      <w:szCs w:val="21"/>
                      <w:highlight w:val="none"/>
                    </w:rPr>
                    <w:t>设备运转、运输噪声等</w:t>
                  </w:r>
                </w:p>
              </w:tc>
              <w:tc>
                <w:tcPr>
                  <w:tcW w:w="4001" w:type="dxa"/>
                  <w:shd w:val="clear" w:color="auto" w:fill="auto"/>
                  <w:vAlign w:val="center"/>
                </w:tcPr>
                <w:p w14:paraId="6B9BCCA9">
                  <w:pPr>
                    <w:widowControl/>
                    <w:jc w:val="center"/>
                    <w:rPr>
                      <w:color w:val="auto"/>
                      <w:kern w:val="0"/>
                      <w:szCs w:val="21"/>
                      <w:highlight w:val="none"/>
                    </w:rPr>
                  </w:pPr>
                  <w:r>
                    <w:rPr>
                      <w:color w:val="auto"/>
                      <w:kern w:val="0"/>
                      <w:szCs w:val="21"/>
                      <w:highlight w:val="none"/>
                    </w:rPr>
                    <w:t>采用隔声、减振等措施。</w:t>
                  </w:r>
                </w:p>
              </w:tc>
              <w:tc>
                <w:tcPr>
                  <w:tcW w:w="850" w:type="dxa"/>
                  <w:shd w:val="clear" w:color="auto" w:fill="auto"/>
                  <w:vAlign w:val="center"/>
                </w:tcPr>
                <w:p w14:paraId="14B0DAEF">
                  <w:pPr>
                    <w:widowControl/>
                    <w:jc w:val="center"/>
                    <w:rPr>
                      <w:color w:val="auto"/>
                      <w:kern w:val="0"/>
                      <w:szCs w:val="21"/>
                      <w:highlight w:val="none"/>
                    </w:rPr>
                  </w:pPr>
                  <w:r>
                    <w:rPr>
                      <w:color w:val="auto"/>
                      <w:kern w:val="0"/>
                      <w:szCs w:val="21"/>
                      <w:highlight w:val="none"/>
                    </w:rPr>
                    <w:t>2</w:t>
                  </w:r>
                </w:p>
              </w:tc>
              <w:tc>
                <w:tcPr>
                  <w:tcW w:w="851" w:type="dxa"/>
                  <w:shd w:val="clear" w:color="auto" w:fill="auto"/>
                  <w:vAlign w:val="center"/>
                </w:tcPr>
                <w:p w14:paraId="370C2400">
                  <w:pPr>
                    <w:widowControl/>
                    <w:jc w:val="center"/>
                    <w:rPr>
                      <w:rFonts w:hint="eastAsia" w:eastAsia="宋体"/>
                      <w:color w:val="auto"/>
                      <w:kern w:val="0"/>
                      <w:szCs w:val="21"/>
                      <w:highlight w:val="none"/>
                      <w:lang w:val="en-US" w:eastAsia="zh-CN"/>
                    </w:rPr>
                  </w:pPr>
                  <w:r>
                    <w:rPr>
                      <w:rFonts w:hint="eastAsia"/>
                      <w:color w:val="auto"/>
                      <w:kern w:val="0"/>
                      <w:szCs w:val="21"/>
                      <w:highlight w:val="none"/>
                      <w:lang w:val="en-US" w:eastAsia="zh-CN"/>
                    </w:rPr>
                    <w:t>/</w:t>
                  </w:r>
                </w:p>
              </w:tc>
            </w:tr>
            <w:tr w14:paraId="5F93FFB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18" w:type="dxa"/>
                  <w:vMerge w:val="restart"/>
                  <w:shd w:val="clear" w:color="auto" w:fill="auto"/>
                  <w:vAlign w:val="center"/>
                </w:tcPr>
                <w:p w14:paraId="638D2C73">
                  <w:pPr>
                    <w:widowControl/>
                    <w:jc w:val="center"/>
                    <w:rPr>
                      <w:color w:val="auto"/>
                      <w:kern w:val="0"/>
                      <w:szCs w:val="21"/>
                      <w:highlight w:val="none"/>
                    </w:rPr>
                  </w:pPr>
                  <w:r>
                    <w:rPr>
                      <w:color w:val="auto"/>
                      <w:kern w:val="0"/>
                      <w:szCs w:val="21"/>
                      <w:highlight w:val="none"/>
                    </w:rPr>
                    <w:t>固废</w:t>
                  </w:r>
                </w:p>
              </w:tc>
              <w:tc>
                <w:tcPr>
                  <w:tcW w:w="2054" w:type="dxa"/>
                  <w:shd w:val="clear" w:color="auto" w:fill="auto"/>
                  <w:vAlign w:val="center"/>
                </w:tcPr>
                <w:p w14:paraId="38665AFA">
                  <w:pPr>
                    <w:widowControl/>
                    <w:jc w:val="center"/>
                    <w:rPr>
                      <w:color w:val="auto"/>
                      <w:kern w:val="0"/>
                      <w:szCs w:val="21"/>
                      <w:highlight w:val="none"/>
                    </w:rPr>
                  </w:pPr>
                  <w:r>
                    <w:rPr>
                      <w:color w:val="auto"/>
                      <w:kern w:val="0"/>
                      <w:szCs w:val="21"/>
                      <w:highlight w:val="none"/>
                    </w:rPr>
                    <w:t>生活垃圾</w:t>
                  </w:r>
                </w:p>
              </w:tc>
              <w:tc>
                <w:tcPr>
                  <w:tcW w:w="4001" w:type="dxa"/>
                  <w:shd w:val="clear" w:color="auto" w:fill="auto"/>
                  <w:vAlign w:val="center"/>
                </w:tcPr>
                <w:p w14:paraId="7534545B">
                  <w:pPr>
                    <w:widowControl/>
                    <w:jc w:val="center"/>
                    <w:rPr>
                      <w:rFonts w:hint="eastAsia" w:eastAsia="宋体"/>
                      <w:color w:val="auto"/>
                      <w:kern w:val="0"/>
                      <w:szCs w:val="21"/>
                      <w:highlight w:val="none"/>
                      <w:lang w:eastAsia="zh-CN"/>
                    </w:rPr>
                  </w:pPr>
                  <w:r>
                    <w:rPr>
                      <w:color w:val="auto"/>
                      <w:kern w:val="0"/>
                      <w:szCs w:val="21"/>
                      <w:highlight w:val="none"/>
                    </w:rPr>
                    <w:t>经厂内垃圾箱收集后交由当地环卫部门定期清运处理</w:t>
                  </w:r>
                  <w:r>
                    <w:rPr>
                      <w:rFonts w:hint="eastAsia"/>
                      <w:color w:val="auto"/>
                      <w:kern w:val="0"/>
                      <w:szCs w:val="21"/>
                      <w:highlight w:val="none"/>
                      <w:lang w:eastAsia="zh-CN"/>
                    </w:rPr>
                    <w:t>。</w:t>
                  </w:r>
                </w:p>
              </w:tc>
              <w:tc>
                <w:tcPr>
                  <w:tcW w:w="850" w:type="dxa"/>
                  <w:shd w:val="clear" w:color="auto" w:fill="auto"/>
                  <w:vAlign w:val="center"/>
                </w:tcPr>
                <w:p w14:paraId="3114C691">
                  <w:pPr>
                    <w:widowControl/>
                    <w:jc w:val="center"/>
                    <w:rPr>
                      <w:color w:val="auto"/>
                      <w:kern w:val="0"/>
                      <w:szCs w:val="21"/>
                      <w:highlight w:val="none"/>
                    </w:rPr>
                  </w:pPr>
                  <w:r>
                    <w:rPr>
                      <w:color w:val="auto"/>
                      <w:kern w:val="0"/>
                      <w:szCs w:val="21"/>
                      <w:highlight w:val="none"/>
                    </w:rPr>
                    <w:t>1</w:t>
                  </w:r>
                </w:p>
              </w:tc>
              <w:tc>
                <w:tcPr>
                  <w:tcW w:w="851" w:type="dxa"/>
                  <w:shd w:val="clear" w:color="auto" w:fill="auto"/>
                  <w:vAlign w:val="center"/>
                </w:tcPr>
                <w:p w14:paraId="150D1B14">
                  <w:pPr>
                    <w:widowControl/>
                    <w:jc w:val="center"/>
                    <w:rPr>
                      <w:rFonts w:hint="eastAsia" w:eastAsia="宋体"/>
                      <w:color w:val="auto"/>
                      <w:kern w:val="0"/>
                      <w:szCs w:val="21"/>
                      <w:highlight w:val="none"/>
                      <w:lang w:val="en-US" w:eastAsia="zh-CN"/>
                    </w:rPr>
                  </w:pPr>
                  <w:r>
                    <w:rPr>
                      <w:rFonts w:hint="eastAsia"/>
                      <w:color w:val="auto"/>
                      <w:kern w:val="0"/>
                      <w:szCs w:val="21"/>
                      <w:highlight w:val="none"/>
                      <w:lang w:val="en-US" w:eastAsia="zh-CN"/>
                    </w:rPr>
                    <w:t>/</w:t>
                  </w:r>
                </w:p>
              </w:tc>
            </w:tr>
            <w:tr w14:paraId="70D4D93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18" w:type="dxa"/>
                  <w:vMerge w:val="continue"/>
                  <w:shd w:val="clear" w:color="auto" w:fill="auto"/>
                  <w:vAlign w:val="center"/>
                </w:tcPr>
                <w:p w14:paraId="2B80B092">
                  <w:pPr>
                    <w:widowControl/>
                    <w:jc w:val="center"/>
                    <w:rPr>
                      <w:color w:val="auto"/>
                      <w:kern w:val="0"/>
                      <w:szCs w:val="21"/>
                      <w:highlight w:val="none"/>
                    </w:rPr>
                  </w:pPr>
                </w:p>
              </w:tc>
              <w:tc>
                <w:tcPr>
                  <w:tcW w:w="2054" w:type="dxa"/>
                  <w:shd w:val="clear" w:color="auto" w:fill="auto"/>
                  <w:vAlign w:val="center"/>
                </w:tcPr>
                <w:p w14:paraId="6874BA17">
                  <w:pPr>
                    <w:numPr>
                      <w:ilvl w:val="3"/>
                      <w:numId w:val="0"/>
                    </w:numPr>
                    <w:tabs>
                      <w:tab w:val="left" w:pos="851"/>
                      <w:tab w:val="left" w:pos="2880"/>
                    </w:tabs>
                    <w:adjustRightInd w:val="0"/>
                    <w:snapToGrid w:val="0"/>
                    <w:jc w:val="center"/>
                    <w:rPr>
                      <w:rFonts w:hint="eastAsia" w:eastAsia="宋体"/>
                      <w:bCs/>
                      <w:color w:val="auto"/>
                      <w:kern w:val="0"/>
                      <w:szCs w:val="21"/>
                      <w:highlight w:val="none"/>
                      <w:lang w:eastAsia="zh-CN"/>
                    </w:rPr>
                  </w:pPr>
                  <w:r>
                    <w:rPr>
                      <w:rFonts w:hint="eastAsia"/>
                      <w:bCs/>
                      <w:color w:val="auto"/>
                      <w:szCs w:val="21"/>
                      <w:highlight w:val="none"/>
                      <w:lang w:eastAsia="zh-CN"/>
                    </w:rPr>
                    <w:t>除尘灰（含废活性炭）、焚烧炉渣、除酸废渣、废布袋、</w:t>
                  </w:r>
                  <w:r>
                    <w:rPr>
                      <w:rFonts w:hint="eastAsia"/>
                      <w:bCs/>
                      <w:color w:val="auto"/>
                      <w:szCs w:val="21"/>
                      <w:highlight w:val="none"/>
                      <w:lang w:val="en-US" w:eastAsia="zh-CN"/>
                    </w:rPr>
                    <w:t>废矿物油和废油桶</w:t>
                  </w:r>
                </w:p>
              </w:tc>
              <w:tc>
                <w:tcPr>
                  <w:tcW w:w="4001" w:type="dxa"/>
                  <w:shd w:val="clear" w:color="auto" w:fill="auto"/>
                  <w:vAlign w:val="center"/>
                </w:tcPr>
                <w:p w14:paraId="266A2F77">
                  <w:pPr>
                    <w:adjustRightInd w:val="0"/>
                    <w:snapToGrid w:val="0"/>
                    <w:jc w:val="center"/>
                    <w:rPr>
                      <w:rFonts w:hint="eastAsia" w:eastAsia="宋体"/>
                      <w:bCs/>
                      <w:color w:val="auto"/>
                      <w:szCs w:val="21"/>
                      <w:highlight w:val="none"/>
                      <w:lang w:eastAsia="zh-CN"/>
                    </w:rPr>
                  </w:pPr>
                  <w:r>
                    <w:rPr>
                      <w:bCs/>
                      <w:color w:val="auto"/>
                      <w:szCs w:val="21"/>
                      <w:highlight w:val="none"/>
                    </w:rPr>
                    <w:t>集中收集至危废暂存间内，最终交有资质单位处置</w:t>
                  </w:r>
                  <w:r>
                    <w:rPr>
                      <w:rFonts w:hint="eastAsia"/>
                      <w:bCs/>
                      <w:color w:val="auto"/>
                      <w:szCs w:val="21"/>
                      <w:highlight w:val="none"/>
                      <w:lang w:eastAsia="zh-CN"/>
                    </w:rPr>
                    <w:t>。</w:t>
                  </w:r>
                </w:p>
              </w:tc>
              <w:tc>
                <w:tcPr>
                  <w:tcW w:w="850" w:type="dxa"/>
                  <w:shd w:val="clear" w:color="auto" w:fill="auto"/>
                  <w:vAlign w:val="center"/>
                </w:tcPr>
                <w:p w14:paraId="5A290289">
                  <w:pPr>
                    <w:widowControl/>
                    <w:jc w:val="center"/>
                    <w:rPr>
                      <w:rFonts w:hint="eastAsia" w:eastAsia="宋体"/>
                      <w:color w:val="auto"/>
                      <w:kern w:val="0"/>
                      <w:szCs w:val="21"/>
                      <w:highlight w:val="none"/>
                      <w:lang w:val="en-US" w:eastAsia="zh-CN"/>
                    </w:rPr>
                  </w:pPr>
                  <w:r>
                    <w:rPr>
                      <w:rFonts w:hint="eastAsia"/>
                      <w:color w:val="auto"/>
                      <w:kern w:val="0"/>
                      <w:szCs w:val="21"/>
                      <w:highlight w:val="none"/>
                      <w:lang w:val="en-US" w:eastAsia="zh-CN"/>
                    </w:rPr>
                    <w:t>/</w:t>
                  </w:r>
                </w:p>
              </w:tc>
              <w:tc>
                <w:tcPr>
                  <w:tcW w:w="851" w:type="dxa"/>
                  <w:shd w:val="clear" w:color="auto" w:fill="auto"/>
                  <w:vAlign w:val="center"/>
                </w:tcPr>
                <w:p w14:paraId="0BEF83A9">
                  <w:pPr>
                    <w:widowControl/>
                    <w:jc w:val="center"/>
                    <w:rPr>
                      <w:rFonts w:hint="eastAsia" w:eastAsia="宋体"/>
                      <w:color w:val="auto"/>
                      <w:kern w:val="0"/>
                      <w:szCs w:val="21"/>
                      <w:highlight w:val="none"/>
                      <w:lang w:val="en-US" w:eastAsia="zh-CN"/>
                    </w:rPr>
                  </w:pPr>
                  <w:r>
                    <w:rPr>
                      <w:rFonts w:hint="eastAsia"/>
                      <w:color w:val="auto"/>
                      <w:kern w:val="0"/>
                      <w:szCs w:val="21"/>
                      <w:highlight w:val="none"/>
                      <w:lang w:val="en-US" w:eastAsia="zh-CN"/>
                    </w:rPr>
                    <w:t>5</w:t>
                  </w:r>
                </w:p>
              </w:tc>
            </w:tr>
            <w:tr w14:paraId="2ED3B1C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2572" w:type="dxa"/>
                  <w:gridSpan w:val="2"/>
                  <w:shd w:val="clear" w:color="auto" w:fill="auto"/>
                  <w:vAlign w:val="center"/>
                </w:tcPr>
                <w:p w14:paraId="1A727597">
                  <w:pPr>
                    <w:widowControl/>
                    <w:jc w:val="center"/>
                    <w:rPr>
                      <w:color w:val="auto"/>
                      <w:kern w:val="0"/>
                      <w:szCs w:val="21"/>
                      <w:highlight w:val="none"/>
                    </w:rPr>
                  </w:pPr>
                  <w:r>
                    <w:rPr>
                      <w:color w:val="auto"/>
                      <w:kern w:val="0"/>
                      <w:szCs w:val="21"/>
                      <w:highlight w:val="none"/>
                    </w:rPr>
                    <w:t>防渗</w:t>
                  </w:r>
                </w:p>
              </w:tc>
              <w:tc>
                <w:tcPr>
                  <w:tcW w:w="4001" w:type="dxa"/>
                  <w:shd w:val="clear" w:color="auto" w:fill="auto"/>
                  <w:vAlign w:val="center"/>
                </w:tcPr>
                <w:p w14:paraId="7BB62498">
                  <w:pPr>
                    <w:widowControl/>
                    <w:rPr>
                      <w:color w:val="auto"/>
                      <w:kern w:val="0"/>
                      <w:szCs w:val="21"/>
                      <w:highlight w:val="none"/>
                    </w:rPr>
                  </w:pPr>
                  <w:r>
                    <w:rPr>
                      <w:color w:val="auto"/>
                      <w:kern w:val="0"/>
                      <w:szCs w:val="21"/>
                      <w:highlight w:val="none"/>
                    </w:rPr>
                    <w:t>重点防渗区：危废暂存间、储油间地面、裙角以及导流槽、集液池基础防渗措施：防渗层为至少2</w:t>
                  </w:r>
                  <w:r>
                    <w:rPr>
                      <w:rFonts w:hint="eastAsia"/>
                      <w:color w:val="auto"/>
                      <w:kern w:val="0"/>
                      <w:szCs w:val="21"/>
                      <w:highlight w:val="none"/>
                      <w:lang w:eastAsia="zh-CN"/>
                    </w:rPr>
                    <w:t>mm</w:t>
                  </w:r>
                  <w:r>
                    <w:rPr>
                      <w:color w:val="auto"/>
                      <w:kern w:val="0"/>
                      <w:szCs w:val="21"/>
                      <w:highlight w:val="none"/>
                    </w:rPr>
                    <w:t>厚高密度聚乙烯膜（渗透系数不大于10</w:t>
                  </w:r>
                  <w:r>
                    <w:rPr>
                      <w:color w:val="auto"/>
                      <w:kern w:val="0"/>
                      <w:szCs w:val="21"/>
                      <w:highlight w:val="none"/>
                      <w:vertAlign w:val="superscript"/>
                    </w:rPr>
                    <w:t>-10</w:t>
                  </w:r>
                  <w:r>
                    <w:rPr>
                      <w:color w:val="auto"/>
                      <w:kern w:val="0"/>
                      <w:szCs w:val="21"/>
                      <w:highlight w:val="none"/>
                    </w:rPr>
                    <w:t>c</w:t>
                  </w:r>
                  <w:r>
                    <w:rPr>
                      <w:rFonts w:hint="eastAsia"/>
                      <w:color w:val="auto"/>
                      <w:kern w:val="0"/>
                      <w:szCs w:val="21"/>
                      <w:highlight w:val="none"/>
                      <w:lang w:eastAsia="zh-CN"/>
                    </w:rPr>
                    <w:t>m</w:t>
                  </w:r>
                  <w:r>
                    <w:rPr>
                      <w:color w:val="auto"/>
                      <w:kern w:val="0"/>
                      <w:szCs w:val="21"/>
                      <w:highlight w:val="none"/>
                    </w:rPr>
                    <w:t>/s），地面、裙角以及导流槽、集液池表面防渗采用抗渗混凝土。</w:t>
                  </w:r>
                </w:p>
                <w:p w14:paraId="3F7D3C33">
                  <w:pPr>
                    <w:widowControl/>
                    <w:rPr>
                      <w:color w:val="auto"/>
                      <w:kern w:val="0"/>
                      <w:szCs w:val="21"/>
                      <w:highlight w:val="none"/>
                    </w:rPr>
                  </w:pPr>
                  <w:r>
                    <w:rPr>
                      <w:color w:val="auto"/>
                      <w:kern w:val="0"/>
                      <w:szCs w:val="21"/>
                      <w:highlight w:val="none"/>
                    </w:rPr>
                    <w:t>一般防渗区：采用玻璃钢化粪池。</w:t>
                  </w:r>
                </w:p>
                <w:p w14:paraId="6EAD2011">
                  <w:pPr>
                    <w:widowControl/>
                    <w:rPr>
                      <w:color w:val="auto"/>
                      <w:kern w:val="0"/>
                      <w:szCs w:val="21"/>
                      <w:highlight w:val="none"/>
                    </w:rPr>
                  </w:pPr>
                  <w:r>
                    <w:rPr>
                      <w:color w:val="auto"/>
                      <w:kern w:val="0"/>
                      <w:szCs w:val="21"/>
                      <w:highlight w:val="none"/>
                    </w:rPr>
                    <w:t>简单防渗区：其他区域采用水泥进行地面硬化。</w:t>
                  </w:r>
                </w:p>
              </w:tc>
              <w:tc>
                <w:tcPr>
                  <w:tcW w:w="850" w:type="dxa"/>
                  <w:shd w:val="clear" w:color="auto" w:fill="auto"/>
                  <w:vAlign w:val="center"/>
                </w:tcPr>
                <w:p w14:paraId="6F6EE155">
                  <w:pPr>
                    <w:widowControl/>
                    <w:jc w:val="center"/>
                    <w:rPr>
                      <w:rFonts w:hint="eastAsia" w:eastAsia="宋体"/>
                      <w:color w:val="auto"/>
                      <w:kern w:val="0"/>
                      <w:szCs w:val="21"/>
                      <w:highlight w:val="none"/>
                      <w:lang w:val="en-US" w:eastAsia="zh-CN"/>
                    </w:rPr>
                  </w:pPr>
                  <w:r>
                    <w:rPr>
                      <w:rFonts w:hint="eastAsia"/>
                      <w:color w:val="auto"/>
                      <w:kern w:val="0"/>
                      <w:szCs w:val="21"/>
                      <w:highlight w:val="none"/>
                      <w:lang w:val="en-US" w:eastAsia="zh-CN"/>
                    </w:rPr>
                    <w:t>/</w:t>
                  </w:r>
                </w:p>
              </w:tc>
              <w:tc>
                <w:tcPr>
                  <w:tcW w:w="851" w:type="dxa"/>
                  <w:shd w:val="clear" w:color="auto" w:fill="auto"/>
                  <w:vAlign w:val="center"/>
                </w:tcPr>
                <w:p w14:paraId="5A9A3321">
                  <w:pPr>
                    <w:widowControl/>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10</w:t>
                  </w:r>
                </w:p>
              </w:tc>
            </w:tr>
            <w:tr w14:paraId="3772BA8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6573" w:type="dxa"/>
                  <w:gridSpan w:val="3"/>
                  <w:shd w:val="clear" w:color="auto" w:fill="auto"/>
                  <w:vAlign w:val="center"/>
                </w:tcPr>
                <w:p w14:paraId="2559B170">
                  <w:pPr>
                    <w:widowControl/>
                    <w:jc w:val="center"/>
                    <w:rPr>
                      <w:color w:val="auto"/>
                      <w:kern w:val="0"/>
                      <w:szCs w:val="21"/>
                      <w:highlight w:val="none"/>
                    </w:rPr>
                  </w:pPr>
                  <w:r>
                    <w:rPr>
                      <w:color w:val="auto"/>
                      <w:kern w:val="0"/>
                      <w:szCs w:val="21"/>
                      <w:highlight w:val="none"/>
                    </w:rPr>
                    <w:t>合计</w:t>
                  </w:r>
                </w:p>
              </w:tc>
              <w:tc>
                <w:tcPr>
                  <w:tcW w:w="850" w:type="dxa"/>
                  <w:shd w:val="clear" w:color="auto" w:fill="auto"/>
                  <w:vAlign w:val="center"/>
                </w:tcPr>
                <w:p w14:paraId="0BD55242">
                  <w:pPr>
                    <w:widowControl/>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68</w:t>
                  </w:r>
                </w:p>
              </w:tc>
              <w:tc>
                <w:tcPr>
                  <w:tcW w:w="851" w:type="dxa"/>
                  <w:shd w:val="clear" w:color="auto" w:fill="auto"/>
                  <w:vAlign w:val="center"/>
                </w:tcPr>
                <w:p w14:paraId="74AF01DB">
                  <w:pPr>
                    <w:widowControl/>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75</w:t>
                  </w:r>
                </w:p>
              </w:tc>
            </w:tr>
            <w:bookmarkEnd w:id="8"/>
          </w:tbl>
          <w:p w14:paraId="31513D5F">
            <w:pPr>
              <w:spacing w:line="360" w:lineRule="auto"/>
              <w:rPr>
                <w:bCs/>
                <w:color w:val="auto"/>
                <w:sz w:val="24"/>
                <w:highlight w:val="none"/>
              </w:rPr>
            </w:pPr>
          </w:p>
        </w:tc>
      </w:tr>
    </w:tbl>
    <w:p w14:paraId="03663ADD">
      <w:pPr>
        <w:adjustRightInd w:val="0"/>
        <w:snapToGrid w:val="0"/>
        <w:spacing w:line="360" w:lineRule="auto"/>
        <w:rPr>
          <w:b/>
          <w:color w:val="auto"/>
          <w:kern w:val="0"/>
          <w:sz w:val="28"/>
          <w:szCs w:val="28"/>
          <w:highlight w:val="none"/>
        </w:rPr>
        <w:sectPr>
          <w:pgSz w:w="11907" w:h="16840"/>
          <w:pgMar w:top="1701" w:right="1531" w:bottom="1701" w:left="1531" w:header="851" w:footer="851" w:gutter="0"/>
          <w:cols w:space="720" w:num="1"/>
          <w:docGrid w:linePitch="312" w:charSpace="0"/>
        </w:sectPr>
      </w:pPr>
    </w:p>
    <w:p w14:paraId="5B2102B0">
      <w:pPr>
        <w:pStyle w:val="16"/>
        <w:jc w:val="center"/>
        <w:outlineLvl w:val="0"/>
        <w:rPr>
          <w:rFonts w:ascii="Times New Roman" w:hAnsi="Times New Roman" w:eastAsia="黑体"/>
          <w:snapToGrid w:val="0"/>
          <w:color w:val="auto"/>
          <w:sz w:val="30"/>
          <w:szCs w:val="30"/>
          <w:highlight w:val="none"/>
        </w:rPr>
      </w:pPr>
      <w:r>
        <w:rPr>
          <w:rFonts w:ascii="Times New Roman" w:hAnsi="Times New Roman" w:eastAsia="黑体"/>
          <w:snapToGrid w:val="0"/>
          <w:color w:val="auto"/>
          <w:sz w:val="30"/>
          <w:szCs w:val="30"/>
          <w:highlight w:val="none"/>
        </w:rPr>
        <w:t>五、</w:t>
      </w:r>
      <w:bookmarkStart w:id="9" w:name="_Hlk54167917"/>
      <w:r>
        <w:rPr>
          <w:rFonts w:ascii="Times New Roman" w:hAnsi="Times New Roman" w:eastAsia="黑体"/>
          <w:snapToGrid w:val="0"/>
          <w:color w:val="auto"/>
          <w:sz w:val="30"/>
          <w:szCs w:val="30"/>
          <w:highlight w:val="none"/>
        </w:rPr>
        <w:t>环境保护措施监督检查清单</w:t>
      </w:r>
      <w:bookmarkEnd w:id="9"/>
    </w:p>
    <w:tbl>
      <w:tblPr>
        <w:tblStyle w:val="20"/>
        <w:tblW w:w="88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68"/>
        <w:gridCol w:w="1471"/>
        <w:gridCol w:w="1634"/>
        <w:gridCol w:w="2085"/>
        <w:gridCol w:w="1842"/>
      </w:tblGrid>
      <w:tr w14:paraId="4C6584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8" w:type="dxa"/>
            <w:tcBorders>
              <w:tl2br w:val="single" w:color="auto" w:sz="4" w:space="0"/>
            </w:tcBorders>
          </w:tcPr>
          <w:p w14:paraId="32B9216C">
            <w:pPr>
              <w:adjustRightInd w:val="0"/>
              <w:snapToGrid w:val="0"/>
              <w:ind w:firstLine="840"/>
              <w:rPr>
                <w:b/>
                <w:bCs/>
                <w:color w:val="auto"/>
                <w:sz w:val="24"/>
                <w:highlight w:val="none"/>
              </w:rPr>
            </w:pPr>
            <w:r>
              <w:rPr>
                <w:b/>
                <w:bCs/>
                <w:color w:val="auto"/>
                <w:sz w:val="24"/>
                <w:highlight w:val="none"/>
              </w:rPr>
              <w:t>内容</w:t>
            </w:r>
          </w:p>
          <w:p w14:paraId="63398ABD">
            <w:pPr>
              <w:adjustRightInd w:val="0"/>
              <w:snapToGrid w:val="0"/>
              <w:rPr>
                <w:b/>
                <w:bCs/>
                <w:color w:val="auto"/>
                <w:sz w:val="24"/>
                <w:highlight w:val="none"/>
              </w:rPr>
            </w:pPr>
            <w:r>
              <w:rPr>
                <w:b/>
                <w:bCs/>
                <w:color w:val="auto"/>
                <w:sz w:val="24"/>
                <w:highlight w:val="none"/>
              </w:rPr>
              <w:t>要素</w:t>
            </w:r>
          </w:p>
        </w:tc>
        <w:tc>
          <w:tcPr>
            <w:tcW w:w="1471" w:type="dxa"/>
            <w:vAlign w:val="center"/>
          </w:tcPr>
          <w:p w14:paraId="35B9D1A6">
            <w:pPr>
              <w:adjustRightInd w:val="0"/>
              <w:snapToGrid w:val="0"/>
              <w:jc w:val="center"/>
              <w:rPr>
                <w:b/>
                <w:bCs/>
                <w:color w:val="auto"/>
                <w:sz w:val="24"/>
                <w:highlight w:val="none"/>
              </w:rPr>
            </w:pPr>
            <w:r>
              <w:rPr>
                <w:b/>
                <w:bCs/>
                <w:color w:val="auto"/>
                <w:sz w:val="24"/>
                <w:highlight w:val="none"/>
              </w:rPr>
              <w:t>排放口</w:t>
            </w:r>
            <w:r>
              <w:rPr>
                <w:rFonts w:hint="eastAsia"/>
                <w:b/>
                <w:bCs/>
                <w:color w:val="auto"/>
                <w:sz w:val="24"/>
                <w:highlight w:val="none"/>
                <w:lang w:eastAsia="zh-CN"/>
              </w:rPr>
              <w:t>（</w:t>
            </w:r>
            <w:r>
              <w:rPr>
                <w:b/>
                <w:bCs/>
                <w:color w:val="auto"/>
                <w:sz w:val="24"/>
                <w:highlight w:val="none"/>
              </w:rPr>
              <w:t>编号、</w:t>
            </w:r>
          </w:p>
          <w:p w14:paraId="6EB0C524">
            <w:pPr>
              <w:adjustRightInd w:val="0"/>
              <w:snapToGrid w:val="0"/>
              <w:jc w:val="center"/>
              <w:rPr>
                <w:b/>
                <w:bCs/>
                <w:color w:val="auto"/>
                <w:sz w:val="24"/>
                <w:highlight w:val="none"/>
              </w:rPr>
            </w:pPr>
            <w:r>
              <w:rPr>
                <w:b/>
                <w:bCs/>
                <w:color w:val="auto"/>
                <w:sz w:val="24"/>
                <w:highlight w:val="none"/>
              </w:rPr>
              <w:t>名称</w:t>
            </w:r>
            <w:r>
              <w:rPr>
                <w:rFonts w:hint="eastAsia"/>
                <w:b/>
                <w:bCs/>
                <w:color w:val="auto"/>
                <w:sz w:val="24"/>
                <w:highlight w:val="none"/>
                <w:lang w:eastAsia="zh-CN"/>
              </w:rPr>
              <w:t>）</w:t>
            </w:r>
            <w:r>
              <w:rPr>
                <w:b/>
                <w:bCs/>
                <w:color w:val="auto"/>
                <w:sz w:val="24"/>
                <w:highlight w:val="none"/>
              </w:rPr>
              <w:t>/污染源</w:t>
            </w:r>
          </w:p>
        </w:tc>
        <w:tc>
          <w:tcPr>
            <w:tcW w:w="1634" w:type="dxa"/>
            <w:vAlign w:val="center"/>
          </w:tcPr>
          <w:p w14:paraId="7CA26964">
            <w:pPr>
              <w:adjustRightInd w:val="0"/>
              <w:snapToGrid w:val="0"/>
              <w:jc w:val="center"/>
              <w:rPr>
                <w:b/>
                <w:bCs/>
                <w:color w:val="auto"/>
                <w:sz w:val="24"/>
                <w:highlight w:val="none"/>
              </w:rPr>
            </w:pPr>
            <w:r>
              <w:rPr>
                <w:b/>
                <w:bCs/>
                <w:color w:val="auto"/>
                <w:sz w:val="24"/>
                <w:highlight w:val="none"/>
              </w:rPr>
              <w:t>污染物项目</w:t>
            </w:r>
          </w:p>
        </w:tc>
        <w:tc>
          <w:tcPr>
            <w:tcW w:w="2085" w:type="dxa"/>
            <w:vAlign w:val="center"/>
          </w:tcPr>
          <w:p w14:paraId="604D8109">
            <w:pPr>
              <w:adjustRightInd w:val="0"/>
              <w:snapToGrid w:val="0"/>
              <w:jc w:val="center"/>
              <w:rPr>
                <w:b/>
                <w:bCs/>
                <w:color w:val="auto"/>
                <w:sz w:val="24"/>
                <w:highlight w:val="none"/>
              </w:rPr>
            </w:pPr>
            <w:r>
              <w:rPr>
                <w:b/>
                <w:bCs/>
                <w:color w:val="auto"/>
                <w:sz w:val="24"/>
                <w:highlight w:val="none"/>
              </w:rPr>
              <w:t>环境保护措施</w:t>
            </w:r>
          </w:p>
        </w:tc>
        <w:tc>
          <w:tcPr>
            <w:tcW w:w="1842" w:type="dxa"/>
            <w:vAlign w:val="center"/>
          </w:tcPr>
          <w:p w14:paraId="52383BC4">
            <w:pPr>
              <w:adjustRightInd w:val="0"/>
              <w:snapToGrid w:val="0"/>
              <w:jc w:val="center"/>
              <w:rPr>
                <w:b/>
                <w:bCs/>
                <w:color w:val="auto"/>
                <w:sz w:val="24"/>
                <w:highlight w:val="none"/>
              </w:rPr>
            </w:pPr>
            <w:r>
              <w:rPr>
                <w:b/>
                <w:bCs/>
                <w:color w:val="auto"/>
                <w:sz w:val="24"/>
                <w:highlight w:val="none"/>
              </w:rPr>
              <w:t>执行标准</w:t>
            </w:r>
          </w:p>
        </w:tc>
      </w:tr>
      <w:tr w14:paraId="186881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8" w:type="dxa"/>
            <w:vMerge w:val="restart"/>
            <w:vAlign w:val="center"/>
          </w:tcPr>
          <w:p w14:paraId="17464496">
            <w:pPr>
              <w:adjustRightInd w:val="0"/>
              <w:snapToGrid w:val="0"/>
              <w:jc w:val="center"/>
              <w:rPr>
                <w:b/>
                <w:bCs/>
                <w:color w:val="auto"/>
                <w:sz w:val="24"/>
                <w:highlight w:val="none"/>
              </w:rPr>
            </w:pPr>
            <w:r>
              <w:rPr>
                <w:b/>
                <w:bCs/>
                <w:color w:val="auto"/>
                <w:sz w:val="24"/>
                <w:highlight w:val="none"/>
              </w:rPr>
              <w:t>大气环境</w:t>
            </w:r>
          </w:p>
        </w:tc>
        <w:tc>
          <w:tcPr>
            <w:tcW w:w="1471" w:type="dxa"/>
            <w:shd w:val="clear" w:color="auto" w:fill="auto"/>
            <w:vAlign w:val="center"/>
          </w:tcPr>
          <w:p w14:paraId="2A0CEE54">
            <w:pPr>
              <w:adjustRightInd w:val="0"/>
              <w:snapToGrid w:val="0"/>
              <w:jc w:val="center"/>
              <w:rPr>
                <w:color w:val="auto"/>
                <w:kern w:val="0"/>
                <w:sz w:val="24"/>
                <w:highlight w:val="none"/>
              </w:rPr>
            </w:pPr>
            <w:r>
              <w:rPr>
                <w:color w:val="auto"/>
                <w:kern w:val="0"/>
                <w:sz w:val="24"/>
                <w:highlight w:val="none"/>
              </w:rPr>
              <w:t>火化机废气</w:t>
            </w:r>
          </w:p>
        </w:tc>
        <w:tc>
          <w:tcPr>
            <w:tcW w:w="1634" w:type="dxa"/>
            <w:vAlign w:val="center"/>
          </w:tcPr>
          <w:p w14:paraId="73C56422">
            <w:pPr>
              <w:adjustRightInd w:val="0"/>
              <w:snapToGrid w:val="0"/>
              <w:jc w:val="center"/>
              <w:rPr>
                <w:rFonts w:hint="eastAsia" w:eastAsia="宋体"/>
                <w:color w:val="auto"/>
                <w:sz w:val="24"/>
                <w:highlight w:val="none"/>
                <w:lang w:eastAsia="zh-CN"/>
              </w:rPr>
            </w:pPr>
            <w:r>
              <w:rPr>
                <w:color w:val="auto"/>
                <w:sz w:val="24"/>
                <w:highlight w:val="none"/>
              </w:rPr>
              <w:t>烟尘、二氧化硫、氮氧化物、一氧化碳、氯化氢、汞、二噁英、烟气黑度、氨、硫化氢、臭气浓度</w:t>
            </w:r>
          </w:p>
        </w:tc>
        <w:tc>
          <w:tcPr>
            <w:tcW w:w="2085" w:type="dxa"/>
            <w:vAlign w:val="center"/>
          </w:tcPr>
          <w:p w14:paraId="105AE611">
            <w:pPr>
              <w:adjustRightInd w:val="0"/>
              <w:snapToGrid w:val="0"/>
              <w:jc w:val="center"/>
              <w:rPr>
                <w:rFonts w:hint="eastAsia" w:eastAsia="宋体"/>
                <w:color w:val="auto"/>
                <w:sz w:val="24"/>
                <w:highlight w:val="none"/>
                <w:lang w:eastAsia="zh-CN"/>
              </w:rPr>
            </w:pPr>
            <w:r>
              <w:rPr>
                <w:rFonts w:hint="eastAsia"/>
                <w:color w:val="auto"/>
                <w:sz w:val="24"/>
                <w:highlight w:val="none"/>
              </w:rPr>
              <w:t>烟气急冷系统+消石灰+</w:t>
            </w:r>
            <w:r>
              <w:rPr>
                <w:rFonts w:hint="eastAsia"/>
                <w:color w:val="auto"/>
                <w:sz w:val="24"/>
                <w:highlight w:val="none"/>
                <w:lang w:eastAsia="zh-CN"/>
              </w:rPr>
              <w:t>旋风除尘器</w:t>
            </w:r>
            <w:r>
              <w:rPr>
                <w:color w:val="auto"/>
                <w:sz w:val="24"/>
                <w:highlight w:val="none"/>
              </w:rPr>
              <w:t>+</w:t>
            </w:r>
            <w:r>
              <w:rPr>
                <w:rFonts w:hint="eastAsia"/>
                <w:color w:val="auto"/>
                <w:sz w:val="24"/>
                <w:highlight w:val="none"/>
                <w:lang w:eastAsia="zh-CN"/>
              </w:rPr>
              <w:t>活性炭喷射装置+布袋除尘器</w:t>
            </w:r>
            <w:r>
              <w:rPr>
                <w:color w:val="auto"/>
                <w:sz w:val="24"/>
                <w:highlight w:val="none"/>
              </w:rPr>
              <w:t>+1根12</w:t>
            </w:r>
            <w:r>
              <w:rPr>
                <w:rFonts w:hint="eastAsia"/>
                <w:color w:val="auto"/>
                <w:sz w:val="24"/>
                <w:highlight w:val="none"/>
                <w:lang w:eastAsia="zh-CN"/>
              </w:rPr>
              <w:t>m</w:t>
            </w:r>
            <w:r>
              <w:rPr>
                <w:color w:val="auto"/>
                <w:sz w:val="24"/>
                <w:highlight w:val="none"/>
              </w:rPr>
              <w:t>高的排气筒排放</w:t>
            </w:r>
            <w:r>
              <w:rPr>
                <w:rFonts w:hint="eastAsia"/>
                <w:color w:val="auto"/>
                <w:sz w:val="24"/>
                <w:highlight w:val="none"/>
                <w:lang w:eastAsia="zh-CN"/>
              </w:rPr>
              <w:t>。</w:t>
            </w:r>
          </w:p>
        </w:tc>
        <w:tc>
          <w:tcPr>
            <w:tcW w:w="1842" w:type="dxa"/>
            <w:vMerge w:val="restart"/>
            <w:vAlign w:val="center"/>
          </w:tcPr>
          <w:p w14:paraId="0096D092">
            <w:pPr>
              <w:adjustRightInd w:val="0"/>
              <w:snapToGrid w:val="0"/>
              <w:jc w:val="center"/>
              <w:rPr>
                <w:rFonts w:hint="eastAsia" w:eastAsia="宋体"/>
                <w:color w:val="auto"/>
                <w:sz w:val="24"/>
                <w:highlight w:val="none"/>
                <w:lang w:eastAsia="zh-CN"/>
              </w:rPr>
            </w:pPr>
            <w:r>
              <w:rPr>
                <w:color w:val="auto"/>
                <w:sz w:val="24"/>
                <w:highlight w:val="none"/>
              </w:rPr>
              <w:t>《火葬场大气污染排放标准》（GB13801-2015）表2、表3，《恶臭污染物排放标准》（GB14554-93）表2</w:t>
            </w:r>
            <w:r>
              <w:rPr>
                <w:rFonts w:hint="eastAsia"/>
                <w:color w:val="auto"/>
                <w:sz w:val="24"/>
                <w:highlight w:val="none"/>
                <w:lang w:eastAsia="zh-CN"/>
              </w:rPr>
              <w:t>。</w:t>
            </w:r>
          </w:p>
        </w:tc>
      </w:tr>
      <w:tr w14:paraId="671A50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8" w:type="dxa"/>
            <w:vMerge w:val="continue"/>
            <w:vAlign w:val="center"/>
          </w:tcPr>
          <w:p w14:paraId="6C0FD186">
            <w:pPr>
              <w:adjustRightInd w:val="0"/>
              <w:snapToGrid w:val="0"/>
              <w:jc w:val="center"/>
              <w:rPr>
                <w:b/>
                <w:bCs/>
                <w:color w:val="auto"/>
                <w:sz w:val="24"/>
                <w:highlight w:val="none"/>
              </w:rPr>
            </w:pPr>
          </w:p>
        </w:tc>
        <w:tc>
          <w:tcPr>
            <w:tcW w:w="1471" w:type="dxa"/>
            <w:shd w:val="clear" w:color="auto" w:fill="auto"/>
            <w:vAlign w:val="center"/>
          </w:tcPr>
          <w:p w14:paraId="55B3B275">
            <w:pPr>
              <w:numPr>
                <w:ilvl w:val="3"/>
                <w:numId w:val="0"/>
              </w:numPr>
              <w:tabs>
                <w:tab w:val="left" w:pos="851"/>
                <w:tab w:val="left" w:pos="2880"/>
              </w:tabs>
              <w:adjustRightInd w:val="0"/>
              <w:snapToGrid w:val="0"/>
              <w:jc w:val="center"/>
              <w:rPr>
                <w:color w:val="auto"/>
                <w:kern w:val="0"/>
                <w:sz w:val="24"/>
                <w:highlight w:val="none"/>
              </w:rPr>
            </w:pPr>
            <w:r>
              <w:rPr>
                <w:color w:val="auto"/>
                <w:sz w:val="24"/>
                <w:highlight w:val="none"/>
              </w:rPr>
              <w:t>焚烧炉废气</w:t>
            </w:r>
          </w:p>
        </w:tc>
        <w:tc>
          <w:tcPr>
            <w:tcW w:w="1634" w:type="dxa"/>
            <w:vAlign w:val="center"/>
          </w:tcPr>
          <w:p w14:paraId="20D3B4EB">
            <w:pPr>
              <w:adjustRightInd w:val="0"/>
              <w:snapToGrid w:val="0"/>
              <w:jc w:val="center"/>
              <w:rPr>
                <w:rFonts w:hint="eastAsia" w:eastAsia="宋体"/>
                <w:color w:val="auto"/>
                <w:sz w:val="24"/>
                <w:highlight w:val="none"/>
                <w:lang w:eastAsia="zh-CN"/>
              </w:rPr>
            </w:pPr>
            <w:r>
              <w:rPr>
                <w:color w:val="auto"/>
                <w:sz w:val="24"/>
                <w:highlight w:val="none"/>
              </w:rPr>
              <w:t>烟尘、二氧化硫、氮氧化物、一氧化碳、氯化氢、二噁英、烟气黑度</w:t>
            </w:r>
          </w:p>
        </w:tc>
        <w:tc>
          <w:tcPr>
            <w:tcW w:w="2085" w:type="dxa"/>
            <w:vAlign w:val="center"/>
          </w:tcPr>
          <w:p w14:paraId="5F28A67E">
            <w:pPr>
              <w:numPr>
                <w:ilvl w:val="3"/>
                <w:numId w:val="0"/>
              </w:numPr>
              <w:tabs>
                <w:tab w:val="left" w:pos="851"/>
                <w:tab w:val="left" w:pos="2880"/>
              </w:tabs>
              <w:adjustRightInd w:val="0"/>
              <w:snapToGrid w:val="0"/>
              <w:jc w:val="center"/>
              <w:rPr>
                <w:rFonts w:hint="eastAsia" w:eastAsia="宋体"/>
                <w:color w:val="auto"/>
                <w:sz w:val="24"/>
                <w:highlight w:val="none"/>
                <w:lang w:eastAsia="zh-CN"/>
              </w:rPr>
            </w:pPr>
            <w:r>
              <w:rPr>
                <w:rFonts w:hint="eastAsia"/>
                <w:bCs/>
                <w:color w:val="auto"/>
                <w:kern w:val="0"/>
                <w:sz w:val="24"/>
                <w:highlight w:val="none"/>
              </w:rPr>
              <w:t>烟气急冷系统+消石灰+</w:t>
            </w:r>
            <w:r>
              <w:rPr>
                <w:rFonts w:hint="eastAsia"/>
                <w:bCs/>
                <w:color w:val="auto"/>
                <w:kern w:val="0"/>
                <w:sz w:val="24"/>
                <w:highlight w:val="none"/>
                <w:lang w:eastAsia="zh-CN"/>
              </w:rPr>
              <w:t>旋风除尘器</w:t>
            </w:r>
            <w:r>
              <w:rPr>
                <w:bCs/>
                <w:color w:val="auto"/>
                <w:kern w:val="0"/>
                <w:sz w:val="24"/>
                <w:highlight w:val="none"/>
              </w:rPr>
              <w:t>+</w:t>
            </w:r>
            <w:r>
              <w:rPr>
                <w:rFonts w:hint="eastAsia"/>
                <w:bCs/>
                <w:color w:val="auto"/>
                <w:kern w:val="0"/>
                <w:sz w:val="24"/>
                <w:highlight w:val="none"/>
                <w:lang w:eastAsia="zh-CN"/>
              </w:rPr>
              <w:t>活性炭喷射装置+布袋除尘器</w:t>
            </w:r>
            <w:r>
              <w:rPr>
                <w:bCs/>
                <w:color w:val="auto"/>
                <w:kern w:val="0"/>
                <w:sz w:val="24"/>
                <w:highlight w:val="none"/>
              </w:rPr>
              <w:t>+1根12</w:t>
            </w:r>
            <w:r>
              <w:rPr>
                <w:rFonts w:hint="eastAsia"/>
                <w:bCs/>
                <w:color w:val="auto"/>
                <w:kern w:val="0"/>
                <w:sz w:val="24"/>
                <w:highlight w:val="none"/>
                <w:lang w:eastAsia="zh-CN"/>
              </w:rPr>
              <w:t>m</w:t>
            </w:r>
            <w:r>
              <w:rPr>
                <w:bCs/>
                <w:color w:val="auto"/>
                <w:kern w:val="0"/>
                <w:sz w:val="24"/>
                <w:highlight w:val="none"/>
              </w:rPr>
              <w:t>高的排气筒排放</w:t>
            </w:r>
            <w:r>
              <w:rPr>
                <w:rFonts w:hint="eastAsia"/>
                <w:bCs/>
                <w:color w:val="auto"/>
                <w:kern w:val="0"/>
                <w:sz w:val="24"/>
                <w:highlight w:val="none"/>
                <w:lang w:eastAsia="zh-CN"/>
              </w:rPr>
              <w:t>。</w:t>
            </w:r>
          </w:p>
        </w:tc>
        <w:tc>
          <w:tcPr>
            <w:tcW w:w="1842" w:type="dxa"/>
            <w:vMerge w:val="continue"/>
            <w:vAlign w:val="center"/>
          </w:tcPr>
          <w:p w14:paraId="634AD78A">
            <w:pPr>
              <w:adjustRightInd w:val="0"/>
              <w:snapToGrid w:val="0"/>
              <w:jc w:val="center"/>
              <w:rPr>
                <w:color w:val="auto"/>
                <w:sz w:val="24"/>
                <w:highlight w:val="none"/>
              </w:rPr>
            </w:pPr>
          </w:p>
        </w:tc>
      </w:tr>
      <w:tr w14:paraId="2530A2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8" w:type="dxa"/>
            <w:vAlign w:val="center"/>
          </w:tcPr>
          <w:p w14:paraId="4026B038">
            <w:pPr>
              <w:adjustRightInd w:val="0"/>
              <w:snapToGrid w:val="0"/>
              <w:jc w:val="center"/>
              <w:rPr>
                <w:b/>
                <w:bCs/>
                <w:color w:val="auto"/>
                <w:sz w:val="24"/>
                <w:highlight w:val="none"/>
              </w:rPr>
            </w:pPr>
            <w:r>
              <w:rPr>
                <w:b/>
                <w:bCs/>
                <w:color w:val="auto"/>
                <w:sz w:val="24"/>
                <w:highlight w:val="none"/>
              </w:rPr>
              <w:t>地表水环境</w:t>
            </w:r>
          </w:p>
        </w:tc>
        <w:tc>
          <w:tcPr>
            <w:tcW w:w="1471" w:type="dxa"/>
            <w:shd w:val="clear" w:color="auto" w:fill="auto"/>
            <w:vAlign w:val="center"/>
          </w:tcPr>
          <w:p w14:paraId="07DE3DC6">
            <w:pPr>
              <w:adjustRightInd w:val="0"/>
              <w:snapToGrid w:val="0"/>
              <w:jc w:val="center"/>
              <w:rPr>
                <w:rFonts w:hint="eastAsia" w:eastAsia="宋体"/>
                <w:color w:val="auto"/>
                <w:sz w:val="24"/>
                <w:highlight w:val="none"/>
                <w:lang w:eastAsia="zh-CN"/>
              </w:rPr>
            </w:pPr>
            <w:r>
              <w:rPr>
                <w:color w:val="auto"/>
                <w:sz w:val="24"/>
                <w:highlight w:val="none"/>
              </w:rPr>
              <w:t>生活污水、餐饮废水、遗体处置废水、解剖废水、殡仪车辆清洗废水</w:t>
            </w:r>
          </w:p>
        </w:tc>
        <w:tc>
          <w:tcPr>
            <w:tcW w:w="1634" w:type="dxa"/>
            <w:shd w:val="clear" w:color="auto" w:fill="auto"/>
            <w:vAlign w:val="center"/>
          </w:tcPr>
          <w:p w14:paraId="5FCBA9AB">
            <w:pPr>
              <w:adjustRightInd w:val="0"/>
              <w:snapToGrid w:val="0"/>
              <w:jc w:val="center"/>
              <w:rPr>
                <w:rFonts w:hint="eastAsia" w:eastAsia="宋体"/>
                <w:color w:val="auto"/>
                <w:sz w:val="24"/>
                <w:highlight w:val="none"/>
                <w:lang w:eastAsia="zh-CN"/>
              </w:rPr>
            </w:pPr>
            <w:r>
              <w:rPr>
                <w:color w:val="auto"/>
                <w:sz w:val="24"/>
                <w:highlight w:val="none"/>
              </w:rPr>
              <w:t>COD、BOD、SS、NH</w:t>
            </w:r>
            <w:r>
              <w:rPr>
                <w:color w:val="auto"/>
                <w:sz w:val="24"/>
                <w:highlight w:val="none"/>
                <w:vertAlign w:val="subscript"/>
              </w:rPr>
              <w:t>3</w:t>
            </w:r>
            <w:r>
              <w:rPr>
                <w:color w:val="auto"/>
                <w:sz w:val="24"/>
                <w:highlight w:val="none"/>
              </w:rPr>
              <w:t>-N、总氮、总磷、动植物油</w:t>
            </w:r>
          </w:p>
        </w:tc>
        <w:tc>
          <w:tcPr>
            <w:tcW w:w="2085" w:type="dxa"/>
            <w:shd w:val="clear" w:color="auto" w:fill="auto"/>
            <w:vAlign w:val="center"/>
          </w:tcPr>
          <w:p w14:paraId="175E7BD1">
            <w:pPr>
              <w:adjustRightInd w:val="0"/>
              <w:snapToGrid w:val="0"/>
              <w:jc w:val="center"/>
              <w:rPr>
                <w:color w:val="auto"/>
                <w:sz w:val="24"/>
                <w:highlight w:val="none"/>
              </w:rPr>
            </w:pPr>
            <w:r>
              <w:rPr>
                <w:bCs/>
                <w:color w:val="auto"/>
                <w:sz w:val="24"/>
                <w:highlight w:val="none"/>
              </w:rPr>
              <w:t>经化粪池收集后，定期拉运至杭锦旗锡尼镇污水处理厂处理。</w:t>
            </w:r>
          </w:p>
        </w:tc>
        <w:tc>
          <w:tcPr>
            <w:tcW w:w="1842" w:type="dxa"/>
            <w:shd w:val="clear" w:color="auto" w:fill="auto"/>
            <w:vAlign w:val="center"/>
          </w:tcPr>
          <w:p w14:paraId="4C31A463">
            <w:pPr>
              <w:adjustRightInd w:val="0"/>
              <w:snapToGrid w:val="0"/>
              <w:jc w:val="center"/>
              <w:rPr>
                <w:rFonts w:hint="eastAsia" w:eastAsia="宋体"/>
                <w:color w:val="auto"/>
                <w:sz w:val="24"/>
                <w:highlight w:val="none"/>
                <w:lang w:eastAsia="zh-CN"/>
              </w:rPr>
            </w:pPr>
            <w:r>
              <w:rPr>
                <w:snapToGrid w:val="0"/>
                <w:color w:val="auto"/>
                <w:sz w:val="24"/>
                <w:highlight w:val="none"/>
              </w:rPr>
              <w:t>《污水综合排放标准》（GB8978-1996）中的三级标准</w:t>
            </w:r>
            <w:r>
              <w:rPr>
                <w:rFonts w:hint="eastAsia"/>
                <w:snapToGrid w:val="0"/>
                <w:color w:val="auto"/>
                <w:sz w:val="24"/>
                <w:highlight w:val="none"/>
                <w:lang w:eastAsia="zh-CN"/>
              </w:rPr>
              <w:t>。</w:t>
            </w:r>
          </w:p>
        </w:tc>
      </w:tr>
      <w:tr w14:paraId="6A8D35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8" w:type="dxa"/>
            <w:vAlign w:val="center"/>
          </w:tcPr>
          <w:p w14:paraId="4D808191">
            <w:pPr>
              <w:adjustRightInd w:val="0"/>
              <w:snapToGrid w:val="0"/>
              <w:jc w:val="center"/>
              <w:rPr>
                <w:b/>
                <w:bCs/>
                <w:color w:val="auto"/>
                <w:sz w:val="24"/>
                <w:highlight w:val="none"/>
              </w:rPr>
            </w:pPr>
            <w:r>
              <w:rPr>
                <w:b/>
                <w:bCs/>
                <w:color w:val="auto"/>
                <w:sz w:val="24"/>
                <w:highlight w:val="none"/>
              </w:rPr>
              <w:t>声环境</w:t>
            </w:r>
          </w:p>
        </w:tc>
        <w:tc>
          <w:tcPr>
            <w:tcW w:w="1471" w:type="dxa"/>
            <w:vAlign w:val="center"/>
          </w:tcPr>
          <w:p w14:paraId="2BBEF0A2">
            <w:pPr>
              <w:adjustRightInd w:val="0"/>
              <w:snapToGrid w:val="0"/>
              <w:jc w:val="center"/>
              <w:rPr>
                <w:color w:val="auto"/>
                <w:sz w:val="24"/>
                <w:highlight w:val="none"/>
              </w:rPr>
            </w:pPr>
            <w:r>
              <w:rPr>
                <w:color w:val="auto"/>
                <w:sz w:val="24"/>
                <w:highlight w:val="none"/>
              </w:rPr>
              <w:t>设备</w:t>
            </w:r>
          </w:p>
        </w:tc>
        <w:tc>
          <w:tcPr>
            <w:tcW w:w="1634" w:type="dxa"/>
            <w:vAlign w:val="center"/>
          </w:tcPr>
          <w:p w14:paraId="2BDCB22C">
            <w:pPr>
              <w:adjustRightInd w:val="0"/>
              <w:snapToGrid w:val="0"/>
              <w:jc w:val="center"/>
              <w:rPr>
                <w:rFonts w:hint="eastAsia" w:eastAsia="宋体"/>
                <w:color w:val="auto"/>
                <w:sz w:val="24"/>
                <w:highlight w:val="none"/>
                <w:lang w:eastAsia="zh-CN"/>
              </w:rPr>
            </w:pPr>
            <w:r>
              <w:rPr>
                <w:color w:val="auto"/>
                <w:sz w:val="24"/>
                <w:highlight w:val="none"/>
              </w:rPr>
              <w:t>等效连续A声级</w:t>
            </w:r>
          </w:p>
        </w:tc>
        <w:tc>
          <w:tcPr>
            <w:tcW w:w="2085" w:type="dxa"/>
            <w:vAlign w:val="center"/>
          </w:tcPr>
          <w:p w14:paraId="4BA44ECA">
            <w:pPr>
              <w:adjustRightInd w:val="0"/>
              <w:snapToGrid w:val="0"/>
              <w:jc w:val="center"/>
              <w:rPr>
                <w:color w:val="auto"/>
                <w:sz w:val="24"/>
                <w:highlight w:val="none"/>
              </w:rPr>
            </w:pPr>
            <w:r>
              <w:rPr>
                <w:color w:val="auto"/>
                <w:sz w:val="24"/>
                <w:highlight w:val="none"/>
              </w:rPr>
              <w:t>选用低噪声设备；设备安装减振垫，并加强维护。</w:t>
            </w:r>
          </w:p>
        </w:tc>
        <w:tc>
          <w:tcPr>
            <w:tcW w:w="1842" w:type="dxa"/>
            <w:vAlign w:val="center"/>
          </w:tcPr>
          <w:p w14:paraId="3A12B187">
            <w:pPr>
              <w:adjustRightInd w:val="0"/>
              <w:snapToGrid w:val="0"/>
              <w:jc w:val="center"/>
              <w:rPr>
                <w:rFonts w:hint="eastAsia" w:eastAsia="宋体"/>
                <w:color w:val="auto"/>
                <w:sz w:val="24"/>
                <w:highlight w:val="none"/>
                <w:lang w:eastAsia="zh-CN"/>
              </w:rPr>
            </w:pPr>
            <w:r>
              <w:rPr>
                <w:color w:val="auto"/>
                <w:sz w:val="24"/>
                <w:highlight w:val="none"/>
              </w:rPr>
              <w:t>《工业企业厂界环境噪声排放标准》（GB12348-2008）1类标准要求</w:t>
            </w:r>
            <w:r>
              <w:rPr>
                <w:rFonts w:hint="eastAsia"/>
                <w:color w:val="auto"/>
                <w:sz w:val="24"/>
                <w:highlight w:val="none"/>
                <w:lang w:eastAsia="zh-CN"/>
              </w:rPr>
              <w:t>。</w:t>
            </w:r>
          </w:p>
        </w:tc>
      </w:tr>
      <w:tr w14:paraId="58AD7D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768" w:type="dxa"/>
            <w:vAlign w:val="center"/>
          </w:tcPr>
          <w:p w14:paraId="399A9BBA">
            <w:pPr>
              <w:adjustRightInd w:val="0"/>
              <w:snapToGrid w:val="0"/>
              <w:jc w:val="center"/>
              <w:rPr>
                <w:b/>
                <w:bCs/>
                <w:color w:val="auto"/>
                <w:sz w:val="24"/>
                <w:highlight w:val="none"/>
              </w:rPr>
            </w:pPr>
            <w:r>
              <w:rPr>
                <w:b/>
                <w:bCs/>
                <w:color w:val="auto"/>
                <w:sz w:val="24"/>
                <w:highlight w:val="none"/>
              </w:rPr>
              <w:t>固体废物</w:t>
            </w:r>
          </w:p>
        </w:tc>
        <w:tc>
          <w:tcPr>
            <w:tcW w:w="7032" w:type="dxa"/>
            <w:gridSpan w:val="4"/>
            <w:vAlign w:val="center"/>
          </w:tcPr>
          <w:p w14:paraId="1B0DCC4F">
            <w:pPr>
              <w:ind w:firstLine="480" w:firstLineChars="200"/>
              <w:jc w:val="left"/>
              <w:rPr>
                <w:color w:val="auto"/>
                <w:sz w:val="24"/>
                <w:highlight w:val="none"/>
              </w:rPr>
            </w:pPr>
            <w:r>
              <w:rPr>
                <w:color w:val="auto"/>
                <w:sz w:val="24"/>
                <w:highlight w:val="none"/>
              </w:rPr>
              <w:t>生活垃圾经厂内垃圾箱收集后交由当地环卫部门定期清运处理；</w:t>
            </w:r>
            <w:r>
              <w:rPr>
                <w:rFonts w:hint="eastAsia"/>
                <w:color w:val="auto"/>
                <w:sz w:val="24"/>
                <w:highlight w:val="none"/>
                <w:lang w:eastAsia="zh-CN"/>
              </w:rPr>
              <w:t>除尘灰（含废活性炭）</w:t>
            </w:r>
            <w:r>
              <w:rPr>
                <w:color w:val="auto"/>
                <w:sz w:val="24"/>
                <w:highlight w:val="none"/>
              </w:rPr>
              <w:t>、焚烧炉渣集中收集至危废暂存间暂存，定期送至锡尼镇垃圾填埋场填埋；</w:t>
            </w:r>
            <w:r>
              <w:rPr>
                <w:rFonts w:hint="eastAsia"/>
                <w:color w:val="auto"/>
                <w:sz w:val="24"/>
                <w:highlight w:val="none"/>
              </w:rPr>
              <w:t>除酸废渣、</w:t>
            </w:r>
            <w:r>
              <w:rPr>
                <w:color w:val="auto"/>
                <w:sz w:val="24"/>
                <w:highlight w:val="none"/>
              </w:rPr>
              <w:t>废</w:t>
            </w:r>
            <w:r>
              <w:rPr>
                <w:rFonts w:hint="eastAsia"/>
                <w:color w:val="auto"/>
                <w:sz w:val="24"/>
                <w:highlight w:val="none"/>
              </w:rPr>
              <w:t>布袋</w:t>
            </w:r>
            <w:r>
              <w:rPr>
                <w:color w:val="auto"/>
                <w:sz w:val="24"/>
                <w:highlight w:val="none"/>
              </w:rPr>
              <w:t>收集至危废暂存间内，最终交有资质单位处置。</w:t>
            </w:r>
            <w:r>
              <w:rPr>
                <w:rFonts w:hint="eastAsia"/>
                <w:color w:val="auto"/>
                <w:sz w:val="24"/>
                <w:highlight w:val="none"/>
                <w:lang w:val="en-US" w:eastAsia="zh-CN"/>
              </w:rPr>
              <w:t>设备维修产生的废矿物油、废油桶暂存于危废暂存间内，最终交有资质单位处置。</w:t>
            </w:r>
          </w:p>
        </w:tc>
      </w:tr>
      <w:tr w14:paraId="4C03CE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768" w:type="dxa"/>
            <w:vAlign w:val="center"/>
          </w:tcPr>
          <w:p w14:paraId="04F2DFDC">
            <w:pPr>
              <w:adjustRightInd w:val="0"/>
              <w:snapToGrid w:val="0"/>
              <w:jc w:val="center"/>
              <w:rPr>
                <w:b/>
                <w:bCs/>
                <w:color w:val="auto"/>
                <w:sz w:val="24"/>
                <w:highlight w:val="none"/>
              </w:rPr>
            </w:pPr>
            <w:r>
              <w:rPr>
                <w:b/>
                <w:bCs/>
                <w:color w:val="auto"/>
                <w:sz w:val="24"/>
                <w:highlight w:val="none"/>
              </w:rPr>
              <w:t>土壤及地下水</w:t>
            </w:r>
          </w:p>
          <w:p w14:paraId="3BACA3EF">
            <w:pPr>
              <w:adjustRightInd w:val="0"/>
              <w:snapToGrid w:val="0"/>
              <w:jc w:val="center"/>
              <w:rPr>
                <w:b/>
                <w:bCs/>
                <w:color w:val="auto"/>
                <w:sz w:val="24"/>
                <w:highlight w:val="none"/>
              </w:rPr>
            </w:pPr>
            <w:r>
              <w:rPr>
                <w:b/>
                <w:bCs/>
                <w:color w:val="auto"/>
                <w:sz w:val="24"/>
                <w:highlight w:val="none"/>
              </w:rPr>
              <w:t>污染防治措施</w:t>
            </w:r>
          </w:p>
        </w:tc>
        <w:tc>
          <w:tcPr>
            <w:tcW w:w="7032" w:type="dxa"/>
            <w:gridSpan w:val="4"/>
            <w:vAlign w:val="center"/>
          </w:tcPr>
          <w:p w14:paraId="3274493B">
            <w:pPr>
              <w:widowControl/>
              <w:ind w:firstLine="480" w:firstLineChars="200"/>
              <w:rPr>
                <w:color w:val="auto"/>
                <w:kern w:val="0"/>
                <w:sz w:val="24"/>
                <w:highlight w:val="none"/>
              </w:rPr>
            </w:pPr>
            <w:r>
              <w:rPr>
                <w:color w:val="auto"/>
                <w:kern w:val="0"/>
                <w:sz w:val="24"/>
                <w:highlight w:val="none"/>
              </w:rPr>
              <w:t>重点防渗区：危废暂存间、储油间地面、裙角以及导流槽、集液池基础防渗措施：防渗层为至少2</w:t>
            </w:r>
            <w:r>
              <w:rPr>
                <w:rFonts w:hint="eastAsia"/>
                <w:color w:val="auto"/>
                <w:kern w:val="0"/>
                <w:sz w:val="24"/>
                <w:highlight w:val="none"/>
                <w:lang w:eastAsia="zh-CN"/>
              </w:rPr>
              <w:t>mm</w:t>
            </w:r>
            <w:r>
              <w:rPr>
                <w:color w:val="auto"/>
                <w:kern w:val="0"/>
                <w:sz w:val="24"/>
                <w:highlight w:val="none"/>
              </w:rPr>
              <w:t>厚高密度聚乙烯膜（渗透系数不大于10</w:t>
            </w:r>
            <w:r>
              <w:rPr>
                <w:color w:val="auto"/>
                <w:kern w:val="0"/>
                <w:sz w:val="24"/>
                <w:highlight w:val="none"/>
                <w:vertAlign w:val="superscript"/>
              </w:rPr>
              <w:t>-10</w:t>
            </w:r>
            <w:r>
              <w:rPr>
                <w:color w:val="auto"/>
                <w:kern w:val="0"/>
                <w:sz w:val="24"/>
                <w:highlight w:val="none"/>
              </w:rPr>
              <w:t>c</w:t>
            </w:r>
            <w:r>
              <w:rPr>
                <w:rFonts w:hint="eastAsia"/>
                <w:color w:val="auto"/>
                <w:kern w:val="0"/>
                <w:sz w:val="24"/>
                <w:highlight w:val="none"/>
                <w:lang w:eastAsia="zh-CN"/>
              </w:rPr>
              <w:t>m</w:t>
            </w:r>
            <w:r>
              <w:rPr>
                <w:color w:val="auto"/>
                <w:kern w:val="0"/>
                <w:sz w:val="24"/>
                <w:highlight w:val="none"/>
              </w:rPr>
              <w:t>/s），地面、裙角以及导流槽、集液池表面防渗采用抗渗混凝土。</w:t>
            </w:r>
          </w:p>
          <w:p w14:paraId="36FEE291">
            <w:pPr>
              <w:widowControl/>
              <w:ind w:firstLine="480" w:firstLineChars="200"/>
              <w:rPr>
                <w:color w:val="auto"/>
                <w:kern w:val="0"/>
                <w:sz w:val="24"/>
                <w:highlight w:val="none"/>
              </w:rPr>
            </w:pPr>
            <w:r>
              <w:rPr>
                <w:color w:val="auto"/>
                <w:kern w:val="0"/>
                <w:sz w:val="24"/>
                <w:highlight w:val="none"/>
              </w:rPr>
              <w:t>一般防渗区：采用玻璃钢化粪池。</w:t>
            </w:r>
          </w:p>
          <w:p w14:paraId="527747BC">
            <w:pPr>
              <w:adjustRightInd w:val="0"/>
              <w:snapToGrid w:val="0"/>
              <w:ind w:firstLine="480" w:firstLineChars="200"/>
              <w:jc w:val="left"/>
              <w:rPr>
                <w:color w:val="auto"/>
                <w:sz w:val="24"/>
                <w:highlight w:val="none"/>
              </w:rPr>
            </w:pPr>
            <w:r>
              <w:rPr>
                <w:color w:val="auto"/>
                <w:kern w:val="0"/>
                <w:sz w:val="24"/>
                <w:highlight w:val="none"/>
              </w:rPr>
              <w:t>简单防渗区：其他区域采用水泥进行地面硬化</w:t>
            </w:r>
            <w:r>
              <w:rPr>
                <w:color w:val="auto"/>
                <w:sz w:val="24"/>
                <w:highlight w:val="none"/>
              </w:rPr>
              <w:t>。</w:t>
            </w:r>
          </w:p>
        </w:tc>
      </w:tr>
      <w:tr w14:paraId="31D255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8" w:type="dxa"/>
            <w:vAlign w:val="center"/>
          </w:tcPr>
          <w:p w14:paraId="7D03FAA4">
            <w:pPr>
              <w:adjustRightInd w:val="0"/>
              <w:snapToGrid w:val="0"/>
              <w:jc w:val="center"/>
              <w:rPr>
                <w:b/>
                <w:bCs/>
                <w:color w:val="auto"/>
                <w:sz w:val="24"/>
                <w:highlight w:val="none"/>
              </w:rPr>
            </w:pPr>
            <w:r>
              <w:rPr>
                <w:b/>
                <w:bCs/>
                <w:color w:val="auto"/>
                <w:sz w:val="24"/>
                <w:highlight w:val="none"/>
              </w:rPr>
              <w:t>生态保护措施</w:t>
            </w:r>
          </w:p>
        </w:tc>
        <w:tc>
          <w:tcPr>
            <w:tcW w:w="7032" w:type="dxa"/>
            <w:gridSpan w:val="4"/>
            <w:vAlign w:val="center"/>
          </w:tcPr>
          <w:p w14:paraId="2E481A8D">
            <w:pPr>
              <w:adjustRightInd w:val="0"/>
              <w:snapToGrid w:val="0"/>
              <w:ind w:firstLine="480" w:firstLineChars="200"/>
              <w:jc w:val="left"/>
              <w:rPr>
                <w:color w:val="auto"/>
                <w:sz w:val="24"/>
                <w:highlight w:val="none"/>
              </w:rPr>
            </w:pPr>
            <w:r>
              <w:rPr>
                <w:color w:val="auto"/>
                <w:sz w:val="24"/>
                <w:highlight w:val="none"/>
              </w:rPr>
              <w:t>无。</w:t>
            </w:r>
          </w:p>
        </w:tc>
      </w:tr>
      <w:tr w14:paraId="09E443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768" w:type="dxa"/>
            <w:vAlign w:val="center"/>
          </w:tcPr>
          <w:p w14:paraId="3A308D8B">
            <w:pPr>
              <w:adjustRightInd w:val="0"/>
              <w:snapToGrid w:val="0"/>
              <w:jc w:val="center"/>
              <w:rPr>
                <w:b/>
                <w:bCs/>
                <w:color w:val="auto"/>
                <w:sz w:val="24"/>
                <w:highlight w:val="none"/>
              </w:rPr>
            </w:pPr>
            <w:r>
              <w:rPr>
                <w:b/>
                <w:bCs/>
                <w:color w:val="auto"/>
                <w:sz w:val="24"/>
                <w:highlight w:val="none"/>
              </w:rPr>
              <w:t>环境风险</w:t>
            </w:r>
          </w:p>
          <w:p w14:paraId="1F9FB5A0">
            <w:pPr>
              <w:adjustRightInd w:val="0"/>
              <w:snapToGrid w:val="0"/>
              <w:jc w:val="center"/>
              <w:rPr>
                <w:b/>
                <w:bCs/>
                <w:color w:val="auto"/>
                <w:spacing w:val="-8"/>
                <w:sz w:val="24"/>
                <w:highlight w:val="none"/>
              </w:rPr>
            </w:pPr>
            <w:r>
              <w:rPr>
                <w:b/>
                <w:bCs/>
                <w:color w:val="auto"/>
                <w:sz w:val="24"/>
                <w:highlight w:val="none"/>
              </w:rPr>
              <w:t>防范措施</w:t>
            </w:r>
          </w:p>
        </w:tc>
        <w:tc>
          <w:tcPr>
            <w:tcW w:w="7032" w:type="dxa"/>
            <w:gridSpan w:val="4"/>
            <w:vAlign w:val="center"/>
          </w:tcPr>
          <w:p w14:paraId="41024DA9">
            <w:pPr>
              <w:adjustRightInd w:val="0"/>
              <w:snapToGrid w:val="0"/>
              <w:ind w:firstLine="480" w:firstLineChars="200"/>
              <w:jc w:val="left"/>
              <w:rPr>
                <w:color w:val="auto"/>
                <w:sz w:val="24"/>
                <w:highlight w:val="none"/>
                <w:lang w:bidi="zh-CN"/>
              </w:rPr>
            </w:pPr>
            <w:r>
              <w:rPr>
                <w:color w:val="auto"/>
                <w:sz w:val="24"/>
                <w:highlight w:val="none"/>
              </w:rPr>
              <w:t>运行期间，加强人员的管理与培训，配备一定数量的应急救援物资以及灭火设施设备，储油间</w:t>
            </w:r>
            <w:r>
              <w:rPr>
                <w:rFonts w:hint="eastAsia"/>
                <w:color w:val="auto"/>
                <w:sz w:val="24"/>
                <w:highlight w:val="none"/>
                <w:lang w:eastAsia="zh-CN"/>
              </w:rPr>
              <w:t>、</w:t>
            </w:r>
            <w:r>
              <w:rPr>
                <w:rFonts w:hint="eastAsia"/>
                <w:color w:val="auto"/>
                <w:sz w:val="24"/>
                <w:highlight w:val="none"/>
                <w:lang w:val="en-US" w:eastAsia="zh-CN"/>
              </w:rPr>
              <w:t>危废暂存间</w:t>
            </w:r>
            <w:r>
              <w:rPr>
                <w:color w:val="auto"/>
                <w:sz w:val="24"/>
                <w:highlight w:val="none"/>
              </w:rPr>
              <w:t>区域内禁止明火等。</w:t>
            </w:r>
          </w:p>
        </w:tc>
      </w:tr>
      <w:tr w14:paraId="46B643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768" w:type="dxa"/>
            <w:vAlign w:val="center"/>
          </w:tcPr>
          <w:p w14:paraId="5E469E12">
            <w:pPr>
              <w:adjustRightInd w:val="0"/>
              <w:snapToGrid w:val="0"/>
              <w:jc w:val="center"/>
              <w:rPr>
                <w:b/>
                <w:bCs/>
                <w:color w:val="auto"/>
                <w:sz w:val="24"/>
                <w:highlight w:val="none"/>
              </w:rPr>
            </w:pPr>
            <w:r>
              <w:rPr>
                <w:b/>
                <w:bCs/>
                <w:color w:val="auto"/>
                <w:sz w:val="24"/>
                <w:highlight w:val="none"/>
              </w:rPr>
              <w:t>其他环境</w:t>
            </w:r>
          </w:p>
          <w:p w14:paraId="59BCA3D0">
            <w:pPr>
              <w:adjustRightInd w:val="0"/>
              <w:snapToGrid w:val="0"/>
              <w:jc w:val="center"/>
              <w:rPr>
                <w:b/>
                <w:bCs/>
                <w:color w:val="auto"/>
                <w:sz w:val="24"/>
                <w:highlight w:val="none"/>
              </w:rPr>
            </w:pPr>
            <w:r>
              <w:rPr>
                <w:b/>
                <w:bCs/>
                <w:color w:val="auto"/>
                <w:sz w:val="24"/>
                <w:highlight w:val="none"/>
              </w:rPr>
              <w:t>管理要求</w:t>
            </w:r>
          </w:p>
        </w:tc>
        <w:tc>
          <w:tcPr>
            <w:tcW w:w="7032" w:type="dxa"/>
            <w:gridSpan w:val="4"/>
            <w:vAlign w:val="center"/>
          </w:tcPr>
          <w:p w14:paraId="2FDC019F">
            <w:pPr>
              <w:adjustRightInd w:val="0"/>
              <w:snapToGrid w:val="0"/>
              <w:ind w:firstLine="480" w:firstLineChars="200"/>
              <w:jc w:val="left"/>
              <w:rPr>
                <w:color w:val="auto"/>
                <w:sz w:val="24"/>
                <w:highlight w:val="none"/>
              </w:rPr>
            </w:pPr>
            <w:r>
              <w:rPr>
                <w:color w:val="auto"/>
                <w:sz w:val="24"/>
                <w:highlight w:val="none"/>
              </w:rPr>
              <w:t>1.环境保护管理：</w:t>
            </w:r>
          </w:p>
          <w:p w14:paraId="363DF4ED">
            <w:pPr>
              <w:adjustRightInd w:val="0"/>
              <w:snapToGrid w:val="0"/>
              <w:ind w:firstLine="480" w:firstLineChars="200"/>
              <w:jc w:val="left"/>
              <w:rPr>
                <w:color w:val="auto"/>
                <w:sz w:val="24"/>
                <w:highlight w:val="none"/>
              </w:rPr>
            </w:pPr>
            <w:r>
              <w:rPr>
                <w:color w:val="auto"/>
                <w:sz w:val="24"/>
                <w:highlight w:val="none"/>
              </w:rPr>
              <w:t>加强管理，保证污染防治设施的正常运行，最大限度地减少污染排放给环境造成的影响。环保设施的日常管理和维护保养</w:t>
            </w:r>
            <w:r>
              <w:rPr>
                <w:rFonts w:hint="eastAsia"/>
                <w:color w:val="auto"/>
                <w:sz w:val="24"/>
                <w:highlight w:val="none"/>
                <w:lang w:eastAsia="zh-CN"/>
              </w:rPr>
              <w:t>保障</w:t>
            </w:r>
            <w:r>
              <w:rPr>
                <w:color w:val="auto"/>
                <w:sz w:val="24"/>
                <w:highlight w:val="none"/>
              </w:rPr>
              <w:t>其长期稳定运行。通过宣传、学习，增强职工的环保意识，将生产管理和环保管理有机结合起来。</w:t>
            </w:r>
          </w:p>
          <w:p w14:paraId="2A91E279">
            <w:pPr>
              <w:adjustRightInd w:val="0"/>
              <w:snapToGrid w:val="0"/>
              <w:ind w:firstLine="480" w:firstLineChars="200"/>
              <w:jc w:val="left"/>
              <w:rPr>
                <w:color w:val="auto"/>
                <w:sz w:val="24"/>
                <w:highlight w:val="none"/>
              </w:rPr>
            </w:pPr>
            <w:r>
              <w:rPr>
                <w:color w:val="auto"/>
                <w:sz w:val="24"/>
                <w:highlight w:val="none"/>
              </w:rPr>
              <w:t>2.</w:t>
            </w:r>
            <w:r>
              <w:rPr>
                <w:rFonts w:hint="eastAsia"/>
                <w:color w:val="auto"/>
                <w:sz w:val="24"/>
                <w:highlight w:val="none"/>
                <w:lang w:eastAsia="zh-CN"/>
              </w:rPr>
              <w:t>严格</w:t>
            </w:r>
            <w:r>
              <w:rPr>
                <w:color w:val="auto"/>
                <w:sz w:val="24"/>
                <w:highlight w:val="none"/>
              </w:rPr>
              <w:t>落实按证排污责任</w:t>
            </w:r>
          </w:p>
          <w:p w14:paraId="74475899">
            <w:pPr>
              <w:adjustRightInd w:val="0"/>
              <w:snapToGrid w:val="0"/>
              <w:ind w:firstLine="480" w:firstLineChars="200"/>
              <w:jc w:val="left"/>
              <w:rPr>
                <w:color w:val="auto"/>
                <w:sz w:val="24"/>
                <w:highlight w:val="none"/>
              </w:rPr>
            </w:pPr>
            <w:r>
              <w:rPr>
                <w:color w:val="auto"/>
                <w:sz w:val="24"/>
                <w:highlight w:val="none"/>
              </w:rPr>
              <w:t>建设单位必须按期持证排污、按证排污，不得无证排污，及时申领排污许可证，对申请材料的真实性、准确性和完整性承担法律责任，承诺按照排污许可证的规定排污并严格执行；落实污染物排放控制措施和其他各项环境管理要求，确保污染物排放种类、浓度和排放量等达到许可要求；明确单位负责人和相关人员</w:t>
            </w:r>
            <w:r>
              <w:rPr>
                <w:rFonts w:hint="eastAsia"/>
                <w:color w:val="auto"/>
                <w:sz w:val="24"/>
                <w:highlight w:val="none"/>
                <w:lang w:eastAsia="zh-CN"/>
              </w:rPr>
              <w:t>的</w:t>
            </w:r>
            <w:r>
              <w:rPr>
                <w:color w:val="auto"/>
                <w:sz w:val="24"/>
                <w:highlight w:val="none"/>
              </w:rPr>
              <w:t>环境保护责任，不断提高污染治理和环境管理水平，</w:t>
            </w:r>
            <w:r>
              <w:rPr>
                <w:rFonts w:hint="eastAsia"/>
                <w:color w:val="auto"/>
                <w:sz w:val="24"/>
                <w:highlight w:val="none"/>
                <w:lang w:eastAsia="zh-CN"/>
              </w:rPr>
              <w:t>并</w:t>
            </w:r>
            <w:r>
              <w:rPr>
                <w:color w:val="auto"/>
                <w:sz w:val="24"/>
                <w:highlight w:val="none"/>
              </w:rPr>
              <w:t>自觉接受监督检查。</w:t>
            </w:r>
          </w:p>
          <w:p w14:paraId="3497B4FA">
            <w:pPr>
              <w:adjustRightInd w:val="0"/>
              <w:snapToGrid w:val="0"/>
              <w:ind w:firstLine="480" w:firstLineChars="200"/>
              <w:jc w:val="left"/>
              <w:rPr>
                <w:color w:val="auto"/>
                <w:sz w:val="24"/>
                <w:highlight w:val="none"/>
              </w:rPr>
            </w:pPr>
            <w:r>
              <w:rPr>
                <w:color w:val="auto"/>
                <w:sz w:val="24"/>
                <w:highlight w:val="none"/>
              </w:rPr>
              <w:t>3.竣工环保验收要求</w:t>
            </w:r>
          </w:p>
          <w:p w14:paraId="3B7E259E">
            <w:pPr>
              <w:adjustRightInd w:val="0"/>
              <w:snapToGrid w:val="0"/>
              <w:ind w:firstLine="480" w:firstLineChars="200"/>
              <w:jc w:val="left"/>
              <w:rPr>
                <w:color w:val="auto"/>
                <w:sz w:val="24"/>
                <w:highlight w:val="none"/>
              </w:rPr>
            </w:pPr>
            <w:r>
              <w:rPr>
                <w:color w:val="auto"/>
                <w:sz w:val="24"/>
                <w:highlight w:val="none"/>
              </w:rPr>
              <w:t>根据《建设项目竣工环境保护验收暂行办法》的规定，建设项目竣工后，建设单位应当如实查验、监测、记载建设项目环境保护设施的建设和调试情况，并编制验收监测报告。</w:t>
            </w:r>
          </w:p>
        </w:tc>
      </w:tr>
    </w:tbl>
    <w:p w14:paraId="1E47CDF1">
      <w:pPr>
        <w:pStyle w:val="16"/>
        <w:jc w:val="center"/>
        <w:outlineLvl w:val="0"/>
        <w:rPr>
          <w:rFonts w:ascii="Times New Roman" w:hAnsi="Times New Roman" w:eastAsia="黑体"/>
          <w:snapToGrid w:val="0"/>
          <w:color w:val="auto"/>
          <w:sz w:val="30"/>
          <w:szCs w:val="30"/>
          <w:highlight w:val="none"/>
        </w:rPr>
      </w:pPr>
      <w:r>
        <w:rPr>
          <w:rFonts w:ascii="Times New Roman" w:hAnsi="Times New Roman"/>
          <w:snapToGrid w:val="0"/>
          <w:color w:val="auto"/>
          <w:highlight w:val="none"/>
        </w:rPr>
        <w:br w:type="page"/>
      </w:r>
      <w:r>
        <w:rPr>
          <w:rFonts w:ascii="Times New Roman" w:hAnsi="Times New Roman" w:eastAsia="黑体"/>
          <w:snapToGrid w:val="0"/>
          <w:color w:val="auto"/>
          <w:sz w:val="30"/>
          <w:szCs w:val="30"/>
          <w:highlight w:val="none"/>
        </w:rPr>
        <w:t>六、结论</w:t>
      </w:r>
    </w:p>
    <w:tbl>
      <w:tblPr>
        <w:tblStyle w:val="2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34CFD5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7618C630">
            <w:pPr>
              <w:spacing w:line="360" w:lineRule="auto"/>
              <w:ind w:firstLine="420" w:firstLineChars="200"/>
              <w:rPr>
                <w:bCs/>
                <w:color w:val="auto"/>
                <w:szCs w:val="21"/>
                <w:highlight w:val="none"/>
              </w:rPr>
            </w:pPr>
          </w:p>
          <w:p w14:paraId="69FE117F">
            <w:pPr>
              <w:spacing w:line="360" w:lineRule="auto"/>
              <w:ind w:firstLine="480" w:firstLineChars="200"/>
              <w:rPr>
                <w:color w:val="auto"/>
                <w:szCs w:val="21"/>
                <w:highlight w:val="none"/>
              </w:rPr>
            </w:pPr>
            <w:r>
              <w:rPr>
                <w:bCs/>
                <w:color w:val="auto"/>
                <w:sz w:val="24"/>
                <w:highlight w:val="none"/>
              </w:rPr>
              <w:t>本项目符合产业政策、选址合理，项目的建设</w:t>
            </w:r>
            <w:r>
              <w:rPr>
                <w:rFonts w:hint="eastAsia"/>
                <w:bCs/>
                <w:color w:val="auto"/>
                <w:sz w:val="24"/>
                <w:highlight w:val="none"/>
                <w:lang w:eastAsia="zh-CN"/>
              </w:rPr>
              <w:t>会</w:t>
            </w:r>
            <w:r>
              <w:rPr>
                <w:bCs/>
                <w:color w:val="auto"/>
                <w:sz w:val="24"/>
                <w:highlight w:val="none"/>
              </w:rPr>
              <w:t>对周围环境产生一定影响。在认真落实本报告中提出的各项污染防治措施及建议的前提下，加强环境管理，</w:t>
            </w:r>
            <w:r>
              <w:rPr>
                <w:rFonts w:hint="eastAsia"/>
                <w:bCs/>
                <w:color w:val="auto"/>
                <w:sz w:val="24"/>
                <w:highlight w:val="none"/>
                <w:lang w:eastAsia="zh-CN"/>
              </w:rPr>
              <w:t>使其</w:t>
            </w:r>
            <w:r>
              <w:rPr>
                <w:bCs/>
                <w:color w:val="auto"/>
                <w:sz w:val="24"/>
                <w:highlight w:val="none"/>
              </w:rPr>
              <w:t>废气、废水、噪声、固体废物等对周围环境的影响控制在可接受范围内。项目建设对周边生态影响较小。从环境保护角度分析，该项目建设可行。</w:t>
            </w:r>
          </w:p>
        </w:tc>
      </w:tr>
    </w:tbl>
    <w:p w14:paraId="54EF75F5">
      <w:pPr>
        <w:rPr>
          <w:color w:val="auto"/>
          <w:highlight w:val="none"/>
        </w:rPr>
        <w:sectPr>
          <w:pgSz w:w="11906" w:h="16838"/>
          <w:pgMar w:top="1701" w:right="1531" w:bottom="1701" w:left="1531" w:header="851" w:footer="851" w:gutter="0"/>
          <w:cols w:space="720" w:num="1"/>
          <w:docGrid w:linePitch="312" w:charSpace="0"/>
        </w:sectPr>
      </w:pPr>
    </w:p>
    <w:p w14:paraId="00DDDE13">
      <w:pPr>
        <w:pStyle w:val="16"/>
        <w:adjustRightInd w:val="0"/>
        <w:snapToGrid w:val="0"/>
        <w:spacing w:before="0" w:beforeAutospacing="0" w:after="0" w:afterAutospacing="0"/>
        <w:outlineLvl w:val="0"/>
        <w:rPr>
          <w:rFonts w:ascii="Times New Roman" w:hAnsi="Times New Roman" w:eastAsia="黑体"/>
          <w:snapToGrid w:val="0"/>
          <w:color w:val="auto"/>
          <w:sz w:val="32"/>
          <w:szCs w:val="32"/>
          <w:highlight w:val="none"/>
        </w:rPr>
      </w:pPr>
      <w:r>
        <w:rPr>
          <w:rFonts w:ascii="Times New Roman" w:hAnsi="Times New Roman" w:eastAsia="黑体"/>
          <w:snapToGrid w:val="0"/>
          <w:color w:val="auto"/>
          <w:sz w:val="32"/>
          <w:szCs w:val="32"/>
          <w:highlight w:val="none"/>
        </w:rPr>
        <w:t>附表</w:t>
      </w:r>
    </w:p>
    <w:p w14:paraId="2DCDB50A">
      <w:pPr>
        <w:pStyle w:val="16"/>
        <w:adjustRightInd w:val="0"/>
        <w:snapToGrid w:val="0"/>
        <w:spacing w:before="0" w:beforeAutospacing="0" w:after="0" w:afterAutospacing="0"/>
        <w:jc w:val="center"/>
        <w:rPr>
          <w:rFonts w:ascii="Times New Roman" w:hAnsi="Times New Roman" w:eastAsia="方正小标宋_GBK"/>
          <w:snapToGrid w:val="0"/>
          <w:color w:val="auto"/>
          <w:sz w:val="38"/>
          <w:szCs w:val="38"/>
          <w:highlight w:val="none"/>
        </w:rPr>
      </w:pPr>
      <w:r>
        <w:rPr>
          <w:rFonts w:ascii="Times New Roman" w:hAnsi="Times New Roman" w:eastAsia="方正小标宋_GBK"/>
          <w:snapToGrid w:val="0"/>
          <w:color w:val="auto"/>
          <w:sz w:val="38"/>
          <w:szCs w:val="38"/>
          <w:highlight w:val="none"/>
        </w:rPr>
        <w:t>建设项目污染物排放量汇总表</w:t>
      </w:r>
    </w:p>
    <w:tbl>
      <w:tblPr>
        <w:tblStyle w:val="20"/>
        <w:tblW w:w="139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6"/>
        <w:gridCol w:w="772"/>
        <w:gridCol w:w="1417"/>
        <w:gridCol w:w="1701"/>
        <w:gridCol w:w="1276"/>
        <w:gridCol w:w="1701"/>
        <w:gridCol w:w="1559"/>
        <w:gridCol w:w="1761"/>
        <w:gridCol w:w="1641"/>
        <w:gridCol w:w="1345"/>
      </w:tblGrid>
      <w:tr w14:paraId="0FA2C5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588" w:type="dxa"/>
            <w:gridSpan w:val="2"/>
            <w:tcBorders>
              <w:tl2br w:val="single" w:color="auto" w:sz="4" w:space="0"/>
            </w:tcBorders>
            <w:tcMar>
              <w:left w:w="28" w:type="dxa"/>
              <w:right w:w="28" w:type="dxa"/>
            </w:tcMar>
            <w:vAlign w:val="center"/>
          </w:tcPr>
          <w:p w14:paraId="07F04E2A">
            <w:pPr>
              <w:pStyle w:val="27"/>
              <w:jc w:val="right"/>
              <w:rPr>
                <w:rFonts w:eastAsia="黑体"/>
                <w:snapToGrid w:val="0"/>
                <w:color w:val="auto"/>
                <w:spacing w:val="-6"/>
                <w:kern w:val="21"/>
                <w:szCs w:val="21"/>
                <w:highlight w:val="none"/>
              </w:rPr>
            </w:pPr>
            <w:r>
              <w:rPr>
                <w:rFonts w:eastAsia="黑体"/>
                <w:snapToGrid w:val="0"/>
                <w:color w:val="auto"/>
                <w:spacing w:val="-6"/>
                <w:kern w:val="21"/>
                <w:szCs w:val="21"/>
                <w:highlight w:val="none"/>
              </w:rPr>
              <w:t>项目</w:t>
            </w:r>
          </w:p>
          <w:p w14:paraId="3CADFA20">
            <w:pPr>
              <w:pStyle w:val="27"/>
              <w:jc w:val="left"/>
              <w:rPr>
                <w:rFonts w:eastAsia="黑体"/>
                <w:snapToGrid w:val="0"/>
                <w:color w:val="auto"/>
                <w:spacing w:val="-6"/>
                <w:kern w:val="21"/>
                <w:szCs w:val="21"/>
                <w:highlight w:val="none"/>
              </w:rPr>
            </w:pPr>
            <w:r>
              <w:rPr>
                <w:rFonts w:eastAsia="黑体"/>
                <w:snapToGrid w:val="0"/>
                <w:color w:val="auto"/>
                <w:spacing w:val="-6"/>
                <w:kern w:val="21"/>
                <w:szCs w:val="21"/>
                <w:highlight w:val="none"/>
              </w:rPr>
              <w:t>分类</w:t>
            </w:r>
          </w:p>
        </w:tc>
        <w:tc>
          <w:tcPr>
            <w:tcW w:w="1417" w:type="dxa"/>
            <w:tcMar>
              <w:left w:w="28" w:type="dxa"/>
              <w:right w:w="28" w:type="dxa"/>
            </w:tcMar>
            <w:vAlign w:val="center"/>
          </w:tcPr>
          <w:p w14:paraId="795C4933">
            <w:pPr>
              <w:pStyle w:val="27"/>
              <w:rPr>
                <w:rFonts w:eastAsia="黑体"/>
                <w:snapToGrid w:val="0"/>
                <w:color w:val="auto"/>
                <w:spacing w:val="-6"/>
                <w:kern w:val="21"/>
                <w:szCs w:val="21"/>
                <w:highlight w:val="none"/>
              </w:rPr>
            </w:pPr>
            <w:r>
              <w:rPr>
                <w:rFonts w:eastAsia="黑体"/>
                <w:snapToGrid w:val="0"/>
                <w:color w:val="auto"/>
                <w:spacing w:val="-6"/>
                <w:kern w:val="21"/>
                <w:szCs w:val="21"/>
                <w:highlight w:val="none"/>
              </w:rPr>
              <w:t>污染物名称</w:t>
            </w:r>
          </w:p>
        </w:tc>
        <w:tc>
          <w:tcPr>
            <w:tcW w:w="1701" w:type="dxa"/>
            <w:tcMar>
              <w:left w:w="28" w:type="dxa"/>
              <w:right w:w="28" w:type="dxa"/>
            </w:tcMar>
            <w:vAlign w:val="center"/>
          </w:tcPr>
          <w:p w14:paraId="6C8A4484">
            <w:pPr>
              <w:pStyle w:val="27"/>
              <w:rPr>
                <w:rFonts w:eastAsia="黑体"/>
                <w:snapToGrid w:val="0"/>
                <w:color w:val="auto"/>
                <w:spacing w:val="-6"/>
                <w:kern w:val="21"/>
                <w:szCs w:val="21"/>
                <w:highlight w:val="none"/>
              </w:rPr>
            </w:pPr>
            <w:r>
              <w:rPr>
                <w:rFonts w:eastAsia="黑体"/>
                <w:snapToGrid w:val="0"/>
                <w:color w:val="auto"/>
                <w:spacing w:val="-6"/>
                <w:kern w:val="21"/>
                <w:szCs w:val="21"/>
                <w:highlight w:val="none"/>
              </w:rPr>
              <w:t>现有工程</w:t>
            </w:r>
          </w:p>
          <w:p w14:paraId="4734BFD9">
            <w:pPr>
              <w:pStyle w:val="27"/>
              <w:rPr>
                <w:rFonts w:eastAsia="黑体"/>
                <w:snapToGrid w:val="0"/>
                <w:color w:val="auto"/>
                <w:spacing w:val="-6"/>
                <w:kern w:val="21"/>
                <w:szCs w:val="21"/>
                <w:highlight w:val="none"/>
              </w:rPr>
            </w:pPr>
            <w:r>
              <w:rPr>
                <w:rFonts w:eastAsia="黑体"/>
                <w:snapToGrid w:val="0"/>
                <w:color w:val="auto"/>
                <w:spacing w:val="-6"/>
                <w:kern w:val="21"/>
                <w:szCs w:val="21"/>
                <w:highlight w:val="none"/>
              </w:rPr>
              <w:t>排放量（固体废物产生量）</w:t>
            </w:r>
            <w:r>
              <w:rPr>
                <w:rFonts w:eastAsia="黑体"/>
                <w:snapToGrid w:val="0"/>
                <w:color w:val="auto"/>
                <w:spacing w:val="-6"/>
                <w:kern w:val="21"/>
                <w:szCs w:val="21"/>
                <w:highlight w:val="none"/>
              </w:rPr>
              <w:fldChar w:fldCharType="begin"/>
            </w:r>
            <w:r>
              <w:rPr>
                <w:rFonts w:eastAsia="黑体"/>
                <w:snapToGrid w:val="0"/>
                <w:color w:val="auto"/>
                <w:spacing w:val="-6"/>
                <w:kern w:val="21"/>
                <w:szCs w:val="21"/>
                <w:highlight w:val="none"/>
              </w:rPr>
              <w:instrText xml:space="preserve"> = 1 \* GB3 \* MERGEFORMAT </w:instrText>
            </w:r>
            <w:r>
              <w:rPr>
                <w:rFonts w:eastAsia="黑体"/>
                <w:snapToGrid w:val="0"/>
                <w:color w:val="auto"/>
                <w:spacing w:val="-6"/>
                <w:kern w:val="21"/>
                <w:szCs w:val="21"/>
                <w:highlight w:val="none"/>
              </w:rPr>
              <w:fldChar w:fldCharType="separate"/>
            </w:r>
            <w:r>
              <w:rPr>
                <w:color w:val="auto"/>
                <w:kern w:val="2"/>
                <w:szCs w:val="21"/>
                <w:highlight w:val="none"/>
              </w:rPr>
              <w:t>①</w:t>
            </w:r>
            <w:r>
              <w:rPr>
                <w:rFonts w:eastAsia="黑体"/>
                <w:snapToGrid w:val="0"/>
                <w:color w:val="auto"/>
                <w:spacing w:val="-6"/>
                <w:kern w:val="21"/>
                <w:szCs w:val="21"/>
                <w:highlight w:val="none"/>
              </w:rPr>
              <w:fldChar w:fldCharType="end"/>
            </w:r>
          </w:p>
        </w:tc>
        <w:tc>
          <w:tcPr>
            <w:tcW w:w="1276" w:type="dxa"/>
            <w:tcMar>
              <w:left w:w="28" w:type="dxa"/>
              <w:right w:w="28" w:type="dxa"/>
            </w:tcMar>
            <w:vAlign w:val="center"/>
          </w:tcPr>
          <w:p w14:paraId="4AFEE081">
            <w:pPr>
              <w:pStyle w:val="27"/>
              <w:rPr>
                <w:rFonts w:eastAsia="黑体"/>
                <w:snapToGrid w:val="0"/>
                <w:color w:val="auto"/>
                <w:spacing w:val="-6"/>
                <w:kern w:val="21"/>
                <w:szCs w:val="21"/>
                <w:highlight w:val="none"/>
              </w:rPr>
            </w:pPr>
            <w:r>
              <w:rPr>
                <w:rFonts w:eastAsia="黑体"/>
                <w:snapToGrid w:val="0"/>
                <w:color w:val="auto"/>
                <w:spacing w:val="-6"/>
                <w:kern w:val="21"/>
                <w:szCs w:val="21"/>
                <w:highlight w:val="none"/>
              </w:rPr>
              <w:t>现有工程</w:t>
            </w:r>
          </w:p>
          <w:p w14:paraId="5C77FE8E">
            <w:pPr>
              <w:pStyle w:val="27"/>
              <w:rPr>
                <w:rFonts w:eastAsia="黑体"/>
                <w:snapToGrid w:val="0"/>
                <w:color w:val="auto"/>
                <w:spacing w:val="-6"/>
                <w:kern w:val="21"/>
                <w:szCs w:val="21"/>
                <w:highlight w:val="none"/>
              </w:rPr>
            </w:pPr>
            <w:r>
              <w:rPr>
                <w:rFonts w:eastAsia="黑体"/>
                <w:snapToGrid w:val="0"/>
                <w:color w:val="auto"/>
                <w:spacing w:val="-6"/>
                <w:kern w:val="21"/>
                <w:szCs w:val="21"/>
                <w:highlight w:val="none"/>
              </w:rPr>
              <w:t>许可排放量</w:t>
            </w:r>
          </w:p>
          <w:p w14:paraId="5A3EAF64">
            <w:pPr>
              <w:pStyle w:val="27"/>
              <w:rPr>
                <w:rFonts w:eastAsia="黑体"/>
                <w:snapToGrid w:val="0"/>
                <w:color w:val="auto"/>
                <w:spacing w:val="-6"/>
                <w:kern w:val="21"/>
                <w:szCs w:val="21"/>
                <w:highlight w:val="none"/>
              </w:rPr>
            </w:pPr>
            <w:r>
              <w:rPr>
                <w:rFonts w:eastAsia="黑体"/>
                <w:snapToGrid w:val="0"/>
                <w:color w:val="auto"/>
                <w:spacing w:val="-6"/>
                <w:kern w:val="21"/>
                <w:szCs w:val="21"/>
                <w:highlight w:val="none"/>
              </w:rPr>
              <w:fldChar w:fldCharType="begin"/>
            </w:r>
            <w:r>
              <w:rPr>
                <w:rFonts w:eastAsia="黑体"/>
                <w:snapToGrid w:val="0"/>
                <w:color w:val="auto"/>
                <w:spacing w:val="-6"/>
                <w:kern w:val="21"/>
                <w:szCs w:val="21"/>
                <w:highlight w:val="none"/>
              </w:rPr>
              <w:instrText xml:space="preserve"> = 2 \* GB3 \* MERGEFORMAT </w:instrText>
            </w:r>
            <w:r>
              <w:rPr>
                <w:rFonts w:eastAsia="黑体"/>
                <w:snapToGrid w:val="0"/>
                <w:color w:val="auto"/>
                <w:spacing w:val="-6"/>
                <w:kern w:val="21"/>
                <w:szCs w:val="21"/>
                <w:highlight w:val="none"/>
              </w:rPr>
              <w:fldChar w:fldCharType="separate"/>
            </w:r>
            <w:r>
              <w:rPr>
                <w:snapToGrid w:val="0"/>
                <w:color w:val="auto"/>
                <w:spacing w:val="-6"/>
                <w:kern w:val="21"/>
                <w:szCs w:val="21"/>
                <w:highlight w:val="none"/>
              </w:rPr>
              <w:t>②</w:t>
            </w:r>
            <w:r>
              <w:rPr>
                <w:rFonts w:eastAsia="黑体"/>
                <w:snapToGrid w:val="0"/>
                <w:color w:val="auto"/>
                <w:spacing w:val="-6"/>
                <w:kern w:val="21"/>
                <w:szCs w:val="21"/>
                <w:highlight w:val="none"/>
              </w:rPr>
              <w:fldChar w:fldCharType="end"/>
            </w:r>
          </w:p>
        </w:tc>
        <w:tc>
          <w:tcPr>
            <w:tcW w:w="1701" w:type="dxa"/>
            <w:tcMar>
              <w:left w:w="28" w:type="dxa"/>
              <w:right w:w="28" w:type="dxa"/>
            </w:tcMar>
            <w:vAlign w:val="center"/>
          </w:tcPr>
          <w:p w14:paraId="7200BC6A">
            <w:pPr>
              <w:pStyle w:val="27"/>
              <w:rPr>
                <w:rFonts w:eastAsia="黑体"/>
                <w:snapToGrid w:val="0"/>
                <w:color w:val="auto"/>
                <w:spacing w:val="-6"/>
                <w:kern w:val="21"/>
                <w:szCs w:val="21"/>
                <w:highlight w:val="none"/>
              </w:rPr>
            </w:pPr>
            <w:r>
              <w:rPr>
                <w:rFonts w:eastAsia="黑体"/>
                <w:snapToGrid w:val="0"/>
                <w:color w:val="auto"/>
                <w:spacing w:val="-6"/>
                <w:kern w:val="21"/>
                <w:szCs w:val="21"/>
                <w:highlight w:val="none"/>
              </w:rPr>
              <w:t>在建工程</w:t>
            </w:r>
          </w:p>
          <w:p w14:paraId="17C4B359">
            <w:pPr>
              <w:pStyle w:val="27"/>
              <w:rPr>
                <w:rFonts w:eastAsia="黑体"/>
                <w:snapToGrid w:val="0"/>
                <w:color w:val="auto"/>
                <w:spacing w:val="-6"/>
                <w:kern w:val="21"/>
                <w:szCs w:val="21"/>
                <w:highlight w:val="none"/>
              </w:rPr>
            </w:pPr>
            <w:r>
              <w:rPr>
                <w:rFonts w:eastAsia="黑体"/>
                <w:snapToGrid w:val="0"/>
                <w:color w:val="auto"/>
                <w:spacing w:val="-6"/>
                <w:kern w:val="21"/>
                <w:szCs w:val="21"/>
                <w:highlight w:val="none"/>
              </w:rPr>
              <w:t>排放量（固体废物产生量）</w:t>
            </w:r>
            <w:r>
              <w:rPr>
                <w:rFonts w:eastAsia="黑体"/>
                <w:snapToGrid w:val="0"/>
                <w:color w:val="auto"/>
                <w:spacing w:val="-6"/>
                <w:kern w:val="21"/>
                <w:szCs w:val="21"/>
                <w:highlight w:val="none"/>
              </w:rPr>
              <w:fldChar w:fldCharType="begin"/>
            </w:r>
            <w:r>
              <w:rPr>
                <w:rFonts w:eastAsia="黑体"/>
                <w:snapToGrid w:val="0"/>
                <w:color w:val="auto"/>
                <w:spacing w:val="-6"/>
                <w:kern w:val="21"/>
                <w:szCs w:val="21"/>
                <w:highlight w:val="none"/>
              </w:rPr>
              <w:instrText xml:space="preserve"> = 3 \* GB3 \* MERGEFORMAT </w:instrText>
            </w:r>
            <w:r>
              <w:rPr>
                <w:rFonts w:eastAsia="黑体"/>
                <w:snapToGrid w:val="0"/>
                <w:color w:val="auto"/>
                <w:spacing w:val="-6"/>
                <w:kern w:val="21"/>
                <w:szCs w:val="21"/>
                <w:highlight w:val="none"/>
              </w:rPr>
              <w:fldChar w:fldCharType="separate"/>
            </w:r>
            <w:r>
              <w:rPr>
                <w:color w:val="auto"/>
                <w:kern w:val="2"/>
                <w:szCs w:val="21"/>
                <w:highlight w:val="none"/>
              </w:rPr>
              <w:t>③</w:t>
            </w:r>
            <w:r>
              <w:rPr>
                <w:rFonts w:eastAsia="黑体"/>
                <w:snapToGrid w:val="0"/>
                <w:color w:val="auto"/>
                <w:spacing w:val="-6"/>
                <w:kern w:val="21"/>
                <w:szCs w:val="21"/>
                <w:highlight w:val="none"/>
              </w:rPr>
              <w:fldChar w:fldCharType="end"/>
            </w:r>
          </w:p>
        </w:tc>
        <w:tc>
          <w:tcPr>
            <w:tcW w:w="1559" w:type="dxa"/>
            <w:tcMar>
              <w:left w:w="28" w:type="dxa"/>
              <w:right w:w="28" w:type="dxa"/>
            </w:tcMar>
            <w:vAlign w:val="center"/>
          </w:tcPr>
          <w:p w14:paraId="7689C743">
            <w:pPr>
              <w:pStyle w:val="27"/>
              <w:rPr>
                <w:rFonts w:eastAsia="黑体"/>
                <w:snapToGrid w:val="0"/>
                <w:color w:val="auto"/>
                <w:spacing w:val="-6"/>
                <w:kern w:val="21"/>
                <w:szCs w:val="21"/>
                <w:highlight w:val="none"/>
              </w:rPr>
            </w:pPr>
            <w:r>
              <w:rPr>
                <w:rFonts w:eastAsia="黑体"/>
                <w:snapToGrid w:val="0"/>
                <w:color w:val="auto"/>
                <w:spacing w:val="-6"/>
                <w:kern w:val="21"/>
                <w:szCs w:val="21"/>
                <w:highlight w:val="none"/>
              </w:rPr>
              <w:t>本项目</w:t>
            </w:r>
          </w:p>
          <w:p w14:paraId="1EB2B4A6">
            <w:pPr>
              <w:pStyle w:val="27"/>
              <w:rPr>
                <w:rFonts w:eastAsia="黑体"/>
                <w:snapToGrid w:val="0"/>
                <w:color w:val="auto"/>
                <w:spacing w:val="-6"/>
                <w:kern w:val="21"/>
                <w:szCs w:val="21"/>
                <w:highlight w:val="none"/>
              </w:rPr>
            </w:pPr>
            <w:r>
              <w:rPr>
                <w:rFonts w:eastAsia="黑体"/>
                <w:snapToGrid w:val="0"/>
                <w:color w:val="auto"/>
                <w:spacing w:val="-6"/>
                <w:kern w:val="21"/>
                <w:szCs w:val="21"/>
                <w:highlight w:val="none"/>
              </w:rPr>
              <w:t>排放量（固体废物产生量）</w:t>
            </w:r>
            <w:r>
              <w:rPr>
                <w:rFonts w:eastAsia="黑体"/>
                <w:snapToGrid w:val="0"/>
                <w:color w:val="auto"/>
                <w:spacing w:val="-6"/>
                <w:kern w:val="21"/>
                <w:szCs w:val="21"/>
                <w:highlight w:val="none"/>
              </w:rPr>
              <w:fldChar w:fldCharType="begin"/>
            </w:r>
            <w:r>
              <w:rPr>
                <w:rFonts w:eastAsia="黑体"/>
                <w:snapToGrid w:val="0"/>
                <w:color w:val="auto"/>
                <w:spacing w:val="-6"/>
                <w:kern w:val="21"/>
                <w:szCs w:val="21"/>
                <w:highlight w:val="none"/>
              </w:rPr>
              <w:instrText xml:space="preserve"> = 4 \* GB3 \* MERGEFORMAT </w:instrText>
            </w:r>
            <w:r>
              <w:rPr>
                <w:rFonts w:eastAsia="黑体"/>
                <w:snapToGrid w:val="0"/>
                <w:color w:val="auto"/>
                <w:spacing w:val="-6"/>
                <w:kern w:val="21"/>
                <w:szCs w:val="21"/>
                <w:highlight w:val="none"/>
              </w:rPr>
              <w:fldChar w:fldCharType="separate"/>
            </w:r>
            <w:r>
              <w:rPr>
                <w:color w:val="auto"/>
                <w:kern w:val="2"/>
                <w:szCs w:val="21"/>
                <w:highlight w:val="none"/>
              </w:rPr>
              <w:t>④</w:t>
            </w:r>
            <w:r>
              <w:rPr>
                <w:rFonts w:eastAsia="黑体"/>
                <w:snapToGrid w:val="0"/>
                <w:color w:val="auto"/>
                <w:spacing w:val="-6"/>
                <w:kern w:val="21"/>
                <w:szCs w:val="21"/>
                <w:highlight w:val="none"/>
              </w:rPr>
              <w:fldChar w:fldCharType="end"/>
            </w:r>
          </w:p>
        </w:tc>
        <w:tc>
          <w:tcPr>
            <w:tcW w:w="1761" w:type="dxa"/>
            <w:tcMar>
              <w:left w:w="28" w:type="dxa"/>
              <w:right w:w="28" w:type="dxa"/>
            </w:tcMar>
            <w:vAlign w:val="center"/>
          </w:tcPr>
          <w:p w14:paraId="3DFA4264">
            <w:pPr>
              <w:pStyle w:val="27"/>
              <w:rPr>
                <w:rFonts w:eastAsia="黑体"/>
                <w:snapToGrid w:val="0"/>
                <w:color w:val="auto"/>
                <w:spacing w:val="-16"/>
                <w:kern w:val="21"/>
                <w:szCs w:val="21"/>
                <w:highlight w:val="none"/>
              </w:rPr>
            </w:pPr>
            <w:r>
              <w:rPr>
                <w:rFonts w:eastAsia="黑体"/>
                <w:snapToGrid w:val="0"/>
                <w:color w:val="auto"/>
                <w:spacing w:val="-16"/>
                <w:kern w:val="21"/>
                <w:szCs w:val="21"/>
                <w:highlight w:val="none"/>
              </w:rPr>
              <w:t>以新带老削减总量</w:t>
            </w:r>
          </w:p>
          <w:p w14:paraId="4943A6CE">
            <w:pPr>
              <w:pStyle w:val="27"/>
              <w:rPr>
                <w:rFonts w:eastAsia="黑体"/>
                <w:snapToGrid w:val="0"/>
                <w:color w:val="auto"/>
                <w:spacing w:val="-16"/>
                <w:kern w:val="21"/>
                <w:szCs w:val="21"/>
                <w:highlight w:val="none"/>
              </w:rPr>
            </w:pPr>
            <w:r>
              <w:rPr>
                <w:rFonts w:eastAsia="黑体"/>
                <w:snapToGrid w:val="0"/>
                <w:color w:val="auto"/>
                <w:spacing w:val="-16"/>
                <w:kern w:val="21"/>
                <w:szCs w:val="21"/>
                <w:highlight w:val="none"/>
              </w:rPr>
              <w:t>（新建项目不填）</w:t>
            </w:r>
            <w:r>
              <w:rPr>
                <w:rFonts w:eastAsia="黑体"/>
                <w:snapToGrid w:val="0"/>
                <w:color w:val="auto"/>
                <w:spacing w:val="-16"/>
                <w:kern w:val="21"/>
                <w:szCs w:val="21"/>
                <w:highlight w:val="none"/>
              </w:rPr>
              <w:fldChar w:fldCharType="begin"/>
            </w:r>
            <w:r>
              <w:rPr>
                <w:rFonts w:eastAsia="黑体"/>
                <w:snapToGrid w:val="0"/>
                <w:color w:val="auto"/>
                <w:spacing w:val="-16"/>
                <w:kern w:val="21"/>
                <w:szCs w:val="21"/>
                <w:highlight w:val="none"/>
              </w:rPr>
              <w:instrText xml:space="preserve"> = 5 \* GB3 \* MERGEFORMAT </w:instrText>
            </w:r>
            <w:r>
              <w:rPr>
                <w:rFonts w:eastAsia="黑体"/>
                <w:snapToGrid w:val="0"/>
                <w:color w:val="auto"/>
                <w:spacing w:val="-16"/>
                <w:kern w:val="21"/>
                <w:szCs w:val="21"/>
                <w:highlight w:val="none"/>
              </w:rPr>
              <w:fldChar w:fldCharType="separate"/>
            </w:r>
            <w:r>
              <w:rPr>
                <w:color w:val="auto"/>
                <w:kern w:val="2"/>
                <w:szCs w:val="21"/>
                <w:highlight w:val="none"/>
              </w:rPr>
              <w:t>⑤</w:t>
            </w:r>
            <w:r>
              <w:rPr>
                <w:rFonts w:eastAsia="黑体"/>
                <w:snapToGrid w:val="0"/>
                <w:color w:val="auto"/>
                <w:spacing w:val="-16"/>
                <w:kern w:val="21"/>
                <w:szCs w:val="21"/>
                <w:highlight w:val="none"/>
              </w:rPr>
              <w:fldChar w:fldCharType="end"/>
            </w:r>
          </w:p>
        </w:tc>
        <w:tc>
          <w:tcPr>
            <w:tcW w:w="1641" w:type="dxa"/>
            <w:tcMar>
              <w:left w:w="28" w:type="dxa"/>
              <w:right w:w="28" w:type="dxa"/>
            </w:tcMar>
            <w:vAlign w:val="center"/>
          </w:tcPr>
          <w:p w14:paraId="79F2FBEE">
            <w:pPr>
              <w:pStyle w:val="27"/>
              <w:rPr>
                <w:rFonts w:eastAsia="黑体"/>
                <w:snapToGrid w:val="0"/>
                <w:color w:val="auto"/>
                <w:spacing w:val="-16"/>
                <w:kern w:val="21"/>
                <w:szCs w:val="21"/>
                <w:highlight w:val="none"/>
              </w:rPr>
            </w:pPr>
            <w:r>
              <w:rPr>
                <w:rFonts w:eastAsia="黑体"/>
                <w:snapToGrid w:val="0"/>
                <w:color w:val="auto"/>
                <w:spacing w:val="-16"/>
                <w:kern w:val="21"/>
                <w:szCs w:val="21"/>
                <w:highlight w:val="none"/>
              </w:rPr>
              <w:t>本项目建成后</w:t>
            </w:r>
          </w:p>
          <w:p w14:paraId="29EB85E4">
            <w:pPr>
              <w:pStyle w:val="27"/>
              <w:rPr>
                <w:rFonts w:eastAsia="黑体"/>
                <w:snapToGrid w:val="0"/>
                <w:color w:val="auto"/>
                <w:spacing w:val="-16"/>
                <w:kern w:val="21"/>
                <w:szCs w:val="21"/>
                <w:highlight w:val="none"/>
              </w:rPr>
            </w:pPr>
            <w:r>
              <w:rPr>
                <w:rFonts w:eastAsia="黑体"/>
                <w:snapToGrid w:val="0"/>
                <w:color w:val="auto"/>
                <w:spacing w:val="-16"/>
                <w:kern w:val="21"/>
                <w:szCs w:val="21"/>
                <w:highlight w:val="none"/>
              </w:rPr>
              <w:t>全厂排放量（固体废物产生量）</w:t>
            </w:r>
            <w:r>
              <w:rPr>
                <w:rFonts w:eastAsia="黑体"/>
                <w:snapToGrid w:val="0"/>
                <w:color w:val="auto"/>
                <w:spacing w:val="-16"/>
                <w:kern w:val="21"/>
                <w:szCs w:val="21"/>
                <w:highlight w:val="none"/>
              </w:rPr>
              <w:fldChar w:fldCharType="begin"/>
            </w:r>
            <w:r>
              <w:rPr>
                <w:rFonts w:eastAsia="黑体"/>
                <w:snapToGrid w:val="0"/>
                <w:color w:val="auto"/>
                <w:spacing w:val="-16"/>
                <w:kern w:val="21"/>
                <w:szCs w:val="21"/>
                <w:highlight w:val="none"/>
              </w:rPr>
              <w:instrText xml:space="preserve"> = 6 \* GB3 \* MERGEFORMAT </w:instrText>
            </w:r>
            <w:r>
              <w:rPr>
                <w:rFonts w:eastAsia="黑体"/>
                <w:snapToGrid w:val="0"/>
                <w:color w:val="auto"/>
                <w:spacing w:val="-16"/>
                <w:kern w:val="21"/>
                <w:szCs w:val="21"/>
                <w:highlight w:val="none"/>
              </w:rPr>
              <w:fldChar w:fldCharType="separate"/>
            </w:r>
            <w:r>
              <w:rPr>
                <w:color w:val="auto"/>
                <w:kern w:val="2"/>
                <w:szCs w:val="21"/>
                <w:highlight w:val="none"/>
              </w:rPr>
              <w:t>⑥</w:t>
            </w:r>
            <w:r>
              <w:rPr>
                <w:rFonts w:eastAsia="黑体"/>
                <w:snapToGrid w:val="0"/>
                <w:color w:val="auto"/>
                <w:spacing w:val="-16"/>
                <w:kern w:val="21"/>
                <w:szCs w:val="21"/>
                <w:highlight w:val="none"/>
              </w:rPr>
              <w:fldChar w:fldCharType="end"/>
            </w:r>
          </w:p>
        </w:tc>
        <w:tc>
          <w:tcPr>
            <w:tcW w:w="1345" w:type="dxa"/>
            <w:tcMar>
              <w:left w:w="28" w:type="dxa"/>
              <w:right w:w="28" w:type="dxa"/>
            </w:tcMar>
            <w:vAlign w:val="center"/>
          </w:tcPr>
          <w:p w14:paraId="04BA88BB">
            <w:pPr>
              <w:pStyle w:val="27"/>
              <w:rPr>
                <w:rFonts w:eastAsia="黑体"/>
                <w:snapToGrid w:val="0"/>
                <w:color w:val="auto"/>
                <w:spacing w:val="-6"/>
                <w:kern w:val="21"/>
                <w:szCs w:val="21"/>
                <w:highlight w:val="none"/>
              </w:rPr>
            </w:pPr>
            <w:r>
              <w:rPr>
                <w:rFonts w:eastAsia="黑体"/>
                <w:snapToGrid w:val="0"/>
                <w:color w:val="auto"/>
                <w:spacing w:val="-6"/>
                <w:kern w:val="21"/>
                <w:szCs w:val="21"/>
                <w:highlight w:val="none"/>
              </w:rPr>
              <w:t>变化量</w:t>
            </w:r>
          </w:p>
          <w:p w14:paraId="63108BAC">
            <w:pPr>
              <w:pStyle w:val="27"/>
              <w:rPr>
                <w:rFonts w:eastAsia="黑体"/>
                <w:snapToGrid w:val="0"/>
                <w:color w:val="auto"/>
                <w:spacing w:val="-6"/>
                <w:kern w:val="21"/>
                <w:szCs w:val="21"/>
                <w:highlight w:val="none"/>
              </w:rPr>
            </w:pPr>
            <w:r>
              <w:rPr>
                <w:snapToGrid w:val="0"/>
                <w:color w:val="auto"/>
                <w:kern w:val="21"/>
                <w:szCs w:val="21"/>
                <w:highlight w:val="none"/>
              </w:rPr>
              <w:fldChar w:fldCharType="begin"/>
            </w:r>
            <w:r>
              <w:rPr>
                <w:snapToGrid w:val="0"/>
                <w:color w:val="auto"/>
                <w:kern w:val="21"/>
                <w:szCs w:val="21"/>
                <w:highlight w:val="none"/>
              </w:rPr>
              <w:instrText xml:space="preserve"> = 7 \* GB3 \* MERGEFORMAT </w:instrText>
            </w:r>
            <w:r>
              <w:rPr>
                <w:snapToGrid w:val="0"/>
                <w:color w:val="auto"/>
                <w:kern w:val="21"/>
                <w:szCs w:val="21"/>
                <w:highlight w:val="none"/>
              </w:rPr>
              <w:fldChar w:fldCharType="separate"/>
            </w:r>
            <w:r>
              <w:rPr>
                <w:snapToGrid w:val="0"/>
                <w:color w:val="auto"/>
                <w:kern w:val="21"/>
                <w:szCs w:val="21"/>
                <w:highlight w:val="none"/>
              </w:rPr>
              <w:t>⑦</w:t>
            </w:r>
            <w:r>
              <w:rPr>
                <w:snapToGrid w:val="0"/>
                <w:color w:val="auto"/>
                <w:kern w:val="21"/>
                <w:szCs w:val="21"/>
                <w:highlight w:val="none"/>
              </w:rPr>
              <w:fldChar w:fldCharType="end"/>
            </w:r>
          </w:p>
        </w:tc>
      </w:tr>
      <w:tr w14:paraId="7D0175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588" w:type="dxa"/>
            <w:gridSpan w:val="2"/>
            <w:vMerge w:val="restart"/>
            <w:vAlign w:val="center"/>
          </w:tcPr>
          <w:p w14:paraId="618240B2">
            <w:pPr>
              <w:pStyle w:val="27"/>
              <w:rPr>
                <w:snapToGrid w:val="0"/>
                <w:color w:val="auto"/>
                <w:kern w:val="21"/>
                <w:szCs w:val="21"/>
                <w:highlight w:val="none"/>
              </w:rPr>
            </w:pPr>
            <w:r>
              <w:rPr>
                <w:snapToGrid w:val="0"/>
                <w:color w:val="auto"/>
                <w:kern w:val="21"/>
                <w:szCs w:val="21"/>
                <w:highlight w:val="none"/>
              </w:rPr>
              <w:t>废气</w:t>
            </w:r>
          </w:p>
        </w:tc>
        <w:tc>
          <w:tcPr>
            <w:tcW w:w="1417" w:type="dxa"/>
            <w:shd w:val="clear" w:color="auto" w:fill="auto"/>
            <w:vAlign w:val="center"/>
          </w:tcPr>
          <w:p w14:paraId="1F32A25A">
            <w:pPr>
              <w:adjustRightInd w:val="0"/>
              <w:snapToGrid w:val="0"/>
              <w:jc w:val="center"/>
              <w:rPr>
                <w:bCs/>
                <w:color w:val="auto"/>
                <w:szCs w:val="21"/>
                <w:highlight w:val="none"/>
              </w:rPr>
            </w:pPr>
            <w:r>
              <w:rPr>
                <w:bCs/>
                <w:color w:val="auto"/>
                <w:spacing w:val="-10"/>
                <w:szCs w:val="21"/>
                <w:highlight w:val="none"/>
              </w:rPr>
              <w:t>烟尘</w:t>
            </w:r>
          </w:p>
        </w:tc>
        <w:tc>
          <w:tcPr>
            <w:tcW w:w="1701" w:type="dxa"/>
            <w:shd w:val="clear" w:color="auto" w:fill="auto"/>
            <w:vAlign w:val="center"/>
          </w:tcPr>
          <w:p w14:paraId="46C0C30E">
            <w:pPr>
              <w:pStyle w:val="27"/>
              <w:rPr>
                <w:snapToGrid w:val="0"/>
                <w:color w:val="auto"/>
                <w:kern w:val="21"/>
                <w:szCs w:val="21"/>
                <w:highlight w:val="none"/>
              </w:rPr>
            </w:pPr>
            <w:r>
              <w:rPr>
                <w:snapToGrid w:val="0"/>
                <w:color w:val="auto"/>
                <w:kern w:val="21"/>
                <w:szCs w:val="21"/>
                <w:highlight w:val="none"/>
              </w:rPr>
              <w:t>/</w:t>
            </w:r>
          </w:p>
        </w:tc>
        <w:tc>
          <w:tcPr>
            <w:tcW w:w="1276" w:type="dxa"/>
            <w:shd w:val="clear" w:color="auto" w:fill="auto"/>
            <w:vAlign w:val="center"/>
          </w:tcPr>
          <w:p w14:paraId="0CFC28B4">
            <w:pPr>
              <w:pStyle w:val="27"/>
              <w:rPr>
                <w:snapToGrid w:val="0"/>
                <w:color w:val="auto"/>
                <w:kern w:val="21"/>
                <w:szCs w:val="21"/>
                <w:highlight w:val="none"/>
              </w:rPr>
            </w:pPr>
            <w:r>
              <w:rPr>
                <w:snapToGrid w:val="0"/>
                <w:color w:val="auto"/>
                <w:kern w:val="21"/>
                <w:szCs w:val="21"/>
                <w:highlight w:val="none"/>
              </w:rPr>
              <w:t>/</w:t>
            </w:r>
          </w:p>
        </w:tc>
        <w:tc>
          <w:tcPr>
            <w:tcW w:w="1701" w:type="dxa"/>
            <w:shd w:val="clear" w:color="auto" w:fill="auto"/>
            <w:vAlign w:val="center"/>
          </w:tcPr>
          <w:p w14:paraId="4518123D">
            <w:pPr>
              <w:pStyle w:val="27"/>
              <w:rPr>
                <w:snapToGrid w:val="0"/>
                <w:color w:val="auto"/>
                <w:kern w:val="21"/>
                <w:szCs w:val="21"/>
                <w:highlight w:val="none"/>
              </w:rPr>
            </w:pPr>
            <w:r>
              <w:rPr>
                <w:snapToGrid w:val="0"/>
                <w:color w:val="auto"/>
                <w:kern w:val="21"/>
                <w:szCs w:val="21"/>
                <w:highlight w:val="none"/>
              </w:rPr>
              <w:t>/</w:t>
            </w:r>
          </w:p>
        </w:tc>
        <w:tc>
          <w:tcPr>
            <w:tcW w:w="1559" w:type="dxa"/>
            <w:shd w:val="clear" w:color="auto" w:fill="auto"/>
            <w:vAlign w:val="center"/>
          </w:tcPr>
          <w:p w14:paraId="47A518AA">
            <w:pPr>
              <w:pStyle w:val="27"/>
              <w:jc w:val="center"/>
              <w:rPr>
                <w:color w:val="auto"/>
                <w:highlight w:val="none"/>
              </w:rPr>
            </w:pPr>
            <w:r>
              <w:rPr>
                <w:color w:val="auto"/>
                <w:highlight w:val="none"/>
              </w:rPr>
              <w:t>0.0</w:t>
            </w:r>
            <w:r>
              <w:rPr>
                <w:rFonts w:hint="eastAsia"/>
                <w:color w:val="auto"/>
                <w:highlight w:val="none"/>
              </w:rPr>
              <w:t>19</w:t>
            </w:r>
            <w:r>
              <w:rPr>
                <w:color w:val="auto"/>
                <w:highlight w:val="none"/>
              </w:rPr>
              <w:t>t/a</w:t>
            </w:r>
          </w:p>
        </w:tc>
        <w:tc>
          <w:tcPr>
            <w:tcW w:w="1761" w:type="dxa"/>
            <w:shd w:val="clear" w:color="auto" w:fill="auto"/>
            <w:vAlign w:val="center"/>
          </w:tcPr>
          <w:p w14:paraId="2BA7F397">
            <w:pPr>
              <w:pStyle w:val="27"/>
              <w:jc w:val="center"/>
              <w:rPr>
                <w:snapToGrid w:val="0"/>
                <w:color w:val="auto"/>
                <w:kern w:val="21"/>
                <w:szCs w:val="21"/>
                <w:highlight w:val="none"/>
              </w:rPr>
            </w:pPr>
            <w:r>
              <w:rPr>
                <w:snapToGrid w:val="0"/>
                <w:color w:val="auto"/>
                <w:kern w:val="21"/>
                <w:szCs w:val="21"/>
                <w:highlight w:val="none"/>
              </w:rPr>
              <w:t>/</w:t>
            </w:r>
          </w:p>
        </w:tc>
        <w:tc>
          <w:tcPr>
            <w:tcW w:w="1641" w:type="dxa"/>
            <w:shd w:val="clear" w:color="auto" w:fill="auto"/>
            <w:vAlign w:val="center"/>
          </w:tcPr>
          <w:p w14:paraId="6AB666BD">
            <w:pPr>
              <w:pStyle w:val="27"/>
              <w:jc w:val="center"/>
              <w:rPr>
                <w:color w:val="auto"/>
                <w:highlight w:val="none"/>
              </w:rPr>
            </w:pPr>
            <w:r>
              <w:rPr>
                <w:color w:val="auto"/>
                <w:highlight w:val="none"/>
              </w:rPr>
              <w:t>0.0</w:t>
            </w:r>
            <w:r>
              <w:rPr>
                <w:rFonts w:hint="eastAsia"/>
                <w:color w:val="auto"/>
                <w:highlight w:val="none"/>
              </w:rPr>
              <w:t>19</w:t>
            </w:r>
            <w:r>
              <w:rPr>
                <w:color w:val="auto"/>
                <w:highlight w:val="none"/>
              </w:rPr>
              <w:t>t/a</w:t>
            </w:r>
          </w:p>
        </w:tc>
        <w:tc>
          <w:tcPr>
            <w:tcW w:w="1345" w:type="dxa"/>
            <w:shd w:val="clear" w:color="auto" w:fill="auto"/>
            <w:vAlign w:val="center"/>
          </w:tcPr>
          <w:p w14:paraId="0CA7E378">
            <w:pPr>
              <w:pStyle w:val="27"/>
              <w:jc w:val="center"/>
              <w:rPr>
                <w:color w:val="auto"/>
                <w:highlight w:val="none"/>
              </w:rPr>
            </w:pPr>
            <w:r>
              <w:rPr>
                <w:rFonts w:hint="eastAsia"/>
                <w:color w:val="auto"/>
                <w:highlight w:val="none"/>
              </w:rPr>
              <w:t>+</w:t>
            </w:r>
            <w:r>
              <w:rPr>
                <w:color w:val="auto"/>
                <w:highlight w:val="none"/>
              </w:rPr>
              <w:t>0.0</w:t>
            </w:r>
            <w:r>
              <w:rPr>
                <w:rFonts w:hint="eastAsia"/>
                <w:color w:val="auto"/>
                <w:highlight w:val="none"/>
              </w:rPr>
              <w:t>19</w:t>
            </w:r>
            <w:r>
              <w:rPr>
                <w:color w:val="auto"/>
                <w:highlight w:val="none"/>
              </w:rPr>
              <w:t>t/a</w:t>
            </w:r>
          </w:p>
        </w:tc>
      </w:tr>
      <w:tr w14:paraId="7F6190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588" w:type="dxa"/>
            <w:gridSpan w:val="2"/>
            <w:vMerge w:val="continue"/>
            <w:vAlign w:val="center"/>
          </w:tcPr>
          <w:p w14:paraId="70AAE2DD">
            <w:pPr>
              <w:pStyle w:val="27"/>
              <w:rPr>
                <w:snapToGrid w:val="0"/>
                <w:color w:val="auto"/>
                <w:kern w:val="21"/>
                <w:szCs w:val="21"/>
                <w:highlight w:val="none"/>
              </w:rPr>
            </w:pPr>
          </w:p>
        </w:tc>
        <w:tc>
          <w:tcPr>
            <w:tcW w:w="1417" w:type="dxa"/>
            <w:shd w:val="clear" w:color="auto" w:fill="auto"/>
            <w:vAlign w:val="center"/>
          </w:tcPr>
          <w:p w14:paraId="22F8605F">
            <w:pPr>
              <w:adjustRightInd w:val="0"/>
              <w:snapToGrid w:val="0"/>
              <w:jc w:val="center"/>
              <w:rPr>
                <w:bCs/>
                <w:color w:val="auto"/>
                <w:szCs w:val="21"/>
                <w:highlight w:val="none"/>
              </w:rPr>
            </w:pPr>
            <w:r>
              <w:rPr>
                <w:bCs/>
                <w:color w:val="auto"/>
                <w:spacing w:val="-10"/>
                <w:szCs w:val="21"/>
                <w:highlight w:val="none"/>
              </w:rPr>
              <w:t>二氧化硫</w:t>
            </w:r>
          </w:p>
        </w:tc>
        <w:tc>
          <w:tcPr>
            <w:tcW w:w="1701" w:type="dxa"/>
            <w:shd w:val="clear" w:color="auto" w:fill="auto"/>
            <w:vAlign w:val="center"/>
          </w:tcPr>
          <w:p w14:paraId="0503426B">
            <w:pPr>
              <w:pStyle w:val="27"/>
              <w:rPr>
                <w:snapToGrid w:val="0"/>
                <w:color w:val="auto"/>
                <w:kern w:val="21"/>
                <w:szCs w:val="21"/>
                <w:highlight w:val="none"/>
              </w:rPr>
            </w:pPr>
            <w:r>
              <w:rPr>
                <w:snapToGrid w:val="0"/>
                <w:color w:val="auto"/>
                <w:kern w:val="21"/>
                <w:szCs w:val="21"/>
                <w:highlight w:val="none"/>
              </w:rPr>
              <w:t>/</w:t>
            </w:r>
          </w:p>
        </w:tc>
        <w:tc>
          <w:tcPr>
            <w:tcW w:w="1276" w:type="dxa"/>
            <w:shd w:val="clear" w:color="auto" w:fill="auto"/>
            <w:vAlign w:val="center"/>
          </w:tcPr>
          <w:p w14:paraId="40DD6A52">
            <w:pPr>
              <w:pStyle w:val="27"/>
              <w:rPr>
                <w:snapToGrid w:val="0"/>
                <w:color w:val="auto"/>
                <w:kern w:val="21"/>
                <w:szCs w:val="21"/>
                <w:highlight w:val="none"/>
              </w:rPr>
            </w:pPr>
            <w:r>
              <w:rPr>
                <w:snapToGrid w:val="0"/>
                <w:color w:val="auto"/>
                <w:kern w:val="21"/>
                <w:szCs w:val="21"/>
                <w:highlight w:val="none"/>
              </w:rPr>
              <w:t>/</w:t>
            </w:r>
          </w:p>
        </w:tc>
        <w:tc>
          <w:tcPr>
            <w:tcW w:w="1701" w:type="dxa"/>
            <w:shd w:val="clear" w:color="auto" w:fill="auto"/>
            <w:vAlign w:val="center"/>
          </w:tcPr>
          <w:p w14:paraId="200D9A21">
            <w:pPr>
              <w:pStyle w:val="27"/>
              <w:rPr>
                <w:snapToGrid w:val="0"/>
                <w:color w:val="auto"/>
                <w:kern w:val="21"/>
                <w:szCs w:val="21"/>
                <w:highlight w:val="none"/>
              </w:rPr>
            </w:pPr>
            <w:r>
              <w:rPr>
                <w:snapToGrid w:val="0"/>
                <w:color w:val="auto"/>
                <w:kern w:val="21"/>
                <w:szCs w:val="21"/>
                <w:highlight w:val="none"/>
              </w:rPr>
              <w:t>/</w:t>
            </w:r>
          </w:p>
        </w:tc>
        <w:tc>
          <w:tcPr>
            <w:tcW w:w="1559" w:type="dxa"/>
            <w:shd w:val="clear" w:color="auto" w:fill="auto"/>
            <w:vAlign w:val="center"/>
          </w:tcPr>
          <w:p w14:paraId="004A7852">
            <w:pPr>
              <w:pStyle w:val="27"/>
              <w:jc w:val="center"/>
              <w:rPr>
                <w:color w:val="auto"/>
                <w:highlight w:val="none"/>
              </w:rPr>
            </w:pPr>
            <w:r>
              <w:rPr>
                <w:color w:val="auto"/>
                <w:highlight w:val="none"/>
              </w:rPr>
              <w:t>0.01</w:t>
            </w:r>
            <w:r>
              <w:rPr>
                <w:rFonts w:hint="eastAsia"/>
                <w:color w:val="auto"/>
                <w:highlight w:val="none"/>
              </w:rPr>
              <w:t>2</w:t>
            </w:r>
            <w:r>
              <w:rPr>
                <w:color w:val="auto"/>
                <w:highlight w:val="none"/>
              </w:rPr>
              <w:t>t/a</w:t>
            </w:r>
          </w:p>
        </w:tc>
        <w:tc>
          <w:tcPr>
            <w:tcW w:w="1761" w:type="dxa"/>
            <w:shd w:val="clear" w:color="auto" w:fill="auto"/>
            <w:vAlign w:val="center"/>
          </w:tcPr>
          <w:p w14:paraId="5EC1033E">
            <w:pPr>
              <w:pStyle w:val="27"/>
              <w:jc w:val="center"/>
              <w:rPr>
                <w:snapToGrid w:val="0"/>
                <w:color w:val="auto"/>
                <w:kern w:val="21"/>
                <w:szCs w:val="21"/>
                <w:highlight w:val="none"/>
              </w:rPr>
            </w:pPr>
            <w:r>
              <w:rPr>
                <w:snapToGrid w:val="0"/>
                <w:color w:val="auto"/>
                <w:kern w:val="21"/>
                <w:szCs w:val="21"/>
                <w:highlight w:val="none"/>
              </w:rPr>
              <w:t>/</w:t>
            </w:r>
          </w:p>
        </w:tc>
        <w:tc>
          <w:tcPr>
            <w:tcW w:w="1641" w:type="dxa"/>
            <w:shd w:val="clear" w:color="auto" w:fill="auto"/>
            <w:vAlign w:val="center"/>
          </w:tcPr>
          <w:p w14:paraId="774CD866">
            <w:pPr>
              <w:pStyle w:val="27"/>
              <w:jc w:val="center"/>
              <w:rPr>
                <w:color w:val="auto"/>
                <w:highlight w:val="none"/>
              </w:rPr>
            </w:pPr>
            <w:r>
              <w:rPr>
                <w:color w:val="auto"/>
                <w:highlight w:val="none"/>
              </w:rPr>
              <w:t>0.01</w:t>
            </w:r>
            <w:r>
              <w:rPr>
                <w:rFonts w:hint="eastAsia"/>
                <w:color w:val="auto"/>
                <w:highlight w:val="none"/>
              </w:rPr>
              <w:t>2</w:t>
            </w:r>
            <w:r>
              <w:rPr>
                <w:color w:val="auto"/>
                <w:highlight w:val="none"/>
              </w:rPr>
              <w:t>t/a</w:t>
            </w:r>
          </w:p>
        </w:tc>
        <w:tc>
          <w:tcPr>
            <w:tcW w:w="1345" w:type="dxa"/>
            <w:shd w:val="clear" w:color="auto" w:fill="auto"/>
            <w:vAlign w:val="center"/>
          </w:tcPr>
          <w:p w14:paraId="28AC48F2">
            <w:pPr>
              <w:pStyle w:val="27"/>
              <w:jc w:val="center"/>
              <w:rPr>
                <w:color w:val="auto"/>
                <w:highlight w:val="none"/>
              </w:rPr>
            </w:pPr>
            <w:r>
              <w:rPr>
                <w:rFonts w:hint="eastAsia"/>
                <w:color w:val="auto"/>
                <w:highlight w:val="none"/>
              </w:rPr>
              <w:t>+</w:t>
            </w:r>
            <w:r>
              <w:rPr>
                <w:color w:val="auto"/>
                <w:highlight w:val="none"/>
              </w:rPr>
              <w:t>0.01</w:t>
            </w:r>
            <w:r>
              <w:rPr>
                <w:rFonts w:hint="eastAsia"/>
                <w:color w:val="auto"/>
                <w:highlight w:val="none"/>
              </w:rPr>
              <w:t>2</w:t>
            </w:r>
            <w:r>
              <w:rPr>
                <w:color w:val="auto"/>
                <w:highlight w:val="none"/>
              </w:rPr>
              <w:t>t/a</w:t>
            </w:r>
          </w:p>
        </w:tc>
      </w:tr>
      <w:tr w14:paraId="7F0876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588" w:type="dxa"/>
            <w:gridSpan w:val="2"/>
            <w:vMerge w:val="continue"/>
            <w:vAlign w:val="center"/>
          </w:tcPr>
          <w:p w14:paraId="10765BA9">
            <w:pPr>
              <w:pStyle w:val="27"/>
              <w:rPr>
                <w:snapToGrid w:val="0"/>
                <w:color w:val="auto"/>
                <w:kern w:val="21"/>
                <w:szCs w:val="21"/>
                <w:highlight w:val="none"/>
              </w:rPr>
            </w:pPr>
          </w:p>
        </w:tc>
        <w:tc>
          <w:tcPr>
            <w:tcW w:w="1417" w:type="dxa"/>
            <w:shd w:val="clear" w:color="auto" w:fill="auto"/>
            <w:vAlign w:val="center"/>
          </w:tcPr>
          <w:p w14:paraId="0A22F4CB">
            <w:pPr>
              <w:adjustRightInd w:val="0"/>
              <w:snapToGrid w:val="0"/>
              <w:jc w:val="center"/>
              <w:rPr>
                <w:bCs/>
                <w:color w:val="auto"/>
                <w:szCs w:val="21"/>
                <w:highlight w:val="none"/>
              </w:rPr>
            </w:pPr>
            <w:r>
              <w:rPr>
                <w:bCs/>
                <w:color w:val="auto"/>
                <w:spacing w:val="-10"/>
                <w:szCs w:val="21"/>
                <w:highlight w:val="none"/>
              </w:rPr>
              <w:t>氮氧化物</w:t>
            </w:r>
          </w:p>
        </w:tc>
        <w:tc>
          <w:tcPr>
            <w:tcW w:w="1701" w:type="dxa"/>
            <w:shd w:val="clear" w:color="auto" w:fill="auto"/>
            <w:vAlign w:val="center"/>
          </w:tcPr>
          <w:p w14:paraId="04F3D64F">
            <w:pPr>
              <w:pStyle w:val="27"/>
              <w:rPr>
                <w:snapToGrid w:val="0"/>
                <w:color w:val="auto"/>
                <w:kern w:val="21"/>
                <w:szCs w:val="21"/>
                <w:highlight w:val="none"/>
              </w:rPr>
            </w:pPr>
            <w:r>
              <w:rPr>
                <w:snapToGrid w:val="0"/>
                <w:color w:val="auto"/>
                <w:kern w:val="21"/>
                <w:szCs w:val="21"/>
                <w:highlight w:val="none"/>
              </w:rPr>
              <w:t>/</w:t>
            </w:r>
          </w:p>
        </w:tc>
        <w:tc>
          <w:tcPr>
            <w:tcW w:w="1276" w:type="dxa"/>
            <w:shd w:val="clear" w:color="auto" w:fill="auto"/>
            <w:vAlign w:val="center"/>
          </w:tcPr>
          <w:p w14:paraId="57812182">
            <w:pPr>
              <w:pStyle w:val="27"/>
              <w:rPr>
                <w:snapToGrid w:val="0"/>
                <w:color w:val="auto"/>
                <w:kern w:val="21"/>
                <w:szCs w:val="21"/>
                <w:highlight w:val="none"/>
              </w:rPr>
            </w:pPr>
            <w:r>
              <w:rPr>
                <w:snapToGrid w:val="0"/>
                <w:color w:val="auto"/>
                <w:kern w:val="21"/>
                <w:szCs w:val="21"/>
                <w:highlight w:val="none"/>
              </w:rPr>
              <w:t>/</w:t>
            </w:r>
          </w:p>
        </w:tc>
        <w:tc>
          <w:tcPr>
            <w:tcW w:w="1701" w:type="dxa"/>
            <w:shd w:val="clear" w:color="auto" w:fill="auto"/>
            <w:vAlign w:val="center"/>
          </w:tcPr>
          <w:p w14:paraId="513F434D">
            <w:pPr>
              <w:pStyle w:val="27"/>
              <w:rPr>
                <w:snapToGrid w:val="0"/>
                <w:color w:val="auto"/>
                <w:kern w:val="21"/>
                <w:szCs w:val="21"/>
                <w:highlight w:val="none"/>
              </w:rPr>
            </w:pPr>
            <w:r>
              <w:rPr>
                <w:snapToGrid w:val="0"/>
                <w:color w:val="auto"/>
                <w:kern w:val="21"/>
                <w:szCs w:val="21"/>
                <w:highlight w:val="none"/>
              </w:rPr>
              <w:t>/</w:t>
            </w:r>
          </w:p>
        </w:tc>
        <w:tc>
          <w:tcPr>
            <w:tcW w:w="1559" w:type="dxa"/>
            <w:shd w:val="clear" w:color="auto" w:fill="auto"/>
            <w:vAlign w:val="center"/>
          </w:tcPr>
          <w:p w14:paraId="2D776FE3">
            <w:pPr>
              <w:pStyle w:val="27"/>
              <w:jc w:val="center"/>
              <w:rPr>
                <w:color w:val="auto"/>
                <w:highlight w:val="none"/>
              </w:rPr>
            </w:pPr>
            <w:r>
              <w:rPr>
                <w:color w:val="auto"/>
                <w:highlight w:val="none"/>
              </w:rPr>
              <w:t>0.</w:t>
            </w:r>
            <w:r>
              <w:rPr>
                <w:rFonts w:hint="eastAsia"/>
                <w:color w:val="auto"/>
                <w:highlight w:val="none"/>
                <w:lang w:val="en-US" w:eastAsia="zh-CN"/>
              </w:rPr>
              <w:t>134</w:t>
            </w:r>
            <w:r>
              <w:rPr>
                <w:color w:val="auto"/>
                <w:highlight w:val="none"/>
              </w:rPr>
              <w:t>t/a</w:t>
            </w:r>
          </w:p>
        </w:tc>
        <w:tc>
          <w:tcPr>
            <w:tcW w:w="1761" w:type="dxa"/>
            <w:shd w:val="clear" w:color="auto" w:fill="auto"/>
            <w:vAlign w:val="center"/>
          </w:tcPr>
          <w:p w14:paraId="1B4350DF">
            <w:pPr>
              <w:pStyle w:val="27"/>
              <w:jc w:val="center"/>
              <w:rPr>
                <w:snapToGrid w:val="0"/>
                <w:color w:val="auto"/>
                <w:kern w:val="21"/>
                <w:szCs w:val="21"/>
                <w:highlight w:val="none"/>
              </w:rPr>
            </w:pPr>
            <w:r>
              <w:rPr>
                <w:snapToGrid w:val="0"/>
                <w:color w:val="auto"/>
                <w:kern w:val="21"/>
                <w:szCs w:val="21"/>
                <w:highlight w:val="none"/>
              </w:rPr>
              <w:t>/</w:t>
            </w:r>
          </w:p>
        </w:tc>
        <w:tc>
          <w:tcPr>
            <w:tcW w:w="1641" w:type="dxa"/>
            <w:shd w:val="clear" w:color="auto" w:fill="auto"/>
            <w:vAlign w:val="center"/>
          </w:tcPr>
          <w:p w14:paraId="6C83909C">
            <w:pPr>
              <w:pStyle w:val="27"/>
              <w:jc w:val="center"/>
              <w:rPr>
                <w:color w:val="auto"/>
                <w:highlight w:val="none"/>
              </w:rPr>
            </w:pPr>
            <w:r>
              <w:rPr>
                <w:color w:val="auto"/>
                <w:highlight w:val="none"/>
              </w:rPr>
              <w:t>0.</w:t>
            </w:r>
            <w:r>
              <w:rPr>
                <w:rFonts w:hint="eastAsia"/>
                <w:color w:val="auto"/>
                <w:highlight w:val="none"/>
                <w:lang w:val="en-US" w:eastAsia="zh-CN"/>
              </w:rPr>
              <w:t>134</w:t>
            </w:r>
            <w:r>
              <w:rPr>
                <w:color w:val="auto"/>
                <w:highlight w:val="none"/>
              </w:rPr>
              <w:t>t/a</w:t>
            </w:r>
          </w:p>
        </w:tc>
        <w:tc>
          <w:tcPr>
            <w:tcW w:w="1345" w:type="dxa"/>
            <w:shd w:val="clear" w:color="auto" w:fill="auto"/>
            <w:vAlign w:val="center"/>
          </w:tcPr>
          <w:p w14:paraId="1D3BED9D">
            <w:pPr>
              <w:pStyle w:val="27"/>
              <w:jc w:val="center"/>
              <w:rPr>
                <w:color w:val="auto"/>
                <w:highlight w:val="none"/>
              </w:rPr>
            </w:pPr>
            <w:r>
              <w:rPr>
                <w:rFonts w:hint="eastAsia"/>
                <w:color w:val="auto"/>
                <w:highlight w:val="none"/>
                <w:lang w:val="en-US" w:eastAsia="zh-CN"/>
              </w:rPr>
              <w:t>+</w:t>
            </w:r>
            <w:r>
              <w:rPr>
                <w:color w:val="auto"/>
                <w:highlight w:val="none"/>
              </w:rPr>
              <w:t>0.</w:t>
            </w:r>
            <w:r>
              <w:rPr>
                <w:rFonts w:hint="eastAsia"/>
                <w:color w:val="auto"/>
                <w:highlight w:val="none"/>
                <w:lang w:val="en-US" w:eastAsia="zh-CN"/>
              </w:rPr>
              <w:t>134</w:t>
            </w:r>
            <w:r>
              <w:rPr>
                <w:color w:val="auto"/>
                <w:highlight w:val="none"/>
              </w:rPr>
              <w:t>t/a</w:t>
            </w:r>
          </w:p>
        </w:tc>
      </w:tr>
      <w:tr w14:paraId="646E76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588" w:type="dxa"/>
            <w:gridSpan w:val="2"/>
            <w:vMerge w:val="continue"/>
            <w:vAlign w:val="center"/>
          </w:tcPr>
          <w:p w14:paraId="0214C250">
            <w:pPr>
              <w:pStyle w:val="27"/>
              <w:rPr>
                <w:snapToGrid w:val="0"/>
                <w:color w:val="auto"/>
                <w:kern w:val="21"/>
                <w:szCs w:val="21"/>
                <w:highlight w:val="none"/>
              </w:rPr>
            </w:pPr>
          </w:p>
        </w:tc>
        <w:tc>
          <w:tcPr>
            <w:tcW w:w="1417" w:type="dxa"/>
            <w:shd w:val="clear" w:color="auto" w:fill="auto"/>
            <w:vAlign w:val="center"/>
          </w:tcPr>
          <w:p w14:paraId="3D8698B6">
            <w:pPr>
              <w:adjustRightInd w:val="0"/>
              <w:snapToGrid w:val="0"/>
              <w:jc w:val="center"/>
              <w:rPr>
                <w:color w:val="auto"/>
                <w:szCs w:val="21"/>
                <w:highlight w:val="none"/>
              </w:rPr>
            </w:pPr>
            <w:r>
              <w:rPr>
                <w:bCs/>
                <w:color w:val="auto"/>
                <w:spacing w:val="-10"/>
                <w:szCs w:val="21"/>
                <w:highlight w:val="none"/>
              </w:rPr>
              <w:t>一氧化碳</w:t>
            </w:r>
          </w:p>
        </w:tc>
        <w:tc>
          <w:tcPr>
            <w:tcW w:w="1701" w:type="dxa"/>
            <w:shd w:val="clear" w:color="auto" w:fill="auto"/>
            <w:vAlign w:val="center"/>
          </w:tcPr>
          <w:p w14:paraId="5C1BFB9A">
            <w:pPr>
              <w:pStyle w:val="27"/>
              <w:rPr>
                <w:snapToGrid w:val="0"/>
                <w:color w:val="auto"/>
                <w:kern w:val="21"/>
                <w:szCs w:val="21"/>
                <w:highlight w:val="none"/>
              </w:rPr>
            </w:pPr>
            <w:r>
              <w:rPr>
                <w:snapToGrid w:val="0"/>
                <w:color w:val="auto"/>
                <w:kern w:val="21"/>
                <w:szCs w:val="21"/>
                <w:highlight w:val="none"/>
              </w:rPr>
              <w:t>/</w:t>
            </w:r>
          </w:p>
        </w:tc>
        <w:tc>
          <w:tcPr>
            <w:tcW w:w="1276" w:type="dxa"/>
            <w:shd w:val="clear" w:color="auto" w:fill="auto"/>
            <w:vAlign w:val="center"/>
          </w:tcPr>
          <w:p w14:paraId="66A8786D">
            <w:pPr>
              <w:pStyle w:val="27"/>
              <w:rPr>
                <w:snapToGrid w:val="0"/>
                <w:color w:val="auto"/>
                <w:kern w:val="21"/>
                <w:szCs w:val="21"/>
                <w:highlight w:val="none"/>
              </w:rPr>
            </w:pPr>
            <w:r>
              <w:rPr>
                <w:snapToGrid w:val="0"/>
                <w:color w:val="auto"/>
                <w:kern w:val="21"/>
                <w:szCs w:val="21"/>
                <w:highlight w:val="none"/>
              </w:rPr>
              <w:t>/</w:t>
            </w:r>
          </w:p>
        </w:tc>
        <w:tc>
          <w:tcPr>
            <w:tcW w:w="1701" w:type="dxa"/>
            <w:shd w:val="clear" w:color="auto" w:fill="auto"/>
            <w:vAlign w:val="center"/>
          </w:tcPr>
          <w:p w14:paraId="50E2FEB5">
            <w:pPr>
              <w:pStyle w:val="27"/>
              <w:rPr>
                <w:snapToGrid w:val="0"/>
                <w:color w:val="auto"/>
                <w:kern w:val="21"/>
                <w:szCs w:val="21"/>
                <w:highlight w:val="none"/>
              </w:rPr>
            </w:pPr>
            <w:r>
              <w:rPr>
                <w:snapToGrid w:val="0"/>
                <w:color w:val="auto"/>
                <w:kern w:val="21"/>
                <w:szCs w:val="21"/>
                <w:highlight w:val="none"/>
              </w:rPr>
              <w:t>/</w:t>
            </w:r>
          </w:p>
        </w:tc>
        <w:tc>
          <w:tcPr>
            <w:tcW w:w="1559" w:type="dxa"/>
            <w:shd w:val="clear" w:color="auto" w:fill="auto"/>
            <w:vAlign w:val="center"/>
          </w:tcPr>
          <w:p w14:paraId="63DFE32C">
            <w:pPr>
              <w:pStyle w:val="27"/>
              <w:jc w:val="center"/>
              <w:rPr>
                <w:color w:val="auto"/>
                <w:highlight w:val="none"/>
              </w:rPr>
            </w:pPr>
            <w:r>
              <w:rPr>
                <w:color w:val="auto"/>
                <w:highlight w:val="none"/>
              </w:rPr>
              <w:t>0.</w:t>
            </w:r>
            <w:r>
              <w:rPr>
                <w:rFonts w:hint="eastAsia"/>
                <w:color w:val="auto"/>
                <w:highlight w:val="none"/>
                <w:lang w:val="en-US" w:eastAsia="zh-CN"/>
              </w:rPr>
              <w:t>148</w:t>
            </w:r>
            <w:r>
              <w:rPr>
                <w:color w:val="auto"/>
                <w:highlight w:val="none"/>
              </w:rPr>
              <w:t>t/a</w:t>
            </w:r>
          </w:p>
        </w:tc>
        <w:tc>
          <w:tcPr>
            <w:tcW w:w="1761" w:type="dxa"/>
            <w:shd w:val="clear" w:color="auto" w:fill="auto"/>
            <w:vAlign w:val="center"/>
          </w:tcPr>
          <w:p w14:paraId="67AB997B">
            <w:pPr>
              <w:pStyle w:val="27"/>
              <w:jc w:val="center"/>
              <w:rPr>
                <w:snapToGrid w:val="0"/>
                <w:color w:val="auto"/>
                <w:kern w:val="21"/>
                <w:szCs w:val="21"/>
                <w:highlight w:val="none"/>
              </w:rPr>
            </w:pPr>
            <w:r>
              <w:rPr>
                <w:snapToGrid w:val="0"/>
                <w:color w:val="auto"/>
                <w:kern w:val="21"/>
                <w:szCs w:val="21"/>
                <w:highlight w:val="none"/>
              </w:rPr>
              <w:t>/</w:t>
            </w:r>
          </w:p>
        </w:tc>
        <w:tc>
          <w:tcPr>
            <w:tcW w:w="1641" w:type="dxa"/>
            <w:shd w:val="clear" w:color="auto" w:fill="auto"/>
            <w:vAlign w:val="center"/>
          </w:tcPr>
          <w:p w14:paraId="63C1D77D">
            <w:pPr>
              <w:pStyle w:val="27"/>
              <w:jc w:val="center"/>
              <w:rPr>
                <w:color w:val="auto"/>
                <w:highlight w:val="none"/>
              </w:rPr>
            </w:pPr>
            <w:r>
              <w:rPr>
                <w:color w:val="auto"/>
                <w:highlight w:val="none"/>
              </w:rPr>
              <w:t>0.</w:t>
            </w:r>
            <w:r>
              <w:rPr>
                <w:rFonts w:hint="eastAsia"/>
                <w:color w:val="auto"/>
                <w:highlight w:val="none"/>
                <w:lang w:val="en-US" w:eastAsia="zh-CN"/>
              </w:rPr>
              <w:t>148</w:t>
            </w:r>
            <w:r>
              <w:rPr>
                <w:color w:val="auto"/>
                <w:highlight w:val="none"/>
              </w:rPr>
              <w:t>t/a</w:t>
            </w:r>
          </w:p>
        </w:tc>
        <w:tc>
          <w:tcPr>
            <w:tcW w:w="1345" w:type="dxa"/>
            <w:shd w:val="clear" w:color="auto" w:fill="auto"/>
            <w:vAlign w:val="center"/>
          </w:tcPr>
          <w:p w14:paraId="496916F8">
            <w:pPr>
              <w:pStyle w:val="27"/>
              <w:jc w:val="center"/>
              <w:rPr>
                <w:color w:val="auto"/>
                <w:highlight w:val="none"/>
              </w:rPr>
            </w:pPr>
            <w:r>
              <w:rPr>
                <w:rFonts w:hint="eastAsia"/>
                <w:color w:val="auto"/>
                <w:highlight w:val="none"/>
                <w:lang w:val="en-US" w:eastAsia="zh-CN"/>
              </w:rPr>
              <w:t>+</w:t>
            </w:r>
            <w:r>
              <w:rPr>
                <w:color w:val="auto"/>
                <w:highlight w:val="none"/>
              </w:rPr>
              <w:t>0.</w:t>
            </w:r>
            <w:r>
              <w:rPr>
                <w:rFonts w:hint="eastAsia"/>
                <w:color w:val="auto"/>
                <w:highlight w:val="none"/>
                <w:lang w:val="en-US" w:eastAsia="zh-CN"/>
              </w:rPr>
              <w:t>148</w:t>
            </w:r>
            <w:r>
              <w:rPr>
                <w:color w:val="auto"/>
                <w:highlight w:val="none"/>
              </w:rPr>
              <w:t>t/a</w:t>
            </w:r>
          </w:p>
        </w:tc>
      </w:tr>
      <w:tr w14:paraId="6B64CF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588" w:type="dxa"/>
            <w:gridSpan w:val="2"/>
            <w:vMerge w:val="continue"/>
            <w:vAlign w:val="center"/>
          </w:tcPr>
          <w:p w14:paraId="4A4E4BEA">
            <w:pPr>
              <w:pStyle w:val="27"/>
              <w:rPr>
                <w:snapToGrid w:val="0"/>
                <w:color w:val="auto"/>
                <w:kern w:val="21"/>
                <w:szCs w:val="21"/>
                <w:highlight w:val="none"/>
              </w:rPr>
            </w:pPr>
          </w:p>
        </w:tc>
        <w:tc>
          <w:tcPr>
            <w:tcW w:w="1417" w:type="dxa"/>
            <w:shd w:val="clear" w:color="auto" w:fill="auto"/>
            <w:vAlign w:val="center"/>
          </w:tcPr>
          <w:p w14:paraId="74E18318">
            <w:pPr>
              <w:adjustRightInd w:val="0"/>
              <w:snapToGrid w:val="0"/>
              <w:jc w:val="center"/>
              <w:rPr>
                <w:bCs/>
                <w:color w:val="auto"/>
                <w:spacing w:val="-10"/>
                <w:szCs w:val="21"/>
                <w:highlight w:val="none"/>
              </w:rPr>
            </w:pPr>
            <w:r>
              <w:rPr>
                <w:bCs/>
                <w:color w:val="auto"/>
                <w:spacing w:val="-10"/>
                <w:szCs w:val="21"/>
                <w:highlight w:val="none"/>
              </w:rPr>
              <w:t>氨</w:t>
            </w:r>
          </w:p>
        </w:tc>
        <w:tc>
          <w:tcPr>
            <w:tcW w:w="1701" w:type="dxa"/>
            <w:shd w:val="clear" w:color="auto" w:fill="auto"/>
            <w:vAlign w:val="center"/>
          </w:tcPr>
          <w:p w14:paraId="3EF35FDF">
            <w:pPr>
              <w:pStyle w:val="27"/>
              <w:rPr>
                <w:snapToGrid w:val="0"/>
                <w:color w:val="auto"/>
                <w:kern w:val="21"/>
                <w:szCs w:val="21"/>
                <w:highlight w:val="none"/>
              </w:rPr>
            </w:pPr>
            <w:r>
              <w:rPr>
                <w:snapToGrid w:val="0"/>
                <w:color w:val="auto"/>
                <w:kern w:val="21"/>
                <w:szCs w:val="21"/>
                <w:highlight w:val="none"/>
              </w:rPr>
              <w:t>/</w:t>
            </w:r>
          </w:p>
        </w:tc>
        <w:tc>
          <w:tcPr>
            <w:tcW w:w="1276" w:type="dxa"/>
            <w:shd w:val="clear" w:color="auto" w:fill="auto"/>
            <w:vAlign w:val="center"/>
          </w:tcPr>
          <w:p w14:paraId="2B86766C">
            <w:pPr>
              <w:pStyle w:val="27"/>
              <w:rPr>
                <w:snapToGrid w:val="0"/>
                <w:color w:val="auto"/>
                <w:kern w:val="21"/>
                <w:szCs w:val="21"/>
                <w:highlight w:val="none"/>
              </w:rPr>
            </w:pPr>
            <w:r>
              <w:rPr>
                <w:snapToGrid w:val="0"/>
                <w:color w:val="auto"/>
                <w:kern w:val="21"/>
                <w:szCs w:val="21"/>
                <w:highlight w:val="none"/>
              </w:rPr>
              <w:t>/</w:t>
            </w:r>
          </w:p>
        </w:tc>
        <w:tc>
          <w:tcPr>
            <w:tcW w:w="1701" w:type="dxa"/>
            <w:shd w:val="clear" w:color="auto" w:fill="auto"/>
            <w:vAlign w:val="center"/>
          </w:tcPr>
          <w:p w14:paraId="7A977818">
            <w:pPr>
              <w:pStyle w:val="27"/>
              <w:rPr>
                <w:snapToGrid w:val="0"/>
                <w:color w:val="auto"/>
                <w:kern w:val="21"/>
                <w:szCs w:val="21"/>
                <w:highlight w:val="none"/>
              </w:rPr>
            </w:pPr>
            <w:r>
              <w:rPr>
                <w:snapToGrid w:val="0"/>
                <w:color w:val="auto"/>
                <w:kern w:val="21"/>
                <w:szCs w:val="21"/>
                <w:highlight w:val="none"/>
              </w:rPr>
              <w:t>/</w:t>
            </w:r>
          </w:p>
        </w:tc>
        <w:tc>
          <w:tcPr>
            <w:tcW w:w="1559" w:type="dxa"/>
            <w:shd w:val="clear" w:color="auto" w:fill="auto"/>
            <w:vAlign w:val="center"/>
          </w:tcPr>
          <w:p w14:paraId="75BD0116">
            <w:pPr>
              <w:pStyle w:val="27"/>
              <w:jc w:val="center"/>
              <w:rPr>
                <w:color w:val="auto"/>
                <w:highlight w:val="none"/>
              </w:rPr>
            </w:pPr>
            <w:r>
              <w:rPr>
                <w:color w:val="auto"/>
                <w:highlight w:val="none"/>
              </w:rPr>
              <w:t>0.000</w:t>
            </w:r>
            <w:r>
              <w:rPr>
                <w:rFonts w:hint="eastAsia"/>
                <w:color w:val="auto"/>
                <w:highlight w:val="none"/>
              </w:rPr>
              <w:t>1</w:t>
            </w:r>
            <w:r>
              <w:rPr>
                <w:color w:val="auto"/>
                <w:highlight w:val="none"/>
              </w:rPr>
              <w:t>t/a</w:t>
            </w:r>
          </w:p>
        </w:tc>
        <w:tc>
          <w:tcPr>
            <w:tcW w:w="1761" w:type="dxa"/>
            <w:shd w:val="clear" w:color="auto" w:fill="auto"/>
            <w:vAlign w:val="center"/>
          </w:tcPr>
          <w:p w14:paraId="435FDA42">
            <w:pPr>
              <w:pStyle w:val="27"/>
              <w:jc w:val="center"/>
              <w:rPr>
                <w:snapToGrid w:val="0"/>
                <w:color w:val="auto"/>
                <w:kern w:val="21"/>
                <w:szCs w:val="21"/>
                <w:highlight w:val="none"/>
              </w:rPr>
            </w:pPr>
            <w:r>
              <w:rPr>
                <w:snapToGrid w:val="0"/>
                <w:color w:val="auto"/>
                <w:kern w:val="21"/>
                <w:szCs w:val="21"/>
                <w:highlight w:val="none"/>
              </w:rPr>
              <w:t>/</w:t>
            </w:r>
          </w:p>
        </w:tc>
        <w:tc>
          <w:tcPr>
            <w:tcW w:w="1641" w:type="dxa"/>
            <w:shd w:val="clear" w:color="auto" w:fill="auto"/>
            <w:vAlign w:val="center"/>
          </w:tcPr>
          <w:p w14:paraId="02AAC001">
            <w:pPr>
              <w:pStyle w:val="27"/>
              <w:jc w:val="center"/>
              <w:rPr>
                <w:color w:val="auto"/>
                <w:highlight w:val="none"/>
              </w:rPr>
            </w:pPr>
            <w:r>
              <w:rPr>
                <w:color w:val="auto"/>
                <w:highlight w:val="none"/>
              </w:rPr>
              <w:t>0.000</w:t>
            </w:r>
            <w:r>
              <w:rPr>
                <w:rFonts w:hint="eastAsia"/>
                <w:color w:val="auto"/>
                <w:highlight w:val="none"/>
              </w:rPr>
              <w:t>1</w:t>
            </w:r>
            <w:r>
              <w:rPr>
                <w:color w:val="auto"/>
                <w:highlight w:val="none"/>
              </w:rPr>
              <w:t>t/a</w:t>
            </w:r>
          </w:p>
        </w:tc>
        <w:tc>
          <w:tcPr>
            <w:tcW w:w="1345" w:type="dxa"/>
            <w:shd w:val="clear" w:color="auto" w:fill="auto"/>
            <w:vAlign w:val="center"/>
          </w:tcPr>
          <w:p w14:paraId="4382B6A2">
            <w:pPr>
              <w:pStyle w:val="27"/>
              <w:jc w:val="center"/>
              <w:rPr>
                <w:color w:val="auto"/>
                <w:highlight w:val="none"/>
              </w:rPr>
            </w:pPr>
            <w:r>
              <w:rPr>
                <w:rFonts w:hint="eastAsia"/>
                <w:color w:val="auto"/>
                <w:highlight w:val="none"/>
              </w:rPr>
              <w:t>+</w:t>
            </w:r>
            <w:r>
              <w:rPr>
                <w:color w:val="auto"/>
                <w:highlight w:val="none"/>
              </w:rPr>
              <w:t>0.000</w:t>
            </w:r>
            <w:r>
              <w:rPr>
                <w:rFonts w:hint="eastAsia"/>
                <w:color w:val="auto"/>
                <w:highlight w:val="none"/>
              </w:rPr>
              <w:t>1</w:t>
            </w:r>
            <w:r>
              <w:rPr>
                <w:color w:val="auto"/>
                <w:highlight w:val="none"/>
              </w:rPr>
              <w:t>t/a</w:t>
            </w:r>
          </w:p>
        </w:tc>
      </w:tr>
      <w:tr w14:paraId="2B6563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588" w:type="dxa"/>
            <w:gridSpan w:val="2"/>
            <w:vMerge w:val="continue"/>
            <w:vAlign w:val="center"/>
          </w:tcPr>
          <w:p w14:paraId="30BB51EB">
            <w:pPr>
              <w:pStyle w:val="27"/>
              <w:rPr>
                <w:snapToGrid w:val="0"/>
                <w:color w:val="auto"/>
                <w:kern w:val="21"/>
                <w:szCs w:val="21"/>
                <w:highlight w:val="none"/>
              </w:rPr>
            </w:pPr>
          </w:p>
        </w:tc>
        <w:tc>
          <w:tcPr>
            <w:tcW w:w="1417" w:type="dxa"/>
            <w:shd w:val="clear" w:color="auto" w:fill="auto"/>
            <w:vAlign w:val="center"/>
          </w:tcPr>
          <w:p w14:paraId="53820DCA">
            <w:pPr>
              <w:adjustRightInd w:val="0"/>
              <w:snapToGrid w:val="0"/>
              <w:jc w:val="center"/>
              <w:rPr>
                <w:bCs/>
                <w:color w:val="auto"/>
                <w:spacing w:val="-10"/>
                <w:szCs w:val="21"/>
                <w:highlight w:val="none"/>
              </w:rPr>
            </w:pPr>
            <w:r>
              <w:rPr>
                <w:bCs/>
                <w:color w:val="auto"/>
                <w:spacing w:val="-10"/>
                <w:szCs w:val="21"/>
                <w:highlight w:val="none"/>
              </w:rPr>
              <w:t>硫化氢</w:t>
            </w:r>
          </w:p>
        </w:tc>
        <w:tc>
          <w:tcPr>
            <w:tcW w:w="1701" w:type="dxa"/>
            <w:shd w:val="clear" w:color="auto" w:fill="auto"/>
            <w:vAlign w:val="center"/>
          </w:tcPr>
          <w:p w14:paraId="6ADDD370">
            <w:pPr>
              <w:pStyle w:val="27"/>
              <w:rPr>
                <w:snapToGrid w:val="0"/>
                <w:color w:val="auto"/>
                <w:kern w:val="21"/>
                <w:szCs w:val="21"/>
                <w:highlight w:val="none"/>
              </w:rPr>
            </w:pPr>
            <w:r>
              <w:rPr>
                <w:snapToGrid w:val="0"/>
                <w:color w:val="auto"/>
                <w:kern w:val="21"/>
                <w:szCs w:val="21"/>
                <w:highlight w:val="none"/>
              </w:rPr>
              <w:t>/</w:t>
            </w:r>
          </w:p>
        </w:tc>
        <w:tc>
          <w:tcPr>
            <w:tcW w:w="1276" w:type="dxa"/>
            <w:shd w:val="clear" w:color="auto" w:fill="auto"/>
            <w:vAlign w:val="center"/>
          </w:tcPr>
          <w:p w14:paraId="21751CAD">
            <w:pPr>
              <w:pStyle w:val="27"/>
              <w:rPr>
                <w:snapToGrid w:val="0"/>
                <w:color w:val="auto"/>
                <w:kern w:val="21"/>
                <w:szCs w:val="21"/>
                <w:highlight w:val="none"/>
              </w:rPr>
            </w:pPr>
            <w:r>
              <w:rPr>
                <w:snapToGrid w:val="0"/>
                <w:color w:val="auto"/>
                <w:kern w:val="21"/>
                <w:szCs w:val="21"/>
                <w:highlight w:val="none"/>
              </w:rPr>
              <w:t>/</w:t>
            </w:r>
          </w:p>
        </w:tc>
        <w:tc>
          <w:tcPr>
            <w:tcW w:w="1701" w:type="dxa"/>
            <w:shd w:val="clear" w:color="auto" w:fill="auto"/>
            <w:vAlign w:val="center"/>
          </w:tcPr>
          <w:p w14:paraId="0FD53453">
            <w:pPr>
              <w:pStyle w:val="27"/>
              <w:rPr>
                <w:snapToGrid w:val="0"/>
                <w:color w:val="auto"/>
                <w:kern w:val="21"/>
                <w:szCs w:val="21"/>
                <w:highlight w:val="none"/>
              </w:rPr>
            </w:pPr>
            <w:r>
              <w:rPr>
                <w:snapToGrid w:val="0"/>
                <w:color w:val="auto"/>
                <w:kern w:val="21"/>
                <w:szCs w:val="21"/>
                <w:highlight w:val="none"/>
              </w:rPr>
              <w:t>/</w:t>
            </w:r>
          </w:p>
        </w:tc>
        <w:tc>
          <w:tcPr>
            <w:tcW w:w="1559" w:type="dxa"/>
            <w:shd w:val="clear" w:color="auto" w:fill="auto"/>
            <w:vAlign w:val="center"/>
          </w:tcPr>
          <w:p w14:paraId="2DAB461A">
            <w:pPr>
              <w:pStyle w:val="27"/>
              <w:jc w:val="center"/>
              <w:rPr>
                <w:color w:val="auto"/>
                <w:highlight w:val="none"/>
              </w:rPr>
            </w:pPr>
            <w:r>
              <w:rPr>
                <w:color w:val="auto"/>
                <w:highlight w:val="none"/>
              </w:rPr>
              <w:t>0.00</w:t>
            </w:r>
            <w:r>
              <w:rPr>
                <w:rFonts w:hint="eastAsia"/>
                <w:color w:val="auto"/>
                <w:highlight w:val="none"/>
              </w:rPr>
              <w:t>0</w:t>
            </w:r>
            <w:r>
              <w:rPr>
                <w:color w:val="auto"/>
                <w:highlight w:val="none"/>
              </w:rPr>
              <w:t>6t/a</w:t>
            </w:r>
          </w:p>
        </w:tc>
        <w:tc>
          <w:tcPr>
            <w:tcW w:w="1761" w:type="dxa"/>
            <w:shd w:val="clear" w:color="auto" w:fill="auto"/>
            <w:vAlign w:val="center"/>
          </w:tcPr>
          <w:p w14:paraId="691D07DC">
            <w:pPr>
              <w:pStyle w:val="27"/>
              <w:jc w:val="center"/>
              <w:rPr>
                <w:snapToGrid w:val="0"/>
                <w:color w:val="auto"/>
                <w:kern w:val="21"/>
                <w:szCs w:val="21"/>
                <w:highlight w:val="none"/>
              </w:rPr>
            </w:pPr>
            <w:r>
              <w:rPr>
                <w:snapToGrid w:val="0"/>
                <w:color w:val="auto"/>
                <w:kern w:val="21"/>
                <w:szCs w:val="21"/>
                <w:highlight w:val="none"/>
              </w:rPr>
              <w:t>/</w:t>
            </w:r>
          </w:p>
        </w:tc>
        <w:tc>
          <w:tcPr>
            <w:tcW w:w="1641" w:type="dxa"/>
            <w:shd w:val="clear" w:color="auto" w:fill="auto"/>
            <w:vAlign w:val="center"/>
          </w:tcPr>
          <w:p w14:paraId="3F6DAB8D">
            <w:pPr>
              <w:pStyle w:val="27"/>
              <w:jc w:val="center"/>
              <w:rPr>
                <w:color w:val="auto"/>
                <w:highlight w:val="none"/>
              </w:rPr>
            </w:pPr>
            <w:r>
              <w:rPr>
                <w:color w:val="auto"/>
                <w:highlight w:val="none"/>
              </w:rPr>
              <w:t>0.00</w:t>
            </w:r>
            <w:r>
              <w:rPr>
                <w:rFonts w:hint="eastAsia"/>
                <w:color w:val="auto"/>
                <w:highlight w:val="none"/>
              </w:rPr>
              <w:t>0</w:t>
            </w:r>
            <w:r>
              <w:rPr>
                <w:color w:val="auto"/>
                <w:highlight w:val="none"/>
              </w:rPr>
              <w:t>6t/a</w:t>
            </w:r>
          </w:p>
        </w:tc>
        <w:tc>
          <w:tcPr>
            <w:tcW w:w="1345" w:type="dxa"/>
            <w:shd w:val="clear" w:color="auto" w:fill="auto"/>
            <w:vAlign w:val="center"/>
          </w:tcPr>
          <w:p w14:paraId="00F08EA0">
            <w:pPr>
              <w:pStyle w:val="27"/>
              <w:jc w:val="center"/>
              <w:rPr>
                <w:color w:val="auto"/>
                <w:highlight w:val="none"/>
              </w:rPr>
            </w:pPr>
            <w:r>
              <w:rPr>
                <w:rFonts w:hint="eastAsia"/>
                <w:color w:val="auto"/>
                <w:highlight w:val="none"/>
              </w:rPr>
              <w:t>+</w:t>
            </w:r>
            <w:r>
              <w:rPr>
                <w:color w:val="auto"/>
                <w:highlight w:val="none"/>
              </w:rPr>
              <w:t>0.00</w:t>
            </w:r>
            <w:r>
              <w:rPr>
                <w:rFonts w:hint="eastAsia"/>
                <w:color w:val="auto"/>
                <w:highlight w:val="none"/>
              </w:rPr>
              <w:t>0</w:t>
            </w:r>
            <w:r>
              <w:rPr>
                <w:color w:val="auto"/>
                <w:highlight w:val="none"/>
              </w:rPr>
              <w:t>6t/a</w:t>
            </w:r>
          </w:p>
        </w:tc>
      </w:tr>
      <w:tr w14:paraId="76895A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588" w:type="dxa"/>
            <w:gridSpan w:val="2"/>
            <w:vMerge w:val="continue"/>
            <w:vAlign w:val="center"/>
          </w:tcPr>
          <w:p w14:paraId="05C4D371">
            <w:pPr>
              <w:pStyle w:val="27"/>
              <w:rPr>
                <w:snapToGrid w:val="0"/>
                <w:color w:val="auto"/>
                <w:kern w:val="21"/>
                <w:szCs w:val="21"/>
                <w:highlight w:val="none"/>
              </w:rPr>
            </w:pPr>
          </w:p>
        </w:tc>
        <w:tc>
          <w:tcPr>
            <w:tcW w:w="1417" w:type="dxa"/>
            <w:shd w:val="clear" w:color="auto" w:fill="auto"/>
            <w:vAlign w:val="center"/>
          </w:tcPr>
          <w:p w14:paraId="13D416C0">
            <w:pPr>
              <w:adjustRightInd w:val="0"/>
              <w:snapToGrid w:val="0"/>
              <w:jc w:val="center"/>
              <w:rPr>
                <w:color w:val="auto"/>
                <w:szCs w:val="21"/>
                <w:highlight w:val="none"/>
              </w:rPr>
            </w:pPr>
            <w:r>
              <w:rPr>
                <w:bCs/>
                <w:color w:val="auto"/>
                <w:spacing w:val="-10"/>
                <w:szCs w:val="21"/>
                <w:highlight w:val="none"/>
              </w:rPr>
              <w:t>氯化氢</w:t>
            </w:r>
          </w:p>
        </w:tc>
        <w:tc>
          <w:tcPr>
            <w:tcW w:w="1701" w:type="dxa"/>
            <w:shd w:val="clear" w:color="auto" w:fill="auto"/>
            <w:vAlign w:val="center"/>
          </w:tcPr>
          <w:p w14:paraId="73A71C89">
            <w:pPr>
              <w:pStyle w:val="27"/>
              <w:rPr>
                <w:snapToGrid w:val="0"/>
                <w:color w:val="auto"/>
                <w:kern w:val="21"/>
                <w:szCs w:val="21"/>
                <w:highlight w:val="none"/>
              </w:rPr>
            </w:pPr>
            <w:r>
              <w:rPr>
                <w:snapToGrid w:val="0"/>
                <w:color w:val="auto"/>
                <w:kern w:val="21"/>
                <w:szCs w:val="21"/>
                <w:highlight w:val="none"/>
              </w:rPr>
              <w:t>/</w:t>
            </w:r>
          </w:p>
        </w:tc>
        <w:tc>
          <w:tcPr>
            <w:tcW w:w="1276" w:type="dxa"/>
            <w:shd w:val="clear" w:color="auto" w:fill="auto"/>
            <w:vAlign w:val="center"/>
          </w:tcPr>
          <w:p w14:paraId="4191545D">
            <w:pPr>
              <w:pStyle w:val="27"/>
              <w:rPr>
                <w:snapToGrid w:val="0"/>
                <w:color w:val="auto"/>
                <w:kern w:val="21"/>
                <w:szCs w:val="21"/>
                <w:highlight w:val="none"/>
              </w:rPr>
            </w:pPr>
            <w:r>
              <w:rPr>
                <w:snapToGrid w:val="0"/>
                <w:color w:val="auto"/>
                <w:kern w:val="21"/>
                <w:szCs w:val="21"/>
                <w:highlight w:val="none"/>
              </w:rPr>
              <w:t>/</w:t>
            </w:r>
          </w:p>
        </w:tc>
        <w:tc>
          <w:tcPr>
            <w:tcW w:w="1701" w:type="dxa"/>
            <w:shd w:val="clear" w:color="auto" w:fill="auto"/>
            <w:vAlign w:val="center"/>
          </w:tcPr>
          <w:p w14:paraId="57DF0DEB">
            <w:pPr>
              <w:pStyle w:val="27"/>
              <w:rPr>
                <w:snapToGrid w:val="0"/>
                <w:color w:val="auto"/>
                <w:kern w:val="21"/>
                <w:szCs w:val="21"/>
                <w:highlight w:val="none"/>
              </w:rPr>
            </w:pPr>
            <w:r>
              <w:rPr>
                <w:snapToGrid w:val="0"/>
                <w:color w:val="auto"/>
                <w:kern w:val="21"/>
                <w:szCs w:val="21"/>
                <w:highlight w:val="none"/>
              </w:rPr>
              <w:t>/</w:t>
            </w:r>
          </w:p>
        </w:tc>
        <w:tc>
          <w:tcPr>
            <w:tcW w:w="1559" w:type="dxa"/>
            <w:shd w:val="clear" w:color="auto" w:fill="auto"/>
            <w:vAlign w:val="center"/>
          </w:tcPr>
          <w:p w14:paraId="3D698558">
            <w:pPr>
              <w:pStyle w:val="27"/>
              <w:jc w:val="center"/>
              <w:rPr>
                <w:color w:val="auto"/>
                <w:highlight w:val="none"/>
              </w:rPr>
            </w:pPr>
            <w:r>
              <w:rPr>
                <w:color w:val="auto"/>
                <w:highlight w:val="none"/>
              </w:rPr>
              <w:t>0.0</w:t>
            </w:r>
            <w:r>
              <w:rPr>
                <w:rFonts w:hint="eastAsia"/>
                <w:color w:val="auto"/>
                <w:highlight w:val="none"/>
              </w:rPr>
              <w:t>24</w:t>
            </w:r>
            <w:r>
              <w:rPr>
                <w:color w:val="auto"/>
                <w:highlight w:val="none"/>
              </w:rPr>
              <w:t>t/a</w:t>
            </w:r>
          </w:p>
        </w:tc>
        <w:tc>
          <w:tcPr>
            <w:tcW w:w="1761" w:type="dxa"/>
            <w:shd w:val="clear" w:color="auto" w:fill="auto"/>
            <w:vAlign w:val="center"/>
          </w:tcPr>
          <w:p w14:paraId="67F99B13">
            <w:pPr>
              <w:pStyle w:val="27"/>
              <w:jc w:val="center"/>
              <w:rPr>
                <w:snapToGrid w:val="0"/>
                <w:color w:val="auto"/>
                <w:kern w:val="21"/>
                <w:szCs w:val="21"/>
                <w:highlight w:val="none"/>
              </w:rPr>
            </w:pPr>
            <w:r>
              <w:rPr>
                <w:snapToGrid w:val="0"/>
                <w:color w:val="auto"/>
                <w:kern w:val="21"/>
                <w:szCs w:val="21"/>
                <w:highlight w:val="none"/>
              </w:rPr>
              <w:t>/</w:t>
            </w:r>
          </w:p>
        </w:tc>
        <w:tc>
          <w:tcPr>
            <w:tcW w:w="1641" w:type="dxa"/>
            <w:shd w:val="clear" w:color="auto" w:fill="auto"/>
            <w:vAlign w:val="center"/>
          </w:tcPr>
          <w:p w14:paraId="51D7E918">
            <w:pPr>
              <w:pStyle w:val="27"/>
              <w:jc w:val="center"/>
              <w:rPr>
                <w:color w:val="auto"/>
                <w:highlight w:val="none"/>
              </w:rPr>
            </w:pPr>
            <w:r>
              <w:rPr>
                <w:color w:val="auto"/>
                <w:highlight w:val="none"/>
              </w:rPr>
              <w:t>0.0</w:t>
            </w:r>
            <w:r>
              <w:rPr>
                <w:rFonts w:hint="eastAsia"/>
                <w:color w:val="auto"/>
                <w:highlight w:val="none"/>
              </w:rPr>
              <w:t>24</w:t>
            </w:r>
            <w:r>
              <w:rPr>
                <w:color w:val="auto"/>
                <w:highlight w:val="none"/>
              </w:rPr>
              <w:t>t/a</w:t>
            </w:r>
          </w:p>
        </w:tc>
        <w:tc>
          <w:tcPr>
            <w:tcW w:w="1345" w:type="dxa"/>
            <w:shd w:val="clear" w:color="auto" w:fill="auto"/>
            <w:vAlign w:val="center"/>
          </w:tcPr>
          <w:p w14:paraId="4802B189">
            <w:pPr>
              <w:pStyle w:val="27"/>
              <w:jc w:val="center"/>
              <w:rPr>
                <w:color w:val="auto"/>
                <w:highlight w:val="none"/>
              </w:rPr>
            </w:pPr>
            <w:r>
              <w:rPr>
                <w:rFonts w:hint="eastAsia"/>
                <w:color w:val="auto"/>
                <w:highlight w:val="none"/>
              </w:rPr>
              <w:t>+</w:t>
            </w:r>
            <w:r>
              <w:rPr>
                <w:color w:val="auto"/>
                <w:highlight w:val="none"/>
              </w:rPr>
              <w:t>0.0</w:t>
            </w:r>
            <w:r>
              <w:rPr>
                <w:rFonts w:hint="eastAsia"/>
                <w:color w:val="auto"/>
                <w:highlight w:val="none"/>
              </w:rPr>
              <w:t>24</w:t>
            </w:r>
            <w:r>
              <w:rPr>
                <w:color w:val="auto"/>
                <w:highlight w:val="none"/>
              </w:rPr>
              <w:t>t/a</w:t>
            </w:r>
          </w:p>
        </w:tc>
      </w:tr>
      <w:tr w14:paraId="4D318C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588" w:type="dxa"/>
            <w:gridSpan w:val="2"/>
            <w:vMerge w:val="continue"/>
            <w:vAlign w:val="center"/>
          </w:tcPr>
          <w:p w14:paraId="1D919E34">
            <w:pPr>
              <w:pStyle w:val="27"/>
              <w:rPr>
                <w:snapToGrid w:val="0"/>
                <w:color w:val="auto"/>
                <w:kern w:val="21"/>
                <w:szCs w:val="21"/>
                <w:highlight w:val="none"/>
              </w:rPr>
            </w:pPr>
          </w:p>
        </w:tc>
        <w:tc>
          <w:tcPr>
            <w:tcW w:w="1417" w:type="dxa"/>
            <w:shd w:val="clear" w:color="auto" w:fill="auto"/>
            <w:vAlign w:val="center"/>
          </w:tcPr>
          <w:p w14:paraId="7BB79538">
            <w:pPr>
              <w:adjustRightInd w:val="0"/>
              <w:snapToGrid w:val="0"/>
              <w:jc w:val="center"/>
              <w:rPr>
                <w:color w:val="auto"/>
                <w:szCs w:val="21"/>
                <w:highlight w:val="none"/>
              </w:rPr>
            </w:pPr>
            <w:r>
              <w:rPr>
                <w:bCs/>
                <w:color w:val="auto"/>
                <w:spacing w:val="-10"/>
                <w:szCs w:val="21"/>
                <w:highlight w:val="none"/>
              </w:rPr>
              <w:t>汞</w:t>
            </w:r>
          </w:p>
        </w:tc>
        <w:tc>
          <w:tcPr>
            <w:tcW w:w="1701" w:type="dxa"/>
            <w:shd w:val="clear" w:color="auto" w:fill="auto"/>
            <w:vAlign w:val="center"/>
          </w:tcPr>
          <w:p w14:paraId="6D476DB2">
            <w:pPr>
              <w:pStyle w:val="27"/>
              <w:rPr>
                <w:snapToGrid w:val="0"/>
                <w:color w:val="auto"/>
                <w:kern w:val="21"/>
                <w:szCs w:val="21"/>
                <w:highlight w:val="none"/>
              </w:rPr>
            </w:pPr>
            <w:r>
              <w:rPr>
                <w:snapToGrid w:val="0"/>
                <w:color w:val="auto"/>
                <w:kern w:val="21"/>
                <w:szCs w:val="21"/>
                <w:highlight w:val="none"/>
              </w:rPr>
              <w:t>/</w:t>
            </w:r>
          </w:p>
        </w:tc>
        <w:tc>
          <w:tcPr>
            <w:tcW w:w="1276" w:type="dxa"/>
            <w:shd w:val="clear" w:color="auto" w:fill="auto"/>
            <w:vAlign w:val="center"/>
          </w:tcPr>
          <w:p w14:paraId="172436B6">
            <w:pPr>
              <w:pStyle w:val="27"/>
              <w:rPr>
                <w:snapToGrid w:val="0"/>
                <w:color w:val="auto"/>
                <w:kern w:val="21"/>
                <w:szCs w:val="21"/>
                <w:highlight w:val="none"/>
              </w:rPr>
            </w:pPr>
            <w:r>
              <w:rPr>
                <w:snapToGrid w:val="0"/>
                <w:color w:val="auto"/>
                <w:kern w:val="21"/>
                <w:szCs w:val="21"/>
                <w:highlight w:val="none"/>
              </w:rPr>
              <w:t>/</w:t>
            </w:r>
          </w:p>
        </w:tc>
        <w:tc>
          <w:tcPr>
            <w:tcW w:w="1701" w:type="dxa"/>
            <w:shd w:val="clear" w:color="auto" w:fill="auto"/>
            <w:vAlign w:val="center"/>
          </w:tcPr>
          <w:p w14:paraId="1FC8B303">
            <w:pPr>
              <w:pStyle w:val="27"/>
              <w:rPr>
                <w:snapToGrid w:val="0"/>
                <w:color w:val="auto"/>
                <w:kern w:val="21"/>
                <w:szCs w:val="21"/>
                <w:highlight w:val="none"/>
              </w:rPr>
            </w:pPr>
            <w:r>
              <w:rPr>
                <w:snapToGrid w:val="0"/>
                <w:color w:val="auto"/>
                <w:kern w:val="21"/>
                <w:szCs w:val="21"/>
                <w:highlight w:val="none"/>
              </w:rPr>
              <w:t>/</w:t>
            </w:r>
          </w:p>
        </w:tc>
        <w:tc>
          <w:tcPr>
            <w:tcW w:w="1559" w:type="dxa"/>
            <w:shd w:val="clear" w:color="auto" w:fill="auto"/>
            <w:vAlign w:val="center"/>
          </w:tcPr>
          <w:p w14:paraId="12C24BB5">
            <w:pPr>
              <w:pStyle w:val="27"/>
              <w:jc w:val="center"/>
              <w:rPr>
                <w:color w:val="auto"/>
                <w:highlight w:val="none"/>
              </w:rPr>
            </w:pPr>
            <w:r>
              <w:rPr>
                <w:color w:val="auto"/>
                <w:highlight w:val="none"/>
              </w:rPr>
              <w:t>0.000</w:t>
            </w:r>
            <w:r>
              <w:rPr>
                <w:rFonts w:hint="eastAsia"/>
                <w:color w:val="auto"/>
                <w:highlight w:val="none"/>
                <w:lang w:val="en-US" w:eastAsia="zh-CN"/>
              </w:rPr>
              <w:t>2</w:t>
            </w:r>
            <w:r>
              <w:rPr>
                <w:color w:val="auto"/>
                <w:highlight w:val="none"/>
              </w:rPr>
              <w:t>t/a</w:t>
            </w:r>
          </w:p>
        </w:tc>
        <w:tc>
          <w:tcPr>
            <w:tcW w:w="1761" w:type="dxa"/>
            <w:shd w:val="clear" w:color="auto" w:fill="auto"/>
            <w:vAlign w:val="center"/>
          </w:tcPr>
          <w:p w14:paraId="60706C32">
            <w:pPr>
              <w:pStyle w:val="27"/>
              <w:jc w:val="center"/>
              <w:rPr>
                <w:snapToGrid w:val="0"/>
                <w:color w:val="auto"/>
                <w:kern w:val="21"/>
                <w:szCs w:val="21"/>
                <w:highlight w:val="none"/>
              </w:rPr>
            </w:pPr>
            <w:r>
              <w:rPr>
                <w:snapToGrid w:val="0"/>
                <w:color w:val="auto"/>
                <w:kern w:val="21"/>
                <w:szCs w:val="21"/>
                <w:highlight w:val="none"/>
              </w:rPr>
              <w:t>/</w:t>
            </w:r>
          </w:p>
        </w:tc>
        <w:tc>
          <w:tcPr>
            <w:tcW w:w="1641" w:type="dxa"/>
            <w:shd w:val="clear" w:color="auto" w:fill="auto"/>
            <w:vAlign w:val="center"/>
          </w:tcPr>
          <w:p w14:paraId="3AA302C4">
            <w:pPr>
              <w:pStyle w:val="27"/>
              <w:jc w:val="center"/>
              <w:rPr>
                <w:color w:val="auto"/>
                <w:highlight w:val="none"/>
              </w:rPr>
            </w:pPr>
            <w:r>
              <w:rPr>
                <w:color w:val="auto"/>
                <w:highlight w:val="none"/>
              </w:rPr>
              <w:t>0.000</w:t>
            </w:r>
            <w:r>
              <w:rPr>
                <w:rFonts w:hint="eastAsia"/>
                <w:color w:val="auto"/>
                <w:highlight w:val="none"/>
                <w:lang w:val="en-US" w:eastAsia="zh-CN"/>
              </w:rPr>
              <w:t>2</w:t>
            </w:r>
            <w:r>
              <w:rPr>
                <w:color w:val="auto"/>
                <w:highlight w:val="none"/>
              </w:rPr>
              <w:t>t/a</w:t>
            </w:r>
          </w:p>
        </w:tc>
        <w:tc>
          <w:tcPr>
            <w:tcW w:w="1345" w:type="dxa"/>
            <w:shd w:val="clear" w:color="auto" w:fill="auto"/>
            <w:vAlign w:val="center"/>
          </w:tcPr>
          <w:p w14:paraId="432F380B">
            <w:pPr>
              <w:pStyle w:val="27"/>
              <w:jc w:val="center"/>
              <w:rPr>
                <w:color w:val="auto"/>
                <w:highlight w:val="none"/>
              </w:rPr>
            </w:pPr>
            <w:r>
              <w:rPr>
                <w:rFonts w:hint="eastAsia"/>
                <w:color w:val="auto"/>
                <w:highlight w:val="none"/>
              </w:rPr>
              <w:t>+</w:t>
            </w:r>
            <w:r>
              <w:rPr>
                <w:color w:val="auto"/>
                <w:highlight w:val="none"/>
              </w:rPr>
              <w:t>0.000</w:t>
            </w:r>
            <w:r>
              <w:rPr>
                <w:rFonts w:hint="eastAsia"/>
                <w:color w:val="auto"/>
                <w:highlight w:val="none"/>
                <w:lang w:val="en-US" w:eastAsia="zh-CN"/>
              </w:rPr>
              <w:t>2</w:t>
            </w:r>
            <w:r>
              <w:rPr>
                <w:color w:val="auto"/>
                <w:highlight w:val="none"/>
              </w:rPr>
              <w:t>t/a</w:t>
            </w:r>
          </w:p>
        </w:tc>
      </w:tr>
      <w:tr w14:paraId="2E3866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588" w:type="dxa"/>
            <w:gridSpan w:val="2"/>
            <w:vMerge w:val="continue"/>
            <w:vAlign w:val="center"/>
          </w:tcPr>
          <w:p w14:paraId="484203E1">
            <w:pPr>
              <w:pStyle w:val="27"/>
              <w:rPr>
                <w:snapToGrid w:val="0"/>
                <w:color w:val="auto"/>
                <w:kern w:val="21"/>
                <w:szCs w:val="21"/>
                <w:highlight w:val="none"/>
              </w:rPr>
            </w:pPr>
          </w:p>
        </w:tc>
        <w:tc>
          <w:tcPr>
            <w:tcW w:w="1417" w:type="dxa"/>
            <w:shd w:val="clear" w:color="auto" w:fill="auto"/>
            <w:vAlign w:val="center"/>
          </w:tcPr>
          <w:p w14:paraId="42B4A48C">
            <w:pPr>
              <w:adjustRightInd w:val="0"/>
              <w:snapToGrid w:val="0"/>
              <w:jc w:val="center"/>
              <w:rPr>
                <w:color w:val="auto"/>
                <w:szCs w:val="21"/>
                <w:highlight w:val="none"/>
              </w:rPr>
            </w:pPr>
            <w:r>
              <w:rPr>
                <w:bCs/>
                <w:color w:val="auto"/>
                <w:spacing w:val="-10"/>
                <w:szCs w:val="21"/>
                <w:highlight w:val="none"/>
              </w:rPr>
              <w:t>二噁英</w:t>
            </w:r>
          </w:p>
        </w:tc>
        <w:tc>
          <w:tcPr>
            <w:tcW w:w="1701" w:type="dxa"/>
            <w:shd w:val="clear" w:color="auto" w:fill="auto"/>
            <w:vAlign w:val="center"/>
          </w:tcPr>
          <w:p w14:paraId="4350FA5D">
            <w:pPr>
              <w:pStyle w:val="27"/>
              <w:rPr>
                <w:snapToGrid w:val="0"/>
                <w:color w:val="auto"/>
                <w:kern w:val="21"/>
                <w:szCs w:val="21"/>
                <w:highlight w:val="none"/>
              </w:rPr>
            </w:pPr>
            <w:r>
              <w:rPr>
                <w:snapToGrid w:val="0"/>
                <w:color w:val="auto"/>
                <w:kern w:val="21"/>
                <w:szCs w:val="21"/>
                <w:highlight w:val="none"/>
              </w:rPr>
              <w:t>/</w:t>
            </w:r>
          </w:p>
        </w:tc>
        <w:tc>
          <w:tcPr>
            <w:tcW w:w="1276" w:type="dxa"/>
            <w:shd w:val="clear" w:color="auto" w:fill="auto"/>
            <w:vAlign w:val="center"/>
          </w:tcPr>
          <w:p w14:paraId="3D469683">
            <w:pPr>
              <w:pStyle w:val="27"/>
              <w:rPr>
                <w:snapToGrid w:val="0"/>
                <w:color w:val="auto"/>
                <w:kern w:val="21"/>
                <w:szCs w:val="21"/>
                <w:highlight w:val="none"/>
              </w:rPr>
            </w:pPr>
            <w:r>
              <w:rPr>
                <w:snapToGrid w:val="0"/>
                <w:color w:val="auto"/>
                <w:kern w:val="21"/>
                <w:szCs w:val="21"/>
                <w:highlight w:val="none"/>
              </w:rPr>
              <w:t>/</w:t>
            </w:r>
          </w:p>
        </w:tc>
        <w:tc>
          <w:tcPr>
            <w:tcW w:w="1701" w:type="dxa"/>
            <w:shd w:val="clear" w:color="auto" w:fill="auto"/>
            <w:vAlign w:val="center"/>
          </w:tcPr>
          <w:p w14:paraId="1E1947AC">
            <w:pPr>
              <w:pStyle w:val="27"/>
              <w:rPr>
                <w:snapToGrid w:val="0"/>
                <w:color w:val="auto"/>
                <w:kern w:val="21"/>
                <w:szCs w:val="21"/>
                <w:highlight w:val="none"/>
              </w:rPr>
            </w:pPr>
            <w:r>
              <w:rPr>
                <w:snapToGrid w:val="0"/>
                <w:color w:val="auto"/>
                <w:kern w:val="21"/>
                <w:szCs w:val="21"/>
                <w:highlight w:val="none"/>
              </w:rPr>
              <w:t>/</w:t>
            </w:r>
          </w:p>
        </w:tc>
        <w:tc>
          <w:tcPr>
            <w:tcW w:w="1559" w:type="dxa"/>
            <w:shd w:val="clear" w:color="auto" w:fill="auto"/>
            <w:vAlign w:val="center"/>
          </w:tcPr>
          <w:p w14:paraId="32E71565">
            <w:pPr>
              <w:pStyle w:val="27"/>
              <w:jc w:val="center"/>
              <w:rPr>
                <w:color w:val="auto"/>
                <w:highlight w:val="none"/>
              </w:rPr>
            </w:pPr>
            <w:r>
              <w:rPr>
                <w:color w:val="auto"/>
                <w:highlight w:val="none"/>
              </w:rPr>
              <w:t>0.</w:t>
            </w:r>
            <w:r>
              <w:rPr>
                <w:rFonts w:hint="eastAsia"/>
                <w:color w:val="auto"/>
                <w:highlight w:val="none"/>
              </w:rPr>
              <w:t>4111</w:t>
            </w:r>
            <w:r>
              <w:rPr>
                <w:rFonts w:hint="eastAsia"/>
                <w:color w:val="auto"/>
                <w:highlight w:val="none"/>
                <w:lang w:eastAsia="zh-CN"/>
              </w:rPr>
              <w:t>m</w:t>
            </w:r>
            <w:r>
              <w:rPr>
                <w:color w:val="auto"/>
                <w:highlight w:val="none"/>
              </w:rPr>
              <w:t>g/a</w:t>
            </w:r>
          </w:p>
        </w:tc>
        <w:tc>
          <w:tcPr>
            <w:tcW w:w="1761" w:type="dxa"/>
            <w:shd w:val="clear" w:color="auto" w:fill="auto"/>
            <w:vAlign w:val="center"/>
          </w:tcPr>
          <w:p w14:paraId="451C2DAB">
            <w:pPr>
              <w:pStyle w:val="27"/>
              <w:jc w:val="center"/>
              <w:rPr>
                <w:snapToGrid w:val="0"/>
                <w:color w:val="auto"/>
                <w:kern w:val="21"/>
                <w:szCs w:val="21"/>
                <w:highlight w:val="none"/>
              </w:rPr>
            </w:pPr>
            <w:r>
              <w:rPr>
                <w:snapToGrid w:val="0"/>
                <w:color w:val="auto"/>
                <w:kern w:val="21"/>
                <w:szCs w:val="21"/>
                <w:highlight w:val="none"/>
              </w:rPr>
              <w:t>/</w:t>
            </w:r>
          </w:p>
        </w:tc>
        <w:tc>
          <w:tcPr>
            <w:tcW w:w="1641" w:type="dxa"/>
            <w:shd w:val="clear" w:color="auto" w:fill="auto"/>
            <w:vAlign w:val="center"/>
          </w:tcPr>
          <w:p w14:paraId="63ADE838">
            <w:pPr>
              <w:pStyle w:val="27"/>
              <w:jc w:val="center"/>
              <w:rPr>
                <w:color w:val="auto"/>
                <w:highlight w:val="none"/>
              </w:rPr>
            </w:pPr>
            <w:r>
              <w:rPr>
                <w:color w:val="auto"/>
                <w:highlight w:val="none"/>
              </w:rPr>
              <w:t>0.</w:t>
            </w:r>
            <w:r>
              <w:rPr>
                <w:rFonts w:hint="eastAsia"/>
                <w:color w:val="auto"/>
                <w:highlight w:val="none"/>
              </w:rPr>
              <w:t>4111</w:t>
            </w:r>
            <w:r>
              <w:rPr>
                <w:rFonts w:hint="eastAsia"/>
                <w:color w:val="auto"/>
                <w:highlight w:val="none"/>
                <w:lang w:eastAsia="zh-CN"/>
              </w:rPr>
              <w:t>m</w:t>
            </w:r>
            <w:r>
              <w:rPr>
                <w:color w:val="auto"/>
                <w:highlight w:val="none"/>
              </w:rPr>
              <w:t>g/a</w:t>
            </w:r>
          </w:p>
        </w:tc>
        <w:tc>
          <w:tcPr>
            <w:tcW w:w="1345" w:type="dxa"/>
            <w:shd w:val="clear" w:color="auto" w:fill="auto"/>
            <w:vAlign w:val="center"/>
          </w:tcPr>
          <w:p w14:paraId="12DDD25C">
            <w:pPr>
              <w:pStyle w:val="27"/>
              <w:jc w:val="center"/>
              <w:rPr>
                <w:color w:val="auto"/>
                <w:highlight w:val="none"/>
              </w:rPr>
            </w:pPr>
            <w:r>
              <w:rPr>
                <w:rFonts w:hint="eastAsia"/>
                <w:color w:val="auto"/>
                <w:highlight w:val="none"/>
              </w:rPr>
              <w:t>+</w:t>
            </w:r>
            <w:r>
              <w:rPr>
                <w:color w:val="auto"/>
                <w:highlight w:val="none"/>
              </w:rPr>
              <w:t>0.</w:t>
            </w:r>
            <w:r>
              <w:rPr>
                <w:rFonts w:hint="eastAsia"/>
                <w:color w:val="auto"/>
                <w:highlight w:val="none"/>
              </w:rPr>
              <w:t>4111</w:t>
            </w:r>
            <w:r>
              <w:rPr>
                <w:rFonts w:hint="eastAsia"/>
                <w:color w:val="auto"/>
                <w:highlight w:val="none"/>
                <w:lang w:eastAsia="zh-CN"/>
              </w:rPr>
              <w:t>m</w:t>
            </w:r>
            <w:r>
              <w:rPr>
                <w:color w:val="auto"/>
                <w:highlight w:val="none"/>
              </w:rPr>
              <w:t>g/a</w:t>
            </w:r>
          </w:p>
        </w:tc>
      </w:tr>
      <w:tr w14:paraId="656015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588" w:type="dxa"/>
            <w:gridSpan w:val="2"/>
            <w:vAlign w:val="center"/>
          </w:tcPr>
          <w:p w14:paraId="2C301BE5">
            <w:pPr>
              <w:pStyle w:val="27"/>
              <w:rPr>
                <w:snapToGrid w:val="0"/>
                <w:color w:val="auto"/>
                <w:kern w:val="21"/>
                <w:szCs w:val="21"/>
                <w:highlight w:val="none"/>
              </w:rPr>
            </w:pPr>
            <w:r>
              <w:rPr>
                <w:snapToGrid w:val="0"/>
                <w:color w:val="auto"/>
                <w:kern w:val="21"/>
                <w:szCs w:val="21"/>
                <w:highlight w:val="none"/>
              </w:rPr>
              <w:t>废水</w:t>
            </w:r>
          </w:p>
        </w:tc>
        <w:tc>
          <w:tcPr>
            <w:tcW w:w="1417" w:type="dxa"/>
            <w:vAlign w:val="center"/>
          </w:tcPr>
          <w:p w14:paraId="4C427B11">
            <w:pPr>
              <w:pStyle w:val="27"/>
              <w:rPr>
                <w:snapToGrid w:val="0"/>
                <w:color w:val="auto"/>
                <w:kern w:val="21"/>
                <w:szCs w:val="21"/>
                <w:highlight w:val="none"/>
              </w:rPr>
            </w:pPr>
            <w:r>
              <w:rPr>
                <w:snapToGrid w:val="0"/>
                <w:color w:val="auto"/>
                <w:kern w:val="21"/>
                <w:szCs w:val="21"/>
                <w:highlight w:val="none"/>
              </w:rPr>
              <w:t>生活污水</w:t>
            </w:r>
          </w:p>
        </w:tc>
        <w:tc>
          <w:tcPr>
            <w:tcW w:w="1701" w:type="dxa"/>
            <w:vAlign w:val="center"/>
          </w:tcPr>
          <w:p w14:paraId="156CECD4">
            <w:pPr>
              <w:pStyle w:val="27"/>
              <w:rPr>
                <w:snapToGrid w:val="0"/>
                <w:color w:val="auto"/>
                <w:kern w:val="21"/>
                <w:szCs w:val="21"/>
                <w:highlight w:val="none"/>
              </w:rPr>
            </w:pPr>
            <w:r>
              <w:rPr>
                <w:snapToGrid w:val="0"/>
                <w:color w:val="auto"/>
                <w:kern w:val="21"/>
                <w:szCs w:val="21"/>
                <w:highlight w:val="none"/>
              </w:rPr>
              <w:t>/</w:t>
            </w:r>
          </w:p>
        </w:tc>
        <w:tc>
          <w:tcPr>
            <w:tcW w:w="1276" w:type="dxa"/>
            <w:vAlign w:val="center"/>
          </w:tcPr>
          <w:p w14:paraId="426ED758">
            <w:pPr>
              <w:pStyle w:val="27"/>
              <w:rPr>
                <w:snapToGrid w:val="0"/>
                <w:color w:val="auto"/>
                <w:kern w:val="21"/>
                <w:szCs w:val="21"/>
                <w:highlight w:val="none"/>
              </w:rPr>
            </w:pPr>
            <w:r>
              <w:rPr>
                <w:snapToGrid w:val="0"/>
                <w:color w:val="auto"/>
                <w:kern w:val="21"/>
                <w:szCs w:val="21"/>
                <w:highlight w:val="none"/>
              </w:rPr>
              <w:t>/</w:t>
            </w:r>
          </w:p>
        </w:tc>
        <w:tc>
          <w:tcPr>
            <w:tcW w:w="1701" w:type="dxa"/>
            <w:vAlign w:val="center"/>
          </w:tcPr>
          <w:p w14:paraId="1092F13E">
            <w:pPr>
              <w:pStyle w:val="27"/>
              <w:rPr>
                <w:snapToGrid w:val="0"/>
                <w:color w:val="auto"/>
                <w:kern w:val="21"/>
                <w:szCs w:val="21"/>
                <w:highlight w:val="none"/>
              </w:rPr>
            </w:pPr>
            <w:r>
              <w:rPr>
                <w:snapToGrid w:val="0"/>
                <w:color w:val="auto"/>
                <w:kern w:val="21"/>
                <w:szCs w:val="21"/>
                <w:highlight w:val="none"/>
              </w:rPr>
              <w:t>/</w:t>
            </w:r>
          </w:p>
        </w:tc>
        <w:tc>
          <w:tcPr>
            <w:tcW w:w="1559" w:type="dxa"/>
            <w:vAlign w:val="center"/>
          </w:tcPr>
          <w:p w14:paraId="648607F6">
            <w:pPr>
              <w:pStyle w:val="27"/>
              <w:rPr>
                <w:snapToGrid w:val="0"/>
                <w:color w:val="auto"/>
                <w:kern w:val="21"/>
                <w:szCs w:val="21"/>
                <w:highlight w:val="none"/>
              </w:rPr>
            </w:pPr>
            <w:r>
              <w:rPr>
                <w:snapToGrid w:val="0"/>
                <w:color w:val="auto"/>
                <w:kern w:val="21"/>
                <w:szCs w:val="21"/>
                <w:highlight w:val="none"/>
              </w:rPr>
              <w:t>/</w:t>
            </w:r>
          </w:p>
        </w:tc>
        <w:tc>
          <w:tcPr>
            <w:tcW w:w="1761" w:type="dxa"/>
            <w:vAlign w:val="center"/>
          </w:tcPr>
          <w:p w14:paraId="03EB0DC0">
            <w:pPr>
              <w:jc w:val="center"/>
              <w:rPr>
                <w:color w:val="auto"/>
                <w:highlight w:val="none"/>
              </w:rPr>
            </w:pPr>
            <w:r>
              <w:rPr>
                <w:color w:val="auto"/>
                <w:highlight w:val="none"/>
              </w:rPr>
              <w:t>/</w:t>
            </w:r>
          </w:p>
        </w:tc>
        <w:tc>
          <w:tcPr>
            <w:tcW w:w="1641" w:type="dxa"/>
            <w:vAlign w:val="center"/>
          </w:tcPr>
          <w:p w14:paraId="6C092EC1">
            <w:pPr>
              <w:pStyle w:val="27"/>
              <w:rPr>
                <w:snapToGrid w:val="0"/>
                <w:color w:val="auto"/>
                <w:kern w:val="21"/>
                <w:szCs w:val="21"/>
                <w:highlight w:val="none"/>
              </w:rPr>
            </w:pPr>
            <w:r>
              <w:rPr>
                <w:snapToGrid w:val="0"/>
                <w:color w:val="auto"/>
                <w:kern w:val="21"/>
                <w:szCs w:val="21"/>
                <w:highlight w:val="none"/>
              </w:rPr>
              <w:t>/</w:t>
            </w:r>
          </w:p>
        </w:tc>
        <w:tc>
          <w:tcPr>
            <w:tcW w:w="1345" w:type="dxa"/>
            <w:vAlign w:val="center"/>
          </w:tcPr>
          <w:p w14:paraId="323E0356">
            <w:pPr>
              <w:pStyle w:val="27"/>
              <w:rPr>
                <w:snapToGrid w:val="0"/>
                <w:color w:val="auto"/>
                <w:kern w:val="21"/>
                <w:szCs w:val="21"/>
                <w:highlight w:val="none"/>
              </w:rPr>
            </w:pPr>
            <w:r>
              <w:rPr>
                <w:snapToGrid w:val="0"/>
                <w:color w:val="auto"/>
                <w:kern w:val="21"/>
                <w:szCs w:val="21"/>
                <w:highlight w:val="none"/>
              </w:rPr>
              <w:t>/</w:t>
            </w:r>
          </w:p>
        </w:tc>
      </w:tr>
      <w:tr w14:paraId="2DF768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16" w:type="dxa"/>
            <w:vAlign w:val="center"/>
          </w:tcPr>
          <w:p w14:paraId="4C7ECC29">
            <w:pPr>
              <w:pStyle w:val="27"/>
              <w:rPr>
                <w:snapToGrid w:val="0"/>
                <w:color w:val="auto"/>
                <w:kern w:val="21"/>
                <w:szCs w:val="21"/>
                <w:highlight w:val="none"/>
              </w:rPr>
            </w:pPr>
            <w:r>
              <w:rPr>
                <w:snapToGrid w:val="0"/>
                <w:color w:val="auto"/>
                <w:kern w:val="21"/>
                <w:szCs w:val="21"/>
                <w:highlight w:val="none"/>
              </w:rPr>
              <w:t>固体废物</w:t>
            </w:r>
          </w:p>
        </w:tc>
        <w:tc>
          <w:tcPr>
            <w:tcW w:w="772" w:type="dxa"/>
            <w:shd w:val="clear" w:color="auto" w:fill="auto"/>
            <w:vAlign w:val="center"/>
          </w:tcPr>
          <w:p w14:paraId="215DB0A3">
            <w:pPr>
              <w:pStyle w:val="27"/>
              <w:rPr>
                <w:snapToGrid w:val="0"/>
                <w:color w:val="auto"/>
                <w:kern w:val="21"/>
                <w:szCs w:val="21"/>
                <w:highlight w:val="none"/>
              </w:rPr>
            </w:pPr>
            <w:r>
              <w:rPr>
                <w:snapToGrid w:val="0"/>
                <w:color w:val="auto"/>
                <w:kern w:val="21"/>
                <w:szCs w:val="21"/>
                <w:highlight w:val="none"/>
              </w:rPr>
              <w:t>生活垃圾</w:t>
            </w:r>
          </w:p>
        </w:tc>
        <w:tc>
          <w:tcPr>
            <w:tcW w:w="1417" w:type="dxa"/>
            <w:tcBorders>
              <w:bottom w:val="single" w:color="auto" w:sz="4" w:space="0"/>
            </w:tcBorders>
            <w:shd w:val="clear" w:color="auto" w:fill="auto"/>
            <w:vAlign w:val="center"/>
          </w:tcPr>
          <w:p w14:paraId="5F6C2BB2">
            <w:pPr>
              <w:adjustRightInd w:val="0"/>
              <w:snapToGrid w:val="0"/>
              <w:jc w:val="center"/>
              <w:rPr>
                <w:bCs/>
                <w:color w:val="auto"/>
                <w:szCs w:val="21"/>
                <w:highlight w:val="none"/>
              </w:rPr>
            </w:pPr>
            <w:r>
              <w:rPr>
                <w:bCs/>
                <w:color w:val="auto"/>
                <w:szCs w:val="21"/>
                <w:highlight w:val="none"/>
              </w:rPr>
              <w:t>生活垃圾</w:t>
            </w:r>
          </w:p>
        </w:tc>
        <w:tc>
          <w:tcPr>
            <w:tcW w:w="1701" w:type="dxa"/>
            <w:shd w:val="clear" w:color="auto" w:fill="auto"/>
            <w:vAlign w:val="center"/>
          </w:tcPr>
          <w:p w14:paraId="6D0F10F1">
            <w:pPr>
              <w:pStyle w:val="27"/>
              <w:rPr>
                <w:snapToGrid w:val="0"/>
                <w:color w:val="auto"/>
                <w:kern w:val="21"/>
                <w:szCs w:val="21"/>
                <w:highlight w:val="none"/>
              </w:rPr>
            </w:pPr>
            <w:r>
              <w:rPr>
                <w:snapToGrid w:val="0"/>
                <w:color w:val="auto"/>
                <w:kern w:val="21"/>
                <w:szCs w:val="21"/>
                <w:highlight w:val="none"/>
              </w:rPr>
              <w:t>/</w:t>
            </w:r>
          </w:p>
        </w:tc>
        <w:tc>
          <w:tcPr>
            <w:tcW w:w="1276" w:type="dxa"/>
            <w:shd w:val="clear" w:color="auto" w:fill="auto"/>
            <w:vAlign w:val="center"/>
          </w:tcPr>
          <w:p w14:paraId="0078A8B0">
            <w:pPr>
              <w:pStyle w:val="27"/>
              <w:rPr>
                <w:snapToGrid w:val="0"/>
                <w:color w:val="auto"/>
                <w:kern w:val="21"/>
                <w:szCs w:val="21"/>
                <w:highlight w:val="none"/>
              </w:rPr>
            </w:pPr>
            <w:r>
              <w:rPr>
                <w:snapToGrid w:val="0"/>
                <w:color w:val="auto"/>
                <w:kern w:val="21"/>
                <w:szCs w:val="21"/>
                <w:highlight w:val="none"/>
              </w:rPr>
              <w:t>/</w:t>
            </w:r>
          </w:p>
        </w:tc>
        <w:tc>
          <w:tcPr>
            <w:tcW w:w="1701" w:type="dxa"/>
            <w:shd w:val="clear" w:color="auto" w:fill="auto"/>
            <w:vAlign w:val="center"/>
          </w:tcPr>
          <w:p w14:paraId="60F080F1">
            <w:pPr>
              <w:pStyle w:val="27"/>
              <w:rPr>
                <w:snapToGrid w:val="0"/>
                <w:color w:val="auto"/>
                <w:kern w:val="21"/>
                <w:szCs w:val="21"/>
                <w:highlight w:val="none"/>
              </w:rPr>
            </w:pPr>
            <w:r>
              <w:rPr>
                <w:snapToGrid w:val="0"/>
                <w:color w:val="auto"/>
                <w:kern w:val="21"/>
                <w:szCs w:val="21"/>
                <w:highlight w:val="none"/>
              </w:rPr>
              <w:t>/</w:t>
            </w:r>
          </w:p>
        </w:tc>
        <w:tc>
          <w:tcPr>
            <w:tcW w:w="1559" w:type="dxa"/>
            <w:shd w:val="clear" w:color="auto" w:fill="auto"/>
            <w:vAlign w:val="center"/>
          </w:tcPr>
          <w:p w14:paraId="461DB509">
            <w:pPr>
              <w:adjustRightInd w:val="0"/>
              <w:snapToGrid w:val="0"/>
              <w:jc w:val="center"/>
              <w:rPr>
                <w:color w:val="auto"/>
                <w:szCs w:val="21"/>
                <w:highlight w:val="none"/>
              </w:rPr>
            </w:pPr>
            <w:r>
              <w:rPr>
                <w:color w:val="auto"/>
                <w:szCs w:val="21"/>
                <w:highlight w:val="none"/>
              </w:rPr>
              <w:t>15.33t/a</w:t>
            </w:r>
          </w:p>
        </w:tc>
        <w:tc>
          <w:tcPr>
            <w:tcW w:w="1761" w:type="dxa"/>
            <w:shd w:val="clear" w:color="auto" w:fill="auto"/>
            <w:vAlign w:val="center"/>
          </w:tcPr>
          <w:p w14:paraId="193CED75">
            <w:pPr>
              <w:jc w:val="center"/>
              <w:rPr>
                <w:snapToGrid w:val="0"/>
                <w:color w:val="auto"/>
                <w:kern w:val="21"/>
                <w:szCs w:val="21"/>
                <w:highlight w:val="none"/>
              </w:rPr>
            </w:pPr>
            <w:r>
              <w:rPr>
                <w:snapToGrid w:val="0"/>
                <w:color w:val="auto"/>
                <w:kern w:val="21"/>
                <w:szCs w:val="21"/>
                <w:highlight w:val="none"/>
              </w:rPr>
              <w:t>/</w:t>
            </w:r>
          </w:p>
        </w:tc>
        <w:tc>
          <w:tcPr>
            <w:tcW w:w="1641" w:type="dxa"/>
            <w:shd w:val="clear" w:color="auto" w:fill="auto"/>
            <w:vAlign w:val="center"/>
          </w:tcPr>
          <w:p w14:paraId="7A963E65">
            <w:pPr>
              <w:adjustRightInd w:val="0"/>
              <w:snapToGrid w:val="0"/>
              <w:jc w:val="center"/>
              <w:rPr>
                <w:color w:val="auto"/>
                <w:szCs w:val="21"/>
                <w:highlight w:val="none"/>
              </w:rPr>
            </w:pPr>
            <w:r>
              <w:rPr>
                <w:color w:val="auto"/>
                <w:szCs w:val="21"/>
                <w:highlight w:val="none"/>
              </w:rPr>
              <w:t>15.33t/a</w:t>
            </w:r>
          </w:p>
        </w:tc>
        <w:tc>
          <w:tcPr>
            <w:tcW w:w="1345" w:type="dxa"/>
            <w:shd w:val="clear" w:color="auto" w:fill="auto"/>
            <w:vAlign w:val="center"/>
          </w:tcPr>
          <w:p w14:paraId="18B4B040">
            <w:pPr>
              <w:adjustRightInd w:val="0"/>
              <w:snapToGrid w:val="0"/>
              <w:jc w:val="center"/>
              <w:rPr>
                <w:color w:val="auto"/>
                <w:szCs w:val="21"/>
                <w:highlight w:val="none"/>
              </w:rPr>
            </w:pPr>
            <w:r>
              <w:rPr>
                <w:color w:val="auto"/>
                <w:szCs w:val="21"/>
                <w:highlight w:val="none"/>
              </w:rPr>
              <w:t>+15.33t/a</w:t>
            </w:r>
          </w:p>
        </w:tc>
      </w:tr>
      <w:tr w14:paraId="57F96B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588" w:type="dxa"/>
            <w:gridSpan w:val="2"/>
            <w:vMerge w:val="restart"/>
            <w:vAlign w:val="center"/>
          </w:tcPr>
          <w:p w14:paraId="6A791A7E">
            <w:pPr>
              <w:pStyle w:val="27"/>
              <w:rPr>
                <w:snapToGrid w:val="0"/>
                <w:color w:val="auto"/>
                <w:kern w:val="21"/>
                <w:szCs w:val="21"/>
                <w:highlight w:val="none"/>
              </w:rPr>
            </w:pPr>
            <w:r>
              <w:rPr>
                <w:snapToGrid w:val="0"/>
                <w:color w:val="auto"/>
                <w:kern w:val="21"/>
                <w:szCs w:val="21"/>
                <w:highlight w:val="none"/>
              </w:rPr>
              <w:t>危险废物</w:t>
            </w:r>
          </w:p>
        </w:tc>
        <w:tc>
          <w:tcPr>
            <w:tcW w:w="1417" w:type="dxa"/>
            <w:shd w:val="clear" w:color="auto" w:fill="auto"/>
            <w:vAlign w:val="center"/>
          </w:tcPr>
          <w:p w14:paraId="34406051">
            <w:pPr>
              <w:adjustRightInd w:val="0"/>
              <w:snapToGrid w:val="0"/>
              <w:jc w:val="center"/>
              <w:rPr>
                <w:rFonts w:hint="eastAsia" w:eastAsia="宋体"/>
                <w:bCs/>
                <w:color w:val="auto"/>
                <w:szCs w:val="21"/>
                <w:highlight w:val="none"/>
                <w:lang w:eastAsia="zh-CN"/>
              </w:rPr>
            </w:pPr>
            <w:r>
              <w:rPr>
                <w:rFonts w:hint="eastAsia"/>
                <w:bCs/>
                <w:color w:val="auto"/>
                <w:szCs w:val="21"/>
                <w:highlight w:val="none"/>
                <w:lang w:eastAsia="zh-CN"/>
              </w:rPr>
              <w:t>除尘灰（含废活性炭）</w:t>
            </w:r>
          </w:p>
        </w:tc>
        <w:tc>
          <w:tcPr>
            <w:tcW w:w="1701" w:type="dxa"/>
            <w:shd w:val="clear" w:color="auto" w:fill="auto"/>
            <w:vAlign w:val="center"/>
          </w:tcPr>
          <w:p w14:paraId="044BD64A">
            <w:pPr>
              <w:pStyle w:val="27"/>
              <w:rPr>
                <w:snapToGrid w:val="0"/>
                <w:color w:val="auto"/>
                <w:kern w:val="21"/>
                <w:szCs w:val="21"/>
                <w:highlight w:val="none"/>
              </w:rPr>
            </w:pPr>
            <w:r>
              <w:rPr>
                <w:snapToGrid w:val="0"/>
                <w:color w:val="auto"/>
                <w:kern w:val="21"/>
                <w:szCs w:val="21"/>
                <w:highlight w:val="none"/>
              </w:rPr>
              <w:t>/</w:t>
            </w:r>
          </w:p>
        </w:tc>
        <w:tc>
          <w:tcPr>
            <w:tcW w:w="1276" w:type="dxa"/>
            <w:shd w:val="clear" w:color="auto" w:fill="auto"/>
            <w:vAlign w:val="center"/>
          </w:tcPr>
          <w:p w14:paraId="15B0ADF0">
            <w:pPr>
              <w:pStyle w:val="27"/>
              <w:rPr>
                <w:snapToGrid w:val="0"/>
                <w:color w:val="auto"/>
                <w:kern w:val="21"/>
                <w:szCs w:val="21"/>
                <w:highlight w:val="none"/>
              </w:rPr>
            </w:pPr>
            <w:r>
              <w:rPr>
                <w:snapToGrid w:val="0"/>
                <w:color w:val="auto"/>
                <w:kern w:val="21"/>
                <w:szCs w:val="21"/>
                <w:highlight w:val="none"/>
              </w:rPr>
              <w:t>/</w:t>
            </w:r>
          </w:p>
        </w:tc>
        <w:tc>
          <w:tcPr>
            <w:tcW w:w="1701" w:type="dxa"/>
            <w:shd w:val="clear" w:color="auto" w:fill="auto"/>
            <w:vAlign w:val="center"/>
          </w:tcPr>
          <w:p w14:paraId="33D2E7D5">
            <w:pPr>
              <w:pStyle w:val="27"/>
              <w:rPr>
                <w:snapToGrid w:val="0"/>
                <w:color w:val="auto"/>
                <w:kern w:val="21"/>
                <w:szCs w:val="21"/>
                <w:highlight w:val="none"/>
              </w:rPr>
            </w:pPr>
            <w:r>
              <w:rPr>
                <w:snapToGrid w:val="0"/>
                <w:color w:val="auto"/>
                <w:kern w:val="21"/>
                <w:szCs w:val="21"/>
                <w:highlight w:val="none"/>
              </w:rPr>
              <w:t>/</w:t>
            </w:r>
          </w:p>
        </w:tc>
        <w:tc>
          <w:tcPr>
            <w:tcW w:w="1559" w:type="dxa"/>
            <w:shd w:val="clear" w:color="auto" w:fill="auto"/>
            <w:vAlign w:val="center"/>
          </w:tcPr>
          <w:p w14:paraId="3DD784D4">
            <w:pPr>
              <w:adjustRightInd w:val="0"/>
              <w:snapToGrid w:val="0"/>
              <w:jc w:val="center"/>
              <w:rPr>
                <w:color w:val="auto"/>
                <w:szCs w:val="21"/>
                <w:highlight w:val="none"/>
              </w:rPr>
            </w:pPr>
            <w:r>
              <w:rPr>
                <w:rFonts w:hint="eastAsia"/>
                <w:color w:val="auto"/>
                <w:szCs w:val="21"/>
                <w:highlight w:val="none"/>
                <w:lang w:eastAsia="zh-CN"/>
              </w:rPr>
              <w:t>0.66</w:t>
            </w:r>
            <w:r>
              <w:rPr>
                <w:color w:val="auto"/>
                <w:szCs w:val="21"/>
                <w:highlight w:val="none"/>
              </w:rPr>
              <w:t>t/a</w:t>
            </w:r>
          </w:p>
        </w:tc>
        <w:tc>
          <w:tcPr>
            <w:tcW w:w="1761" w:type="dxa"/>
            <w:shd w:val="clear" w:color="auto" w:fill="auto"/>
            <w:vAlign w:val="center"/>
          </w:tcPr>
          <w:p w14:paraId="18A5017F">
            <w:pPr>
              <w:jc w:val="center"/>
              <w:rPr>
                <w:color w:val="auto"/>
                <w:highlight w:val="none"/>
              </w:rPr>
            </w:pPr>
            <w:r>
              <w:rPr>
                <w:snapToGrid w:val="0"/>
                <w:color w:val="auto"/>
                <w:kern w:val="21"/>
                <w:szCs w:val="21"/>
                <w:highlight w:val="none"/>
              </w:rPr>
              <w:t>/</w:t>
            </w:r>
          </w:p>
        </w:tc>
        <w:tc>
          <w:tcPr>
            <w:tcW w:w="1641" w:type="dxa"/>
            <w:vAlign w:val="center"/>
          </w:tcPr>
          <w:p w14:paraId="04594E31">
            <w:pPr>
              <w:adjustRightInd w:val="0"/>
              <w:snapToGrid w:val="0"/>
              <w:jc w:val="center"/>
              <w:rPr>
                <w:snapToGrid w:val="0"/>
                <w:color w:val="auto"/>
                <w:kern w:val="21"/>
                <w:szCs w:val="21"/>
                <w:highlight w:val="none"/>
              </w:rPr>
            </w:pPr>
            <w:r>
              <w:rPr>
                <w:rFonts w:hint="eastAsia"/>
                <w:color w:val="auto"/>
                <w:szCs w:val="21"/>
                <w:highlight w:val="none"/>
                <w:lang w:eastAsia="zh-CN"/>
              </w:rPr>
              <w:t>0.66</w:t>
            </w:r>
            <w:r>
              <w:rPr>
                <w:color w:val="auto"/>
                <w:szCs w:val="21"/>
                <w:highlight w:val="none"/>
              </w:rPr>
              <w:t>t/a</w:t>
            </w:r>
          </w:p>
        </w:tc>
        <w:tc>
          <w:tcPr>
            <w:tcW w:w="1345" w:type="dxa"/>
            <w:vAlign w:val="center"/>
          </w:tcPr>
          <w:p w14:paraId="20F6BC8E">
            <w:pPr>
              <w:adjustRightInd w:val="0"/>
              <w:snapToGrid w:val="0"/>
              <w:jc w:val="center"/>
              <w:rPr>
                <w:snapToGrid w:val="0"/>
                <w:color w:val="auto"/>
                <w:kern w:val="21"/>
                <w:szCs w:val="21"/>
                <w:highlight w:val="none"/>
              </w:rPr>
            </w:pPr>
            <w:r>
              <w:rPr>
                <w:color w:val="auto"/>
                <w:szCs w:val="21"/>
                <w:highlight w:val="none"/>
              </w:rPr>
              <w:t>+</w:t>
            </w:r>
            <w:r>
              <w:rPr>
                <w:rFonts w:hint="eastAsia"/>
                <w:color w:val="auto"/>
                <w:szCs w:val="21"/>
                <w:highlight w:val="none"/>
                <w:lang w:eastAsia="zh-CN"/>
              </w:rPr>
              <w:t>0.66</w:t>
            </w:r>
            <w:r>
              <w:rPr>
                <w:color w:val="auto"/>
                <w:szCs w:val="21"/>
                <w:highlight w:val="none"/>
              </w:rPr>
              <w:t>t/a</w:t>
            </w:r>
          </w:p>
        </w:tc>
      </w:tr>
      <w:tr w14:paraId="7EB6CC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588" w:type="dxa"/>
            <w:gridSpan w:val="2"/>
            <w:vMerge w:val="continue"/>
            <w:vAlign w:val="center"/>
          </w:tcPr>
          <w:p w14:paraId="7363DBCF">
            <w:pPr>
              <w:pStyle w:val="27"/>
              <w:rPr>
                <w:snapToGrid w:val="0"/>
                <w:color w:val="auto"/>
                <w:kern w:val="21"/>
                <w:szCs w:val="21"/>
                <w:highlight w:val="none"/>
              </w:rPr>
            </w:pPr>
          </w:p>
        </w:tc>
        <w:tc>
          <w:tcPr>
            <w:tcW w:w="1417" w:type="dxa"/>
            <w:shd w:val="clear" w:color="auto" w:fill="auto"/>
            <w:vAlign w:val="center"/>
          </w:tcPr>
          <w:p w14:paraId="5F3EE350">
            <w:pPr>
              <w:adjustRightInd w:val="0"/>
              <w:snapToGrid w:val="0"/>
              <w:jc w:val="center"/>
              <w:rPr>
                <w:bCs/>
                <w:color w:val="auto"/>
                <w:szCs w:val="21"/>
                <w:highlight w:val="none"/>
              </w:rPr>
            </w:pPr>
            <w:r>
              <w:rPr>
                <w:bCs/>
                <w:color w:val="auto"/>
                <w:szCs w:val="21"/>
                <w:highlight w:val="none"/>
              </w:rPr>
              <w:t>焚烧炉渣</w:t>
            </w:r>
          </w:p>
        </w:tc>
        <w:tc>
          <w:tcPr>
            <w:tcW w:w="1701" w:type="dxa"/>
            <w:shd w:val="clear" w:color="auto" w:fill="auto"/>
            <w:vAlign w:val="center"/>
          </w:tcPr>
          <w:p w14:paraId="67CDF174">
            <w:pPr>
              <w:pStyle w:val="27"/>
              <w:rPr>
                <w:snapToGrid w:val="0"/>
                <w:color w:val="auto"/>
                <w:kern w:val="21"/>
                <w:szCs w:val="21"/>
                <w:highlight w:val="none"/>
              </w:rPr>
            </w:pPr>
            <w:r>
              <w:rPr>
                <w:snapToGrid w:val="0"/>
                <w:color w:val="auto"/>
                <w:kern w:val="21"/>
                <w:szCs w:val="21"/>
                <w:highlight w:val="none"/>
              </w:rPr>
              <w:t>/</w:t>
            </w:r>
          </w:p>
        </w:tc>
        <w:tc>
          <w:tcPr>
            <w:tcW w:w="1276" w:type="dxa"/>
            <w:shd w:val="clear" w:color="auto" w:fill="auto"/>
            <w:vAlign w:val="center"/>
          </w:tcPr>
          <w:p w14:paraId="625A1650">
            <w:pPr>
              <w:pStyle w:val="27"/>
              <w:rPr>
                <w:snapToGrid w:val="0"/>
                <w:color w:val="auto"/>
                <w:kern w:val="21"/>
                <w:szCs w:val="21"/>
                <w:highlight w:val="none"/>
              </w:rPr>
            </w:pPr>
            <w:r>
              <w:rPr>
                <w:snapToGrid w:val="0"/>
                <w:color w:val="auto"/>
                <w:kern w:val="21"/>
                <w:szCs w:val="21"/>
                <w:highlight w:val="none"/>
              </w:rPr>
              <w:t>/</w:t>
            </w:r>
          </w:p>
        </w:tc>
        <w:tc>
          <w:tcPr>
            <w:tcW w:w="1701" w:type="dxa"/>
            <w:shd w:val="clear" w:color="auto" w:fill="auto"/>
            <w:vAlign w:val="center"/>
          </w:tcPr>
          <w:p w14:paraId="5FBF83FD">
            <w:pPr>
              <w:pStyle w:val="27"/>
              <w:rPr>
                <w:snapToGrid w:val="0"/>
                <w:color w:val="auto"/>
                <w:kern w:val="21"/>
                <w:szCs w:val="21"/>
                <w:highlight w:val="none"/>
              </w:rPr>
            </w:pPr>
            <w:r>
              <w:rPr>
                <w:snapToGrid w:val="0"/>
                <w:color w:val="auto"/>
                <w:kern w:val="21"/>
                <w:szCs w:val="21"/>
                <w:highlight w:val="none"/>
              </w:rPr>
              <w:t>/</w:t>
            </w:r>
          </w:p>
        </w:tc>
        <w:tc>
          <w:tcPr>
            <w:tcW w:w="1559" w:type="dxa"/>
            <w:shd w:val="clear" w:color="auto" w:fill="auto"/>
            <w:vAlign w:val="center"/>
          </w:tcPr>
          <w:p w14:paraId="241A0E67">
            <w:pPr>
              <w:adjustRightInd w:val="0"/>
              <w:snapToGrid w:val="0"/>
              <w:jc w:val="center"/>
              <w:rPr>
                <w:color w:val="auto"/>
                <w:szCs w:val="21"/>
                <w:highlight w:val="none"/>
              </w:rPr>
            </w:pPr>
            <w:r>
              <w:rPr>
                <w:color w:val="auto"/>
                <w:szCs w:val="21"/>
                <w:highlight w:val="none"/>
              </w:rPr>
              <w:t>0.13t/a</w:t>
            </w:r>
          </w:p>
        </w:tc>
        <w:tc>
          <w:tcPr>
            <w:tcW w:w="1761" w:type="dxa"/>
            <w:shd w:val="clear" w:color="auto" w:fill="auto"/>
            <w:vAlign w:val="center"/>
          </w:tcPr>
          <w:p w14:paraId="7E72D416">
            <w:pPr>
              <w:jc w:val="center"/>
              <w:rPr>
                <w:color w:val="auto"/>
                <w:highlight w:val="none"/>
              </w:rPr>
            </w:pPr>
            <w:r>
              <w:rPr>
                <w:snapToGrid w:val="0"/>
                <w:color w:val="auto"/>
                <w:kern w:val="21"/>
                <w:szCs w:val="21"/>
                <w:highlight w:val="none"/>
              </w:rPr>
              <w:t>/</w:t>
            </w:r>
          </w:p>
        </w:tc>
        <w:tc>
          <w:tcPr>
            <w:tcW w:w="1641" w:type="dxa"/>
            <w:vAlign w:val="center"/>
          </w:tcPr>
          <w:p w14:paraId="4E5A85EA">
            <w:pPr>
              <w:adjustRightInd w:val="0"/>
              <w:snapToGrid w:val="0"/>
              <w:jc w:val="center"/>
              <w:rPr>
                <w:snapToGrid w:val="0"/>
                <w:color w:val="auto"/>
                <w:kern w:val="21"/>
                <w:szCs w:val="21"/>
                <w:highlight w:val="none"/>
              </w:rPr>
            </w:pPr>
            <w:r>
              <w:rPr>
                <w:color w:val="auto"/>
                <w:szCs w:val="21"/>
                <w:highlight w:val="none"/>
              </w:rPr>
              <w:t>0.13t/a</w:t>
            </w:r>
          </w:p>
        </w:tc>
        <w:tc>
          <w:tcPr>
            <w:tcW w:w="1345" w:type="dxa"/>
            <w:vAlign w:val="center"/>
          </w:tcPr>
          <w:p w14:paraId="66046C0E">
            <w:pPr>
              <w:adjustRightInd w:val="0"/>
              <w:snapToGrid w:val="0"/>
              <w:jc w:val="center"/>
              <w:rPr>
                <w:snapToGrid w:val="0"/>
                <w:color w:val="auto"/>
                <w:kern w:val="21"/>
                <w:szCs w:val="21"/>
                <w:highlight w:val="none"/>
              </w:rPr>
            </w:pPr>
            <w:r>
              <w:rPr>
                <w:color w:val="auto"/>
                <w:szCs w:val="21"/>
                <w:highlight w:val="none"/>
              </w:rPr>
              <w:t>+0.13t/a</w:t>
            </w:r>
          </w:p>
        </w:tc>
      </w:tr>
      <w:tr w14:paraId="155721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588" w:type="dxa"/>
            <w:gridSpan w:val="2"/>
            <w:vMerge w:val="continue"/>
            <w:vAlign w:val="center"/>
          </w:tcPr>
          <w:p w14:paraId="7AEAB4D5">
            <w:pPr>
              <w:pStyle w:val="27"/>
              <w:rPr>
                <w:snapToGrid w:val="0"/>
                <w:color w:val="auto"/>
                <w:kern w:val="21"/>
                <w:szCs w:val="21"/>
                <w:highlight w:val="none"/>
              </w:rPr>
            </w:pPr>
          </w:p>
        </w:tc>
        <w:tc>
          <w:tcPr>
            <w:tcW w:w="1417" w:type="dxa"/>
            <w:shd w:val="clear" w:color="auto" w:fill="auto"/>
            <w:vAlign w:val="center"/>
          </w:tcPr>
          <w:p w14:paraId="29AF340E">
            <w:pPr>
              <w:adjustRightInd w:val="0"/>
              <w:snapToGrid w:val="0"/>
              <w:jc w:val="center"/>
              <w:rPr>
                <w:bCs/>
                <w:color w:val="auto"/>
                <w:szCs w:val="21"/>
                <w:highlight w:val="none"/>
              </w:rPr>
            </w:pPr>
            <w:r>
              <w:rPr>
                <w:rFonts w:hint="eastAsia"/>
                <w:bCs/>
                <w:color w:val="auto"/>
                <w:szCs w:val="21"/>
                <w:highlight w:val="none"/>
              </w:rPr>
              <w:t>除酸废渣</w:t>
            </w:r>
          </w:p>
        </w:tc>
        <w:tc>
          <w:tcPr>
            <w:tcW w:w="1701" w:type="dxa"/>
            <w:shd w:val="clear" w:color="auto" w:fill="auto"/>
            <w:vAlign w:val="center"/>
          </w:tcPr>
          <w:p w14:paraId="0C7B7359">
            <w:pPr>
              <w:pStyle w:val="27"/>
              <w:rPr>
                <w:snapToGrid w:val="0"/>
                <w:color w:val="auto"/>
                <w:kern w:val="21"/>
                <w:szCs w:val="21"/>
                <w:highlight w:val="none"/>
              </w:rPr>
            </w:pPr>
            <w:r>
              <w:rPr>
                <w:snapToGrid w:val="0"/>
                <w:color w:val="auto"/>
                <w:kern w:val="21"/>
                <w:szCs w:val="21"/>
                <w:highlight w:val="none"/>
              </w:rPr>
              <w:t>/</w:t>
            </w:r>
          </w:p>
        </w:tc>
        <w:tc>
          <w:tcPr>
            <w:tcW w:w="1276" w:type="dxa"/>
            <w:shd w:val="clear" w:color="auto" w:fill="auto"/>
            <w:vAlign w:val="center"/>
          </w:tcPr>
          <w:p w14:paraId="33A5BD97">
            <w:pPr>
              <w:pStyle w:val="27"/>
              <w:rPr>
                <w:snapToGrid w:val="0"/>
                <w:color w:val="auto"/>
                <w:kern w:val="21"/>
                <w:szCs w:val="21"/>
                <w:highlight w:val="none"/>
              </w:rPr>
            </w:pPr>
            <w:r>
              <w:rPr>
                <w:snapToGrid w:val="0"/>
                <w:color w:val="auto"/>
                <w:kern w:val="21"/>
                <w:szCs w:val="21"/>
                <w:highlight w:val="none"/>
              </w:rPr>
              <w:t>/</w:t>
            </w:r>
          </w:p>
        </w:tc>
        <w:tc>
          <w:tcPr>
            <w:tcW w:w="1701" w:type="dxa"/>
            <w:shd w:val="clear" w:color="auto" w:fill="auto"/>
            <w:vAlign w:val="center"/>
          </w:tcPr>
          <w:p w14:paraId="49DCD95C">
            <w:pPr>
              <w:pStyle w:val="27"/>
              <w:rPr>
                <w:snapToGrid w:val="0"/>
                <w:color w:val="auto"/>
                <w:kern w:val="21"/>
                <w:szCs w:val="21"/>
                <w:highlight w:val="none"/>
              </w:rPr>
            </w:pPr>
            <w:r>
              <w:rPr>
                <w:snapToGrid w:val="0"/>
                <w:color w:val="auto"/>
                <w:kern w:val="21"/>
                <w:szCs w:val="21"/>
                <w:highlight w:val="none"/>
              </w:rPr>
              <w:t>/</w:t>
            </w:r>
          </w:p>
        </w:tc>
        <w:tc>
          <w:tcPr>
            <w:tcW w:w="1559" w:type="dxa"/>
            <w:shd w:val="clear" w:color="auto" w:fill="auto"/>
            <w:vAlign w:val="center"/>
          </w:tcPr>
          <w:p w14:paraId="63F9DA95">
            <w:pPr>
              <w:adjustRightInd w:val="0"/>
              <w:snapToGrid w:val="0"/>
              <w:jc w:val="center"/>
              <w:rPr>
                <w:color w:val="auto"/>
                <w:szCs w:val="21"/>
                <w:highlight w:val="none"/>
              </w:rPr>
            </w:pPr>
            <w:r>
              <w:rPr>
                <w:color w:val="auto"/>
                <w:szCs w:val="21"/>
                <w:highlight w:val="none"/>
              </w:rPr>
              <w:t>0.</w:t>
            </w:r>
            <w:r>
              <w:rPr>
                <w:rFonts w:hint="eastAsia"/>
                <w:color w:val="auto"/>
                <w:szCs w:val="21"/>
                <w:highlight w:val="none"/>
                <w:lang w:val="en-US" w:eastAsia="zh-CN"/>
              </w:rPr>
              <w:t>3</w:t>
            </w:r>
            <w:r>
              <w:rPr>
                <w:color w:val="auto"/>
                <w:szCs w:val="21"/>
                <w:highlight w:val="none"/>
              </w:rPr>
              <w:t>t/a</w:t>
            </w:r>
          </w:p>
        </w:tc>
        <w:tc>
          <w:tcPr>
            <w:tcW w:w="1761" w:type="dxa"/>
            <w:shd w:val="clear" w:color="auto" w:fill="auto"/>
            <w:vAlign w:val="center"/>
          </w:tcPr>
          <w:p w14:paraId="1E974546">
            <w:pPr>
              <w:jc w:val="center"/>
              <w:rPr>
                <w:color w:val="auto"/>
                <w:highlight w:val="none"/>
              </w:rPr>
            </w:pPr>
            <w:r>
              <w:rPr>
                <w:snapToGrid w:val="0"/>
                <w:color w:val="auto"/>
                <w:kern w:val="21"/>
                <w:szCs w:val="21"/>
                <w:highlight w:val="none"/>
              </w:rPr>
              <w:t>/</w:t>
            </w:r>
          </w:p>
        </w:tc>
        <w:tc>
          <w:tcPr>
            <w:tcW w:w="1641" w:type="dxa"/>
            <w:vAlign w:val="center"/>
          </w:tcPr>
          <w:p w14:paraId="461FC1A1">
            <w:pPr>
              <w:adjustRightInd w:val="0"/>
              <w:snapToGrid w:val="0"/>
              <w:jc w:val="center"/>
              <w:rPr>
                <w:snapToGrid w:val="0"/>
                <w:color w:val="auto"/>
                <w:kern w:val="21"/>
                <w:szCs w:val="21"/>
                <w:highlight w:val="none"/>
              </w:rPr>
            </w:pPr>
            <w:r>
              <w:rPr>
                <w:color w:val="auto"/>
                <w:szCs w:val="21"/>
                <w:highlight w:val="none"/>
              </w:rPr>
              <w:t>0.</w:t>
            </w:r>
            <w:r>
              <w:rPr>
                <w:rFonts w:hint="eastAsia"/>
                <w:color w:val="auto"/>
                <w:szCs w:val="21"/>
                <w:highlight w:val="none"/>
                <w:lang w:val="en-US" w:eastAsia="zh-CN"/>
              </w:rPr>
              <w:t>3</w:t>
            </w:r>
            <w:r>
              <w:rPr>
                <w:color w:val="auto"/>
                <w:szCs w:val="21"/>
                <w:highlight w:val="none"/>
              </w:rPr>
              <w:t>t/a</w:t>
            </w:r>
          </w:p>
        </w:tc>
        <w:tc>
          <w:tcPr>
            <w:tcW w:w="1345" w:type="dxa"/>
            <w:vAlign w:val="center"/>
          </w:tcPr>
          <w:p w14:paraId="2221DEEB">
            <w:pPr>
              <w:adjustRightInd w:val="0"/>
              <w:snapToGrid w:val="0"/>
              <w:jc w:val="center"/>
              <w:rPr>
                <w:snapToGrid w:val="0"/>
                <w:color w:val="auto"/>
                <w:kern w:val="21"/>
                <w:szCs w:val="21"/>
                <w:highlight w:val="none"/>
              </w:rPr>
            </w:pPr>
            <w:r>
              <w:rPr>
                <w:color w:val="auto"/>
                <w:szCs w:val="21"/>
                <w:highlight w:val="none"/>
              </w:rPr>
              <w:t>+0.</w:t>
            </w:r>
            <w:r>
              <w:rPr>
                <w:rFonts w:hint="eastAsia"/>
                <w:color w:val="auto"/>
                <w:szCs w:val="21"/>
                <w:highlight w:val="none"/>
                <w:lang w:val="en-US" w:eastAsia="zh-CN"/>
              </w:rPr>
              <w:t>3</w:t>
            </w:r>
            <w:r>
              <w:rPr>
                <w:color w:val="auto"/>
                <w:szCs w:val="21"/>
                <w:highlight w:val="none"/>
              </w:rPr>
              <w:t>t/a</w:t>
            </w:r>
          </w:p>
        </w:tc>
      </w:tr>
      <w:tr w14:paraId="2E4999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588" w:type="dxa"/>
            <w:gridSpan w:val="2"/>
            <w:vMerge w:val="continue"/>
            <w:vAlign w:val="center"/>
          </w:tcPr>
          <w:p w14:paraId="65B37B38">
            <w:pPr>
              <w:pStyle w:val="27"/>
              <w:rPr>
                <w:snapToGrid w:val="0"/>
                <w:color w:val="auto"/>
                <w:kern w:val="21"/>
                <w:szCs w:val="21"/>
                <w:highlight w:val="none"/>
              </w:rPr>
            </w:pPr>
          </w:p>
        </w:tc>
        <w:tc>
          <w:tcPr>
            <w:tcW w:w="1417" w:type="dxa"/>
            <w:shd w:val="clear" w:color="auto" w:fill="auto"/>
            <w:vAlign w:val="center"/>
          </w:tcPr>
          <w:p w14:paraId="000039F8">
            <w:pPr>
              <w:adjustRightInd w:val="0"/>
              <w:snapToGrid w:val="0"/>
              <w:jc w:val="center"/>
              <w:rPr>
                <w:bCs/>
                <w:color w:val="auto"/>
                <w:szCs w:val="21"/>
                <w:highlight w:val="none"/>
              </w:rPr>
            </w:pPr>
            <w:r>
              <w:rPr>
                <w:bCs/>
                <w:color w:val="auto"/>
                <w:szCs w:val="21"/>
                <w:highlight w:val="none"/>
              </w:rPr>
              <w:t>废</w:t>
            </w:r>
            <w:r>
              <w:rPr>
                <w:rFonts w:hint="eastAsia"/>
                <w:bCs/>
                <w:color w:val="auto"/>
                <w:szCs w:val="21"/>
                <w:highlight w:val="none"/>
              </w:rPr>
              <w:t>布袋</w:t>
            </w:r>
          </w:p>
        </w:tc>
        <w:tc>
          <w:tcPr>
            <w:tcW w:w="1701" w:type="dxa"/>
            <w:shd w:val="clear" w:color="auto" w:fill="auto"/>
            <w:vAlign w:val="center"/>
          </w:tcPr>
          <w:p w14:paraId="45F2CDF1">
            <w:pPr>
              <w:pStyle w:val="27"/>
              <w:rPr>
                <w:snapToGrid w:val="0"/>
                <w:color w:val="auto"/>
                <w:kern w:val="21"/>
                <w:szCs w:val="21"/>
                <w:highlight w:val="none"/>
              </w:rPr>
            </w:pPr>
          </w:p>
        </w:tc>
        <w:tc>
          <w:tcPr>
            <w:tcW w:w="1276" w:type="dxa"/>
            <w:shd w:val="clear" w:color="auto" w:fill="auto"/>
            <w:vAlign w:val="center"/>
          </w:tcPr>
          <w:p w14:paraId="66BA9F8E">
            <w:pPr>
              <w:pStyle w:val="27"/>
              <w:rPr>
                <w:snapToGrid w:val="0"/>
                <w:color w:val="auto"/>
                <w:kern w:val="21"/>
                <w:szCs w:val="21"/>
                <w:highlight w:val="none"/>
              </w:rPr>
            </w:pPr>
          </w:p>
        </w:tc>
        <w:tc>
          <w:tcPr>
            <w:tcW w:w="1701" w:type="dxa"/>
            <w:shd w:val="clear" w:color="auto" w:fill="auto"/>
            <w:vAlign w:val="center"/>
          </w:tcPr>
          <w:p w14:paraId="15889249">
            <w:pPr>
              <w:pStyle w:val="27"/>
              <w:rPr>
                <w:snapToGrid w:val="0"/>
                <w:color w:val="auto"/>
                <w:kern w:val="21"/>
                <w:szCs w:val="21"/>
                <w:highlight w:val="none"/>
              </w:rPr>
            </w:pPr>
          </w:p>
        </w:tc>
        <w:tc>
          <w:tcPr>
            <w:tcW w:w="1559" w:type="dxa"/>
            <w:shd w:val="clear" w:color="auto" w:fill="auto"/>
            <w:vAlign w:val="center"/>
          </w:tcPr>
          <w:p w14:paraId="583F986F">
            <w:pPr>
              <w:adjustRightInd w:val="0"/>
              <w:snapToGrid w:val="0"/>
              <w:jc w:val="center"/>
              <w:rPr>
                <w:color w:val="auto"/>
                <w:szCs w:val="21"/>
                <w:highlight w:val="none"/>
              </w:rPr>
            </w:pPr>
            <w:r>
              <w:rPr>
                <w:rFonts w:hint="eastAsia"/>
                <w:color w:val="auto"/>
                <w:szCs w:val="21"/>
                <w:highlight w:val="none"/>
              </w:rPr>
              <w:t>2个</w:t>
            </w:r>
            <w:r>
              <w:rPr>
                <w:color w:val="auto"/>
                <w:szCs w:val="21"/>
                <w:highlight w:val="none"/>
              </w:rPr>
              <w:t>/a</w:t>
            </w:r>
          </w:p>
        </w:tc>
        <w:tc>
          <w:tcPr>
            <w:tcW w:w="1761" w:type="dxa"/>
            <w:shd w:val="clear" w:color="auto" w:fill="auto"/>
            <w:vAlign w:val="center"/>
          </w:tcPr>
          <w:p w14:paraId="2FE7E9C5">
            <w:pPr>
              <w:jc w:val="center"/>
              <w:rPr>
                <w:snapToGrid w:val="0"/>
                <w:color w:val="auto"/>
                <w:kern w:val="21"/>
                <w:szCs w:val="21"/>
                <w:highlight w:val="none"/>
              </w:rPr>
            </w:pPr>
          </w:p>
        </w:tc>
        <w:tc>
          <w:tcPr>
            <w:tcW w:w="1641" w:type="dxa"/>
            <w:vAlign w:val="center"/>
          </w:tcPr>
          <w:p w14:paraId="6264108D">
            <w:pPr>
              <w:adjustRightInd w:val="0"/>
              <w:snapToGrid w:val="0"/>
              <w:jc w:val="center"/>
              <w:rPr>
                <w:color w:val="auto"/>
                <w:szCs w:val="21"/>
                <w:highlight w:val="none"/>
              </w:rPr>
            </w:pPr>
            <w:r>
              <w:rPr>
                <w:rFonts w:hint="eastAsia"/>
                <w:color w:val="auto"/>
                <w:szCs w:val="21"/>
                <w:highlight w:val="none"/>
              </w:rPr>
              <w:t>2个</w:t>
            </w:r>
            <w:r>
              <w:rPr>
                <w:color w:val="auto"/>
                <w:szCs w:val="21"/>
                <w:highlight w:val="none"/>
              </w:rPr>
              <w:t>/a</w:t>
            </w:r>
          </w:p>
        </w:tc>
        <w:tc>
          <w:tcPr>
            <w:tcW w:w="1345" w:type="dxa"/>
            <w:vAlign w:val="center"/>
          </w:tcPr>
          <w:p w14:paraId="72BF8676">
            <w:pPr>
              <w:adjustRightInd w:val="0"/>
              <w:snapToGrid w:val="0"/>
              <w:jc w:val="center"/>
              <w:rPr>
                <w:color w:val="auto"/>
                <w:szCs w:val="21"/>
                <w:highlight w:val="none"/>
              </w:rPr>
            </w:pPr>
            <w:r>
              <w:rPr>
                <w:rFonts w:hint="eastAsia"/>
                <w:color w:val="auto"/>
                <w:szCs w:val="21"/>
                <w:highlight w:val="none"/>
              </w:rPr>
              <w:t>+2个</w:t>
            </w:r>
            <w:r>
              <w:rPr>
                <w:color w:val="auto"/>
                <w:szCs w:val="21"/>
                <w:highlight w:val="none"/>
              </w:rPr>
              <w:t>/a</w:t>
            </w:r>
          </w:p>
        </w:tc>
      </w:tr>
      <w:tr w14:paraId="544F78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588" w:type="dxa"/>
            <w:gridSpan w:val="2"/>
            <w:vMerge w:val="continue"/>
            <w:vAlign w:val="center"/>
          </w:tcPr>
          <w:p w14:paraId="3E6AC0B7">
            <w:pPr>
              <w:pStyle w:val="27"/>
              <w:rPr>
                <w:snapToGrid w:val="0"/>
                <w:color w:val="auto"/>
                <w:kern w:val="21"/>
                <w:szCs w:val="21"/>
                <w:highlight w:val="none"/>
              </w:rPr>
            </w:pPr>
          </w:p>
        </w:tc>
        <w:tc>
          <w:tcPr>
            <w:tcW w:w="1417" w:type="dxa"/>
            <w:shd w:val="clear" w:color="auto" w:fill="auto"/>
            <w:vAlign w:val="center"/>
          </w:tcPr>
          <w:p w14:paraId="6A7A518D">
            <w:pPr>
              <w:adjustRightInd w:val="0"/>
              <w:snapToGrid w:val="0"/>
              <w:jc w:val="center"/>
              <w:rPr>
                <w:bCs/>
                <w:color w:val="auto"/>
                <w:szCs w:val="21"/>
                <w:highlight w:val="none"/>
              </w:rPr>
            </w:pPr>
            <w:r>
              <w:rPr>
                <w:rFonts w:hint="eastAsia"/>
                <w:bCs/>
                <w:color w:val="auto"/>
                <w:szCs w:val="21"/>
                <w:highlight w:val="none"/>
                <w:lang w:val="en-US" w:eastAsia="zh-CN"/>
              </w:rPr>
              <w:t>废矿物油</w:t>
            </w:r>
          </w:p>
        </w:tc>
        <w:tc>
          <w:tcPr>
            <w:tcW w:w="1701" w:type="dxa"/>
            <w:shd w:val="clear" w:color="auto" w:fill="auto"/>
            <w:vAlign w:val="center"/>
          </w:tcPr>
          <w:p w14:paraId="5EADAB98">
            <w:pPr>
              <w:pStyle w:val="27"/>
              <w:rPr>
                <w:snapToGrid w:val="0"/>
                <w:color w:val="auto"/>
                <w:kern w:val="21"/>
                <w:szCs w:val="21"/>
                <w:highlight w:val="none"/>
              </w:rPr>
            </w:pPr>
          </w:p>
        </w:tc>
        <w:tc>
          <w:tcPr>
            <w:tcW w:w="1276" w:type="dxa"/>
            <w:shd w:val="clear" w:color="auto" w:fill="auto"/>
            <w:vAlign w:val="center"/>
          </w:tcPr>
          <w:p w14:paraId="62717410">
            <w:pPr>
              <w:pStyle w:val="27"/>
              <w:rPr>
                <w:snapToGrid w:val="0"/>
                <w:color w:val="auto"/>
                <w:kern w:val="21"/>
                <w:szCs w:val="21"/>
                <w:highlight w:val="none"/>
              </w:rPr>
            </w:pPr>
          </w:p>
        </w:tc>
        <w:tc>
          <w:tcPr>
            <w:tcW w:w="1701" w:type="dxa"/>
            <w:shd w:val="clear" w:color="auto" w:fill="auto"/>
            <w:vAlign w:val="center"/>
          </w:tcPr>
          <w:p w14:paraId="05B427FB">
            <w:pPr>
              <w:pStyle w:val="27"/>
              <w:rPr>
                <w:snapToGrid w:val="0"/>
                <w:color w:val="auto"/>
                <w:kern w:val="21"/>
                <w:szCs w:val="21"/>
                <w:highlight w:val="none"/>
              </w:rPr>
            </w:pPr>
          </w:p>
        </w:tc>
        <w:tc>
          <w:tcPr>
            <w:tcW w:w="1559" w:type="dxa"/>
            <w:shd w:val="clear" w:color="auto" w:fill="auto"/>
            <w:vAlign w:val="center"/>
          </w:tcPr>
          <w:p w14:paraId="6EDCB745">
            <w:pPr>
              <w:adjustRightInd w:val="0"/>
              <w:snapToGrid w:val="0"/>
              <w:jc w:val="center"/>
              <w:rPr>
                <w:rFonts w:hint="eastAsia"/>
                <w:color w:val="auto"/>
                <w:szCs w:val="21"/>
                <w:highlight w:val="none"/>
              </w:rPr>
            </w:pPr>
            <w:r>
              <w:rPr>
                <w:rFonts w:hint="eastAsia"/>
                <w:color w:val="auto"/>
                <w:szCs w:val="21"/>
                <w:highlight w:val="none"/>
              </w:rPr>
              <w:t>0.02t/a</w:t>
            </w:r>
          </w:p>
        </w:tc>
        <w:tc>
          <w:tcPr>
            <w:tcW w:w="1761" w:type="dxa"/>
            <w:shd w:val="clear" w:color="auto" w:fill="auto"/>
            <w:vAlign w:val="center"/>
          </w:tcPr>
          <w:p w14:paraId="00462445">
            <w:pPr>
              <w:jc w:val="center"/>
              <w:rPr>
                <w:snapToGrid w:val="0"/>
                <w:color w:val="auto"/>
                <w:kern w:val="21"/>
                <w:szCs w:val="21"/>
                <w:highlight w:val="none"/>
              </w:rPr>
            </w:pPr>
          </w:p>
        </w:tc>
        <w:tc>
          <w:tcPr>
            <w:tcW w:w="1641" w:type="dxa"/>
            <w:shd w:val="clear" w:color="auto" w:fill="auto"/>
            <w:vAlign w:val="center"/>
          </w:tcPr>
          <w:p w14:paraId="4E75B09C">
            <w:pPr>
              <w:adjustRightInd w:val="0"/>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0.02t/a</w:t>
            </w:r>
          </w:p>
        </w:tc>
        <w:tc>
          <w:tcPr>
            <w:tcW w:w="1345" w:type="dxa"/>
            <w:shd w:val="clear" w:color="auto" w:fill="auto"/>
            <w:vAlign w:val="center"/>
          </w:tcPr>
          <w:p w14:paraId="5D19F3F6">
            <w:pPr>
              <w:adjustRightInd w:val="0"/>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w:t>
            </w:r>
            <w:r>
              <w:rPr>
                <w:rFonts w:hint="eastAsia"/>
                <w:color w:val="auto"/>
                <w:szCs w:val="21"/>
                <w:highlight w:val="none"/>
              </w:rPr>
              <w:t>0.02t/a</w:t>
            </w:r>
          </w:p>
        </w:tc>
      </w:tr>
      <w:tr w14:paraId="170883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588" w:type="dxa"/>
            <w:gridSpan w:val="2"/>
            <w:vMerge w:val="continue"/>
            <w:vAlign w:val="center"/>
          </w:tcPr>
          <w:p w14:paraId="108F6B69">
            <w:pPr>
              <w:pStyle w:val="27"/>
              <w:rPr>
                <w:snapToGrid w:val="0"/>
                <w:color w:val="auto"/>
                <w:kern w:val="21"/>
                <w:szCs w:val="21"/>
                <w:highlight w:val="none"/>
              </w:rPr>
            </w:pPr>
          </w:p>
        </w:tc>
        <w:tc>
          <w:tcPr>
            <w:tcW w:w="1417" w:type="dxa"/>
            <w:shd w:val="clear" w:color="auto" w:fill="auto"/>
            <w:vAlign w:val="center"/>
          </w:tcPr>
          <w:p w14:paraId="6F34DD05">
            <w:pPr>
              <w:adjustRightInd w:val="0"/>
              <w:snapToGrid w:val="0"/>
              <w:jc w:val="center"/>
              <w:rPr>
                <w:bCs/>
                <w:color w:val="auto"/>
                <w:szCs w:val="21"/>
                <w:highlight w:val="none"/>
              </w:rPr>
            </w:pPr>
            <w:r>
              <w:rPr>
                <w:rFonts w:hint="eastAsia"/>
                <w:bCs/>
                <w:color w:val="auto"/>
                <w:szCs w:val="21"/>
                <w:highlight w:val="none"/>
                <w:lang w:val="en-US" w:eastAsia="zh-CN"/>
              </w:rPr>
              <w:t>废油桶</w:t>
            </w:r>
          </w:p>
        </w:tc>
        <w:tc>
          <w:tcPr>
            <w:tcW w:w="1701" w:type="dxa"/>
            <w:shd w:val="clear" w:color="auto" w:fill="auto"/>
            <w:vAlign w:val="center"/>
          </w:tcPr>
          <w:p w14:paraId="547F2EB1">
            <w:pPr>
              <w:pStyle w:val="27"/>
              <w:rPr>
                <w:snapToGrid w:val="0"/>
                <w:color w:val="auto"/>
                <w:kern w:val="21"/>
                <w:szCs w:val="21"/>
                <w:highlight w:val="none"/>
              </w:rPr>
            </w:pPr>
          </w:p>
        </w:tc>
        <w:tc>
          <w:tcPr>
            <w:tcW w:w="1276" w:type="dxa"/>
            <w:shd w:val="clear" w:color="auto" w:fill="auto"/>
            <w:vAlign w:val="center"/>
          </w:tcPr>
          <w:p w14:paraId="7E91296D">
            <w:pPr>
              <w:pStyle w:val="27"/>
              <w:rPr>
                <w:snapToGrid w:val="0"/>
                <w:color w:val="auto"/>
                <w:kern w:val="21"/>
                <w:szCs w:val="21"/>
                <w:highlight w:val="none"/>
              </w:rPr>
            </w:pPr>
          </w:p>
        </w:tc>
        <w:tc>
          <w:tcPr>
            <w:tcW w:w="1701" w:type="dxa"/>
            <w:shd w:val="clear" w:color="auto" w:fill="auto"/>
            <w:vAlign w:val="center"/>
          </w:tcPr>
          <w:p w14:paraId="70DA7ECF">
            <w:pPr>
              <w:pStyle w:val="27"/>
              <w:rPr>
                <w:snapToGrid w:val="0"/>
                <w:color w:val="auto"/>
                <w:kern w:val="21"/>
                <w:szCs w:val="21"/>
                <w:highlight w:val="none"/>
              </w:rPr>
            </w:pPr>
          </w:p>
        </w:tc>
        <w:tc>
          <w:tcPr>
            <w:tcW w:w="1559" w:type="dxa"/>
            <w:shd w:val="clear" w:color="auto" w:fill="auto"/>
            <w:vAlign w:val="center"/>
          </w:tcPr>
          <w:p w14:paraId="79D18DE0">
            <w:pPr>
              <w:adjustRightInd w:val="0"/>
              <w:snapToGrid w:val="0"/>
              <w:jc w:val="center"/>
              <w:rPr>
                <w:rFonts w:hint="eastAsia"/>
                <w:color w:val="auto"/>
                <w:szCs w:val="21"/>
                <w:highlight w:val="none"/>
              </w:rPr>
            </w:pPr>
            <w:r>
              <w:rPr>
                <w:rFonts w:hint="eastAsia"/>
                <w:color w:val="auto"/>
                <w:szCs w:val="21"/>
                <w:highlight w:val="none"/>
                <w:lang w:val="en-US" w:eastAsia="zh-CN"/>
              </w:rPr>
              <w:t>3</w:t>
            </w:r>
            <w:r>
              <w:rPr>
                <w:rFonts w:hint="eastAsia"/>
                <w:color w:val="auto"/>
                <w:szCs w:val="21"/>
                <w:highlight w:val="none"/>
              </w:rPr>
              <w:t>个/a</w:t>
            </w:r>
          </w:p>
        </w:tc>
        <w:tc>
          <w:tcPr>
            <w:tcW w:w="1761" w:type="dxa"/>
            <w:shd w:val="clear" w:color="auto" w:fill="auto"/>
            <w:vAlign w:val="center"/>
          </w:tcPr>
          <w:p w14:paraId="3BFEA4A4">
            <w:pPr>
              <w:jc w:val="center"/>
              <w:rPr>
                <w:snapToGrid w:val="0"/>
                <w:color w:val="auto"/>
                <w:kern w:val="21"/>
                <w:szCs w:val="21"/>
                <w:highlight w:val="none"/>
              </w:rPr>
            </w:pPr>
          </w:p>
        </w:tc>
        <w:tc>
          <w:tcPr>
            <w:tcW w:w="1641" w:type="dxa"/>
            <w:shd w:val="clear" w:color="auto" w:fill="auto"/>
            <w:vAlign w:val="center"/>
          </w:tcPr>
          <w:p w14:paraId="3528D69E">
            <w:pPr>
              <w:adjustRightInd w:val="0"/>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3</w:t>
            </w:r>
            <w:r>
              <w:rPr>
                <w:rFonts w:hint="eastAsia"/>
                <w:color w:val="auto"/>
                <w:szCs w:val="21"/>
                <w:highlight w:val="none"/>
              </w:rPr>
              <w:t>个/a</w:t>
            </w:r>
          </w:p>
        </w:tc>
        <w:tc>
          <w:tcPr>
            <w:tcW w:w="1345" w:type="dxa"/>
            <w:shd w:val="clear" w:color="auto" w:fill="auto"/>
            <w:vAlign w:val="center"/>
          </w:tcPr>
          <w:p w14:paraId="3FFE9458">
            <w:pPr>
              <w:adjustRightInd w:val="0"/>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+3</w:t>
            </w:r>
            <w:r>
              <w:rPr>
                <w:rFonts w:hint="eastAsia"/>
                <w:color w:val="auto"/>
                <w:szCs w:val="21"/>
                <w:highlight w:val="none"/>
              </w:rPr>
              <w:t>个/a</w:t>
            </w:r>
          </w:p>
        </w:tc>
      </w:tr>
    </w:tbl>
    <w:p w14:paraId="3F28A8ED">
      <w:pPr>
        <w:pStyle w:val="27"/>
        <w:spacing w:beforeLines="80" w:after="24"/>
        <w:jc w:val="left"/>
        <w:rPr>
          <w:color w:val="auto"/>
          <w:highlight w:val="none"/>
        </w:rPr>
      </w:pPr>
      <w:r>
        <w:rPr>
          <w:snapToGrid w:val="0"/>
          <w:color w:val="auto"/>
          <w:kern w:val="21"/>
          <w:szCs w:val="21"/>
          <w:highlight w:val="none"/>
        </w:rPr>
        <w:t>注：</w:t>
      </w:r>
      <w:r>
        <w:rPr>
          <w:snapToGrid w:val="0"/>
          <w:color w:val="auto"/>
          <w:spacing w:val="-16"/>
          <w:kern w:val="21"/>
          <w:szCs w:val="21"/>
          <w:highlight w:val="none"/>
        </w:rPr>
        <w:fldChar w:fldCharType="begin"/>
      </w:r>
      <w:r>
        <w:rPr>
          <w:snapToGrid w:val="0"/>
          <w:color w:val="auto"/>
          <w:spacing w:val="-16"/>
          <w:kern w:val="21"/>
          <w:szCs w:val="21"/>
          <w:highlight w:val="none"/>
        </w:rPr>
        <w:instrText xml:space="preserve"> = 6 \* GB3 \* MERGEFORMAT </w:instrText>
      </w:r>
      <w:r>
        <w:rPr>
          <w:snapToGrid w:val="0"/>
          <w:color w:val="auto"/>
          <w:spacing w:val="-16"/>
          <w:kern w:val="21"/>
          <w:szCs w:val="21"/>
          <w:highlight w:val="none"/>
        </w:rPr>
        <w:fldChar w:fldCharType="separate"/>
      </w:r>
      <w:r>
        <w:rPr>
          <w:color w:val="auto"/>
          <w:szCs w:val="21"/>
          <w:highlight w:val="none"/>
        </w:rPr>
        <w:t>⑥</w:t>
      </w:r>
      <w:r>
        <w:rPr>
          <w:snapToGrid w:val="0"/>
          <w:color w:val="auto"/>
          <w:spacing w:val="-16"/>
          <w:kern w:val="21"/>
          <w:szCs w:val="21"/>
          <w:highlight w:val="none"/>
        </w:rPr>
        <w:fldChar w:fldCharType="end"/>
      </w:r>
      <w:r>
        <w:rPr>
          <w:snapToGrid w:val="0"/>
          <w:color w:val="auto"/>
          <w:spacing w:val="-16"/>
          <w:kern w:val="21"/>
          <w:szCs w:val="21"/>
          <w:highlight w:val="none"/>
        </w:rPr>
        <w:t>=</w:t>
      </w:r>
      <w:r>
        <w:rPr>
          <w:snapToGrid w:val="0"/>
          <w:color w:val="auto"/>
          <w:spacing w:val="-6"/>
          <w:kern w:val="21"/>
          <w:szCs w:val="21"/>
          <w:highlight w:val="none"/>
        </w:rPr>
        <w:fldChar w:fldCharType="begin"/>
      </w:r>
      <w:r>
        <w:rPr>
          <w:snapToGrid w:val="0"/>
          <w:color w:val="auto"/>
          <w:spacing w:val="-6"/>
          <w:kern w:val="21"/>
          <w:szCs w:val="21"/>
          <w:highlight w:val="none"/>
        </w:rPr>
        <w:instrText xml:space="preserve"> = 1 \* GB3 \* MERGEFORMAT </w:instrText>
      </w:r>
      <w:r>
        <w:rPr>
          <w:snapToGrid w:val="0"/>
          <w:color w:val="auto"/>
          <w:spacing w:val="-6"/>
          <w:kern w:val="21"/>
          <w:szCs w:val="21"/>
          <w:highlight w:val="none"/>
        </w:rPr>
        <w:fldChar w:fldCharType="separate"/>
      </w:r>
      <w:r>
        <w:rPr>
          <w:color w:val="auto"/>
          <w:szCs w:val="21"/>
          <w:highlight w:val="none"/>
        </w:rPr>
        <w:t>①</w:t>
      </w:r>
      <w:r>
        <w:rPr>
          <w:snapToGrid w:val="0"/>
          <w:color w:val="auto"/>
          <w:spacing w:val="-6"/>
          <w:kern w:val="21"/>
          <w:szCs w:val="21"/>
          <w:highlight w:val="none"/>
        </w:rPr>
        <w:fldChar w:fldCharType="end"/>
      </w:r>
      <w:r>
        <w:rPr>
          <w:snapToGrid w:val="0"/>
          <w:color w:val="auto"/>
          <w:spacing w:val="-6"/>
          <w:kern w:val="21"/>
          <w:szCs w:val="21"/>
          <w:highlight w:val="none"/>
        </w:rPr>
        <w:t>+</w:t>
      </w:r>
      <w:r>
        <w:rPr>
          <w:snapToGrid w:val="0"/>
          <w:color w:val="auto"/>
          <w:spacing w:val="-6"/>
          <w:kern w:val="21"/>
          <w:szCs w:val="21"/>
          <w:highlight w:val="none"/>
        </w:rPr>
        <w:fldChar w:fldCharType="begin"/>
      </w:r>
      <w:r>
        <w:rPr>
          <w:snapToGrid w:val="0"/>
          <w:color w:val="auto"/>
          <w:spacing w:val="-6"/>
          <w:kern w:val="21"/>
          <w:szCs w:val="21"/>
          <w:highlight w:val="none"/>
        </w:rPr>
        <w:instrText xml:space="preserve"> = 3 \* GB3 \* MERGEFORMAT </w:instrText>
      </w:r>
      <w:r>
        <w:rPr>
          <w:snapToGrid w:val="0"/>
          <w:color w:val="auto"/>
          <w:spacing w:val="-6"/>
          <w:kern w:val="21"/>
          <w:szCs w:val="21"/>
          <w:highlight w:val="none"/>
        </w:rPr>
        <w:fldChar w:fldCharType="separate"/>
      </w:r>
      <w:r>
        <w:rPr>
          <w:color w:val="auto"/>
          <w:szCs w:val="21"/>
          <w:highlight w:val="none"/>
        </w:rPr>
        <w:t>③</w:t>
      </w:r>
      <w:r>
        <w:rPr>
          <w:snapToGrid w:val="0"/>
          <w:color w:val="auto"/>
          <w:spacing w:val="-6"/>
          <w:kern w:val="21"/>
          <w:szCs w:val="21"/>
          <w:highlight w:val="none"/>
        </w:rPr>
        <w:fldChar w:fldCharType="end"/>
      </w:r>
      <w:r>
        <w:rPr>
          <w:snapToGrid w:val="0"/>
          <w:color w:val="auto"/>
          <w:spacing w:val="-6"/>
          <w:kern w:val="21"/>
          <w:szCs w:val="21"/>
          <w:highlight w:val="none"/>
        </w:rPr>
        <w:t>+</w:t>
      </w:r>
      <w:r>
        <w:rPr>
          <w:snapToGrid w:val="0"/>
          <w:color w:val="auto"/>
          <w:spacing w:val="-6"/>
          <w:kern w:val="21"/>
          <w:szCs w:val="21"/>
          <w:highlight w:val="none"/>
        </w:rPr>
        <w:fldChar w:fldCharType="begin"/>
      </w:r>
      <w:r>
        <w:rPr>
          <w:snapToGrid w:val="0"/>
          <w:color w:val="auto"/>
          <w:spacing w:val="-6"/>
          <w:kern w:val="21"/>
          <w:szCs w:val="21"/>
          <w:highlight w:val="none"/>
        </w:rPr>
        <w:instrText xml:space="preserve"> = 4 \* GB3 \* MERGEFORMAT </w:instrText>
      </w:r>
      <w:r>
        <w:rPr>
          <w:snapToGrid w:val="0"/>
          <w:color w:val="auto"/>
          <w:spacing w:val="-6"/>
          <w:kern w:val="21"/>
          <w:szCs w:val="21"/>
          <w:highlight w:val="none"/>
        </w:rPr>
        <w:fldChar w:fldCharType="separate"/>
      </w:r>
      <w:r>
        <w:rPr>
          <w:color w:val="auto"/>
          <w:szCs w:val="21"/>
          <w:highlight w:val="none"/>
        </w:rPr>
        <w:t>④</w:t>
      </w:r>
      <w:r>
        <w:rPr>
          <w:snapToGrid w:val="0"/>
          <w:color w:val="auto"/>
          <w:spacing w:val="-6"/>
          <w:kern w:val="21"/>
          <w:szCs w:val="21"/>
          <w:highlight w:val="none"/>
        </w:rPr>
        <w:fldChar w:fldCharType="end"/>
      </w:r>
      <w:r>
        <w:rPr>
          <w:snapToGrid w:val="0"/>
          <w:color w:val="auto"/>
          <w:spacing w:val="-6"/>
          <w:kern w:val="21"/>
          <w:szCs w:val="21"/>
          <w:highlight w:val="none"/>
        </w:rPr>
        <w:t>-</w:t>
      </w:r>
      <w:r>
        <w:rPr>
          <w:snapToGrid w:val="0"/>
          <w:color w:val="auto"/>
          <w:spacing w:val="-16"/>
          <w:kern w:val="21"/>
          <w:szCs w:val="21"/>
          <w:highlight w:val="none"/>
        </w:rPr>
        <w:fldChar w:fldCharType="begin"/>
      </w:r>
      <w:r>
        <w:rPr>
          <w:snapToGrid w:val="0"/>
          <w:color w:val="auto"/>
          <w:spacing w:val="-16"/>
          <w:kern w:val="21"/>
          <w:szCs w:val="21"/>
          <w:highlight w:val="none"/>
        </w:rPr>
        <w:instrText xml:space="preserve"> = 5 \* GB3 \* MERGEFORMAT </w:instrText>
      </w:r>
      <w:r>
        <w:rPr>
          <w:snapToGrid w:val="0"/>
          <w:color w:val="auto"/>
          <w:spacing w:val="-16"/>
          <w:kern w:val="21"/>
          <w:szCs w:val="21"/>
          <w:highlight w:val="none"/>
        </w:rPr>
        <w:fldChar w:fldCharType="separate"/>
      </w:r>
      <w:r>
        <w:rPr>
          <w:color w:val="auto"/>
          <w:szCs w:val="21"/>
          <w:highlight w:val="none"/>
        </w:rPr>
        <w:t>⑤</w:t>
      </w:r>
      <w:r>
        <w:rPr>
          <w:snapToGrid w:val="0"/>
          <w:color w:val="auto"/>
          <w:spacing w:val="-16"/>
          <w:kern w:val="21"/>
          <w:szCs w:val="21"/>
          <w:highlight w:val="none"/>
        </w:rPr>
        <w:fldChar w:fldCharType="end"/>
      </w:r>
      <w:r>
        <w:rPr>
          <w:snapToGrid w:val="0"/>
          <w:color w:val="auto"/>
          <w:spacing w:val="-16"/>
          <w:kern w:val="21"/>
          <w:szCs w:val="21"/>
          <w:highlight w:val="none"/>
        </w:rPr>
        <w:t>；</w:t>
      </w:r>
      <w:r>
        <w:rPr>
          <w:snapToGrid w:val="0"/>
          <w:color w:val="auto"/>
          <w:spacing w:val="-6"/>
          <w:kern w:val="21"/>
          <w:szCs w:val="21"/>
          <w:highlight w:val="none"/>
        </w:rPr>
        <w:fldChar w:fldCharType="begin"/>
      </w:r>
      <w:r>
        <w:rPr>
          <w:snapToGrid w:val="0"/>
          <w:color w:val="auto"/>
          <w:spacing w:val="-6"/>
          <w:kern w:val="21"/>
          <w:szCs w:val="21"/>
          <w:highlight w:val="none"/>
        </w:rPr>
        <w:instrText xml:space="preserve"> = 7 \* GB3 \* MERGEFORMAT </w:instrText>
      </w:r>
      <w:r>
        <w:rPr>
          <w:snapToGrid w:val="0"/>
          <w:color w:val="auto"/>
          <w:spacing w:val="-6"/>
          <w:kern w:val="21"/>
          <w:szCs w:val="21"/>
          <w:highlight w:val="none"/>
        </w:rPr>
        <w:fldChar w:fldCharType="separate"/>
      </w:r>
      <w:r>
        <w:rPr>
          <w:color w:val="auto"/>
          <w:szCs w:val="21"/>
          <w:highlight w:val="none"/>
        </w:rPr>
        <w:t>⑦</w:t>
      </w:r>
      <w:r>
        <w:rPr>
          <w:snapToGrid w:val="0"/>
          <w:color w:val="auto"/>
          <w:spacing w:val="-6"/>
          <w:kern w:val="21"/>
          <w:szCs w:val="21"/>
          <w:highlight w:val="none"/>
        </w:rPr>
        <w:fldChar w:fldCharType="end"/>
      </w:r>
      <w:r>
        <w:rPr>
          <w:snapToGrid w:val="0"/>
          <w:color w:val="auto"/>
          <w:spacing w:val="-6"/>
          <w:kern w:val="21"/>
          <w:szCs w:val="21"/>
          <w:highlight w:val="none"/>
        </w:rPr>
        <w:t>=</w:t>
      </w:r>
      <w:r>
        <w:rPr>
          <w:snapToGrid w:val="0"/>
          <w:color w:val="auto"/>
          <w:spacing w:val="-16"/>
          <w:kern w:val="21"/>
          <w:szCs w:val="21"/>
          <w:highlight w:val="none"/>
        </w:rPr>
        <w:fldChar w:fldCharType="begin"/>
      </w:r>
      <w:r>
        <w:rPr>
          <w:snapToGrid w:val="0"/>
          <w:color w:val="auto"/>
          <w:spacing w:val="-16"/>
          <w:kern w:val="21"/>
          <w:szCs w:val="21"/>
          <w:highlight w:val="none"/>
        </w:rPr>
        <w:instrText xml:space="preserve"> = 6 \* GB3 \* MERGEFORMAT </w:instrText>
      </w:r>
      <w:r>
        <w:rPr>
          <w:snapToGrid w:val="0"/>
          <w:color w:val="auto"/>
          <w:spacing w:val="-16"/>
          <w:kern w:val="21"/>
          <w:szCs w:val="21"/>
          <w:highlight w:val="none"/>
        </w:rPr>
        <w:fldChar w:fldCharType="separate"/>
      </w:r>
      <w:r>
        <w:rPr>
          <w:color w:val="auto"/>
          <w:szCs w:val="21"/>
          <w:highlight w:val="none"/>
        </w:rPr>
        <w:t>⑥</w:t>
      </w:r>
      <w:r>
        <w:rPr>
          <w:snapToGrid w:val="0"/>
          <w:color w:val="auto"/>
          <w:spacing w:val="-16"/>
          <w:kern w:val="21"/>
          <w:szCs w:val="21"/>
          <w:highlight w:val="none"/>
        </w:rPr>
        <w:fldChar w:fldCharType="end"/>
      </w:r>
      <w:r>
        <w:rPr>
          <w:snapToGrid w:val="0"/>
          <w:color w:val="auto"/>
          <w:spacing w:val="-16"/>
          <w:kern w:val="21"/>
          <w:szCs w:val="21"/>
          <w:highlight w:val="none"/>
        </w:rPr>
        <w:t>-</w:t>
      </w:r>
      <w:r>
        <w:rPr>
          <w:snapToGrid w:val="0"/>
          <w:color w:val="auto"/>
          <w:spacing w:val="-6"/>
          <w:kern w:val="21"/>
          <w:szCs w:val="21"/>
          <w:highlight w:val="none"/>
        </w:rPr>
        <w:fldChar w:fldCharType="begin"/>
      </w:r>
      <w:r>
        <w:rPr>
          <w:snapToGrid w:val="0"/>
          <w:color w:val="auto"/>
          <w:spacing w:val="-6"/>
          <w:kern w:val="21"/>
          <w:szCs w:val="21"/>
          <w:highlight w:val="none"/>
        </w:rPr>
        <w:instrText xml:space="preserve"> = 1 \* GB3 \* MERGEFORMAT </w:instrText>
      </w:r>
      <w:r>
        <w:rPr>
          <w:snapToGrid w:val="0"/>
          <w:color w:val="auto"/>
          <w:spacing w:val="-6"/>
          <w:kern w:val="21"/>
          <w:szCs w:val="21"/>
          <w:highlight w:val="none"/>
        </w:rPr>
        <w:fldChar w:fldCharType="separate"/>
      </w:r>
      <w:r>
        <w:rPr>
          <w:color w:val="auto"/>
          <w:szCs w:val="21"/>
          <w:highlight w:val="none"/>
        </w:rPr>
        <w:t>①</w:t>
      </w:r>
      <w:r>
        <w:rPr>
          <w:snapToGrid w:val="0"/>
          <w:color w:val="auto"/>
          <w:spacing w:val="-6"/>
          <w:kern w:val="21"/>
          <w:szCs w:val="21"/>
          <w:highlight w:val="none"/>
        </w:rPr>
        <w:fldChar w:fldCharType="end"/>
      </w:r>
    </w:p>
    <w:p w14:paraId="57733607">
      <w:pPr>
        <w:pStyle w:val="16"/>
        <w:adjustRightInd w:val="0"/>
        <w:snapToGrid w:val="0"/>
        <w:spacing w:before="0" w:beforeAutospacing="0" w:after="0" w:afterAutospacing="0" w:line="360" w:lineRule="auto"/>
        <w:outlineLvl w:val="0"/>
        <w:rPr>
          <w:rFonts w:ascii="Times New Roman" w:hAnsi="Times New Roman" w:eastAsia="黑体"/>
          <w:snapToGrid w:val="0"/>
          <w:color w:val="auto"/>
          <w:sz w:val="32"/>
          <w:szCs w:val="32"/>
          <w:highlight w:val="none"/>
        </w:rPr>
        <w:sectPr>
          <w:footerReference r:id="rId4" w:type="default"/>
          <w:pgSz w:w="16838" w:h="11906" w:orient="landscape"/>
          <w:pgMar w:top="1501" w:right="1531" w:bottom="1298" w:left="1531" w:header="851" w:footer="851" w:gutter="0"/>
          <w:cols w:space="720" w:num="1"/>
          <w:docGrid w:linePitch="312" w:charSpace="0"/>
        </w:sectPr>
      </w:pPr>
    </w:p>
    <w:p w14:paraId="06DDC3CE">
      <w:pPr>
        <w:tabs>
          <w:tab w:val="left" w:pos="0"/>
        </w:tabs>
        <w:adjustRightInd w:val="0"/>
        <w:snapToGrid w:val="0"/>
        <w:spacing w:line="360" w:lineRule="auto"/>
        <w:textAlignment w:val="baseline"/>
        <w:outlineLvl w:val="1"/>
        <w:rPr>
          <w:b/>
          <w:bCs/>
          <w:color w:val="auto"/>
          <w:kern w:val="0"/>
          <w:sz w:val="24"/>
          <w:szCs w:val="20"/>
          <w:highlight w:val="none"/>
        </w:rPr>
      </w:pPr>
      <w:bookmarkStart w:id="10" w:name="_Hlk71902401"/>
      <w:r>
        <w:rPr>
          <w:b/>
          <w:color w:val="auto"/>
          <w:kern w:val="0"/>
          <w:sz w:val="24"/>
          <w:szCs w:val="20"/>
          <w:highlight w:val="none"/>
        </w:rPr>
        <w:t>附图1：</w:t>
      </w:r>
      <w:r>
        <w:rPr>
          <w:b/>
          <w:bCs/>
          <w:color w:val="auto"/>
          <w:kern w:val="0"/>
          <w:sz w:val="24"/>
          <w:szCs w:val="20"/>
          <w:highlight w:val="none"/>
        </w:rPr>
        <w:t>本项目在鄂尔多斯市环境管控单元图中的位置</w:t>
      </w:r>
    </w:p>
    <w:p w14:paraId="14A71B3A">
      <w:pPr>
        <w:tabs>
          <w:tab w:val="left" w:pos="0"/>
        </w:tabs>
        <w:adjustRightInd w:val="0"/>
        <w:snapToGrid w:val="0"/>
        <w:spacing w:line="360" w:lineRule="auto"/>
        <w:jc w:val="center"/>
        <w:textAlignment w:val="baseline"/>
        <w:rPr>
          <w:b/>
          <w:color w:val="auto"/>
          <w:kern w:val="0"/>
          <w:sz w:val="24"/>
          <w:szCs w:val="20"/>
          <w:highlight w:val="none"/>
        </w:rPr>
      </w:pPr>
      <w:r>
        <w:rPr>
          <w:color w:val="auto"/>
          <w:highlight w:val="none"/>
        </w:rPr>
        <w:pict>
          <v:group id="_x0000_s2063" o:spid="_x0000_s2063" o:spt="203" style="position:absolute;left:0pt;margin-left:200.3pt;margin-top:187.95pt;height:74.05pt;width:78.1pt;z-index:251662336;mso-width-relative:page;mso-height-relative:page;" coordorigin="7428,835572" coordsize="1562,1481203203" o:gfxdata="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D8ZnBh2gAAAAsBAAAPAAAAAAAAAAEAIAAAACIAAABkcnMv&#10;ZG93bnJldi54bWxQSwECFAAUAAAACACHTuJAFMV2t5EFAADwEQAADgAAAAAAAAABACAAAAApAQAA&#10;ZHJzL2Uyb0RvYy54bWxQSwUGAAAAAAYABgBZAQAALAkAAAAA&#10;">
            <o:lock v:ext="edit"/>
            <v:shape id="矩形标注 4" o:spid="_x0000_s1026" o:spt="61" type="#_x0000_t61" style="position:absolute;left:7428;top:836605;height:448;width:1562;" filled="f" coordsize="21600,21600" o:gfxdata="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R0dGL4A&#10;AADbAAAADwAAAAAAAAABACAAAAAiAAAAZHJzL2Rvd25yZXYueG1sUEsBAhQAFAAAAAgAh07iQDMv&#10;BZ47AAAAOQAAABAAAAAAAAAAAQAgAAAADQEAAGRycy9zaGFwZXhtbC54bWxQSwUGAAAAAAYABgBb&#10;AQAAtwMAAAAA&#10;" adj="17687,-40066">
              <v:path/>
              <v:fill on="f" focussize="0,0"/>
              <v:stroke joinstyle="miter"/>
              <v:imagedata o:title=""/>
              <o:lock v:ext="edit"/>
              <v:textbox>
                <w:txbxContent>
                  <w:p w14:paraId="15CC5ABC">
                    <w:pPr>
                      <w:rPr>
                        <w:b/>
                        <w:bCs/>
                        <w:color w:val="000000" w:themeColor="text1"/>
                      </w:rPr>
                    </w:pPr>
                    <w:r>
                      <w:rPr>
                        <w:rFonts w:hint="eastAsia"/>
                        <w:b/>
                        <w:bCs/>
                        <w:color w:val="000000" w:themeColor="text1"/>
                      </w:rPr>
                      <w:t>本项目位置</w:t>
                    </w:r>
                  </w:p>
                </w:txbxContent>
              </v:textbox>
            </v:shape>
            <v:shape id="自选图形 682" o:spid="_x0000_s2064" o:spt="100" style="position:absolute;left:8552;top:835572;height:312;width:315;" fillcolor="#FF0000" filled="t" coordsize="10000,10000" o:gfxdata="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4I5WbsAAADb&#10;AAAADwAAAAAAAAABACAAAAAiAAAAZHJzL2Rvd25yZXYueG1sUEsBAhQAFAAAAAgAh07iQDMvBZ47&#10;AAAAOQAAABAAAAAAAAAAAQAgAAAACgEAAGRycy9zaGFwZXhtbC54bWxQSwUGAAAAAAYABgBbAQAA&#10;tAMAAAAA&#10;" path="m0,3814l3810,3814,5016,0,6190,3814,10000,3814,6921,6186,8095,10000,5016,7628,1905,10000,3079,6186,0,3814xe">
              <v:path o:connecttype="segments" o:connectlocs="0,3;3,3;4,0;6,3;9,3;6,6;8,9;4,7;1,9;3,6;0,3" o:connectangles="0,0,0,0,0,0,0,0,0,0,0"/>
              <v:fill on="t" opacity="18350f" focussize="0,0"/>
              <v:stroke joinstyle="miter"/>
              <v:imagedata o:title=""/>
              <o:lock v:ext="edit"/>
            </v:shape>
          </v:group>
        </w:pict>
      </w:r>
      <w:r>
        <w:rPr>
          <w:b/>
          <w:color w:val="auto"/>
          <w:kern w:val="0"/>
          <w:sz w:val="24"/>
          <w:szCs w:val="20"/>
          <w:highlight w:val="none"/>
        </w:rPr>
        <w:drawing>
          <wp:anchor distT="0" distB="0" distL="114300" distR="114300" simplePos="0" relativeHeight="251660288" behindDoc="0" locked="0" layoutInCell="1" allowOverlap="1">
            <wp:simplePos x="0" y="0"/>
            <wp:positionH relativeFrom="column">
              <wp:posOffset>5067300</wp:posOffset>
            </wp:positionH>
            <wp:positionV relativeFrom="paragraph">
              <wp:posOffset>4231005</wp:posOffset>
            </wp:positionV>
            <wp:extent cx="1783080" cy="1193165"/>
            <wp:effectExtent l="9525" t="9525" r="17145" b="16510"/>
            <wp:wrapNone/>
            <wp:docPr id="1" name="图片 1" descr="80e8eebea04de7bb0406942d531bc3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0e8eebea04de7bb0406942d531bc3c0"/>
                    <pic:cNvPicPr>
                      <a:picLocks noChangeAspect="1"/>
                    </pic:cNvPicPr>
                  </pic:nvPicPr>
                  <pic:blipFill>
                    <a:blip r:embed="rId12" cstate="print"/>
                    <a:srcRect l="39847" t="53457" r="39738" b="22257"/>
                    <a:stretch>
                      <a:fillRect/>
                    </a:stretch>
                  </pic:blipFill>
                  <pic:spPr>
                    <a:xfrm>
                      <a:off x="0" y="0"/>
                      <a:ext cx="1783080" cy="1193165"/>
                    </a:xfrm>
                    <a:prstGeom prst="rect">
                      <a:avLst/>
                    </a:prstGeom>
                    <a:ln>
                      <a:solidFill>
                        <a:schemeClr val="tx1"/>
                      </a:solidFill>
                    </a:ln>
                  </pic:spPr>
                </pic:pic>
              </a:graphicData>
            </a:graphic>
          </wp:anchor>
        </w:drawing>
      </w:r>
      <w:bookmarkStart w:id="11" w:name="_GoBack"/>
      <w:r>
        <w:rPr>
          <w:color w:val="auto"/>
          <w:highlight w:val="none"/>
        </w:rPr>
        <w:drawing>
          <wp:inline distT="0" distB="0" distL="0" distR="0">
            <wp:extent cx="7528560" cy="5683250"/>
            <wp:effectExtent l="0" t="0" r="15240" b="12700"/>
            <wp:docPr id="72706779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67795" name="图片 10"/>
                    <pic:cNvPicPr>
                      <a:picLocks noChangeAspect="1" noChangeArrowheads="1"/>
                    </pic:cNvPicPr>
                  </pic:nvPicPr>
                  <pic:blipFill>
                    <a:blip r:embed="rId13" cstate="print">
                      <a:extLst>
                        <a:ext uri="{28A0092B-C50C-407E-A947-70E740481C1C}">
                          <a14:useLocalDpi xmlns:a14="http://schemas.microsoft.com/office/drawing/2010/main" val="0"/>
                        </a:ext>
                      </a:extLst>
                    </a:blip>
                    <a:srcRect l="2046" t="1873" r="2030" b="1075"/>
                    <a:stretch>
                      <a:fillRect/>
                    </a:stretch>
                  </pic:blipFill>
                  <pic:spPr>
                    <a:xfrm>
                      <a:off x="0" y="0"/>
                      <a:ext cx="7528560" cy="5683250"/>
                    </a:xfrm>
                    <a:prstGeom prst="rect">
                      <a:avLst/>
                    </a:prstGeom>
                    <a:noFill/>
                    <a:ln>
                      <a:noFill/>
                    </a:ln>
                  </pic:spPr>
                </pic:pic>
              </a:graphicData>
            </a:graphic>
          </wp:inline>
        </w:drawing>
      </w:r>
      <w:bookmarkEnd w:id="11"/>
      <w:r>
        <w:rPr>
          <w:b/>
          <w:color w:val="auto"/>
          <w:kern w:val="0"/>
          <w:sz w:val="24"/>
          <w:szCs w:val="20"/>
          <w:highlight w:val="none"/>
        </w:rPr>
        <w:br w:type="page"/>
      </w:r>
    </w:p>
    <w:p w14:paraId="18458D4E">
      <w:pPr>
        <w:tabs>
          <w:tab w:val="left" w:pos="0"/>
        </w:tabs>
        <w:adjustRightInd w:val="0"/>
        <w:snapToGrid w:val="0"/>
        <w:spacing w:line="360" w:lineRule="auto"/>
        <w:ind w:firstLine="1275" w:firstLineChars="529"/>
        <w:textAlignment w:val="baseline"/>
        <w:outlineLvl w:val="1"/>
        <w:rPr>
          <w:b/>
          <w:bCs/>
          <w:color w:val="auto"/>
          <w:kern w:val="0"/>
          <w:sz w:val="24"/>
          <w:szCs w:val="20"/>
          <w:highlight w:val="none"/>
        </w:rPr>
      </w:pPr>
      <w:r>
        <w:rPr>
          <w:b/>
          <w:color w:val="auto"/>
          <w:kern w:val="0"/>
          <w:sz w:val="24"/>
          <w:szCs w:val="20"/>
          <w:highlight w:val="none"/>
        </w:rPr>
        <w:t>附图2：</w:t>
      </w:r>
      <w:r>
        <w:rPr>
          <w:b/>
          <w:bCs/>
          <w:color w:val="auto"/>
          <w:kern w:val="0"/>
          <w:sz w:val="24"/>
          <w:szCs w:val="20"/>
          <w:highlight w:val="none"/>
        </w:rPr>
        <w:t>项目地理位置图</w:t>
      </w:r>
      <w:bookmarkEnd w:id="10"/>
    </w:p>
    <w:p w14:paraId="58952671">
      <w:pPr>
        <w:autoSpaceDE w:val="0"/>
        <w:autoSpaceDN w:val="0"/>
        <w:adjustRightInd w:val="0"/>
        <w:snapToGrid w:val="0"/>
        <w:spacing w:line="360" w:lineRule="auto"/>
        <w:jc w:val="center"/>
        <w:rPr>
          <w:b/>
          <w:color w:val="auto"/>
          <w:kern w:val="0"/>
          <w:szCs w:val="21"/>
          <w:highlight w:val="none"/>
        </w:rPr>
        <w:sectPr>
          <w:pgSz w:w="16838" w:h="11906" w:orient="landscape"/>
          <w:pgMar w:top="993" w:right="1531" w:bottom="1135" w:left="1531" w:header="851" w:footer="851" w:gutter="0"/>
          <w:cols w:space="720" w:num="1"/>
          <w:docGrid w:linePitch="312" w:charSpace="0"/>
        </w:sectPr>
      </w:pPr>
      <w:r>
        <w:rPr>
          <w:color w:val="auto"/>
          <w:highlight w:val="none"/>
        </w:rPr>
        <w:pict>
          <v:group id="_x0000_s2060" o:spid="_x0000_s2060" o:spt="203" style="position:absolute;left:0pt;margin-left:396.2pt;margin-top:285.05pt;height:74.05pt;width:78.1pt;z-index:251661312;mso-width-relative:page;mso-height-relative:page;" coordorigin="7428,835572" coordsize="1562,1481203203" o:gfxdata="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">
            <o:lock v:ext="edit"/>
            <v:shape id="_x0000_s2062" o:spid="_x0000_s2062" o:spt="61" type="#_x0000_t61" style="position:absolute;left:7428;top:836605;height:448;width:1562;" filled="f" coordsize="21600,21600" o:gfxdata="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ola7vQAA&#10;ANoAAAAPAAAAAAAAAAEAIAAAACIAAABkcnMvZG93bnJldi54bWxQSwECFAAUAAAACACHTuJAMy8F&#10;njsAAAA5AAAAEAAAAAAAAAABACAAAAAMAQAAZHJzL3NoYXBleG1sLnhtbFBLBQYAAAAABgAGAFsB&#10;AAC2AwAAAAA=&#10;" adj="17687,-40066">
              <v:path/>
              <v:fill on="f" focussize="0,0"/>
              <v:stroke joinstyle="miter"/>
              <v:imagedata o:title=""/>
              <o:lock v:ext="edit"/>
              <v:textbox>
                <w:txbxContent>
                  <w:p w14:paraId="3DCC5B7E">
                    <w:pPr>
                      <w:rPr>
                        <w:b/>
                        <w:bCs/>
                        <w:color w:val="000000" w:themeColor="text1"/>
                      </w:rPr>
                    </w:pPr>
                    <w:r>
                      <w:rPr>
                        <w:rFonts w:hint="eastAsia"/>
                        <w:b/>
                        <w:bCs/>
                        <w:color w:val="000000" w:themeColor="text1"/>
                      </w:rPr>
                      <w:t>本项目位置</w:t>
                    </w:r>
                  </w:p>
                </w:txbxContent>
              </v:textbox>
            </v:shape>
            <v:shape id="自选图形 682" o:spid="_x0000_s2061" o:spt="100" style="position:absolute;left:8552;top:835572;height:312;width:315;" fillcolor="#FF0000" filled="t" coordsize="10000,10000" o:gfxdata="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V&#10;7HCQwwAAAOMAAAAPAAAAAAAAAAEAIAAAACIAAABkcnMvZG93bnJldi54bWxQSwECFAAUAAAACACH&#10;TuJAMy8FnjsAAAA5AAAAEAAAAAAAAAABACAAAAASAQAAZHJzL3NoYXBleG1sLnhtbFBLBQYAAAAA&#10;BgAGAFsBAAC8AwAAAAA=&#10;" path="m0,3814l3810,3814,5016,0,6190,3814,10000,3814,6921,6186,8095,10000,5016,7628,1905,10000,3079,6186,0,3814xe">
              <v:path o:connecttype="segments" o:connectlocs="0,3;3,3;4,0;6,3;9,3;6,6;8,9;4,7;1,9;3,6;0,3" o:connectangles="0,0,0,0,0,0,0,0,0,0,0"/>
              <v:fill on="t" focussize="0,0"/>
              <v:stroke joinstyle="miter"/>
              <v:imagedata o:title=""/>
              <o:lock v:ext="edit"/>
            </v:shape>
          </v:group>
        </w:pict>
      </w:r>
      <w:r>
        <w:rPr>
          <w:b/>
          <w:color w:val="auto"/>
          <w:kern w:val="0"/>
          <w:szCs w:val="21"/>
          <w:highlight w:val="none"/>
        </w:rPr>
        <w:drawing>
          <wp:inline distT="0" distB="0" distL="0" distR="0">
            <wp:extent cx="7846695" cy="5354955"/>
            <wp:effectExtent l="0" t="0" r="1905" b="0"/>
            <wp:docPr id="132701055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010559" name="图片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7849328" cy="5357135"/>
                    </a:xfrm>
                    <a:prstGeom prst="rect">
                      <a:avLst/>
                    </a:prstGeom>
                    <a:noFill/>
                    <a:ln>
                      <a:noFill/>
                    </a:ln>
                  </pic:spPr>
                </pic:pic>
              </a:graphicData>
            </a:graphic>
          </wp:inline>
        </w:drawing>
      </w:r>
    </w:p>
    <w:p w14:paraId="2C0E0748">
      <w:pPr>
        <w:tabs>
          <w:tab w:val="left" w:pos="0"/>
        </w:tabs>
        <w:adjustRightInd w:val="0"/>
        <w:snapToGrid w:val="0"/>
        <w:spacing w:line="360" w:lineRule="auto"/>
        <w:ind w:firstLine="1275" w:firstLineChars="529"/>
        <w:textAlignment w:val="baseline"/>
        <w:outlineLvl w:val="1"/>
        <w:rPr>
          <w:b/>
          <w:bCs/>
          <w:color w:val="auto"/>
          <w:kern w:val="0"/>
          <w:sz w:val="24"/>
          <w:szCs w:val="20"/>
          <w:highlight w:val="none"/>
        </w:rPr>
      </w:pPr>
      <w:r>
        <w:rPr>
          <w:b/>
          <w:bCs/>
          <w:color w:val="auto"/>
          <w:kern w:val="0"/>
          <w:sz w:val="24"/>
          <w:szCs w:val="20"/>
          <w:highlight w:val="none"/>
        </w:rPr>
        <w:t>附图3：项目平面布置图</w:t>
      </w:r>
    </w:p>
    <w:p w14:paraId="44182C70">
      <w:pPr>
        <w:autoSpaceDE w:val="0"/>
        <w:autoSpaceDN w:val="0"/>
        <w:adjustRightInd w:val="0"/>
        <w:snapToGrid w:val="0"/>
        <w:spacing w:line="360" w:lineRule="auto"/>
        <w:jc w:val="center"/>
        <w:rPr>
          <w:b/>
          <w:color w:val="auto"/>
          <w:kern w:val="0"/>
          <w:szCs w:val="21"/>
          <w:highlight w:val="none"/>
        </w:rPr>
      </w:pPr>
      <w:r>
        <w:rPr>
          <w:color w:val="auto"/>
          <w:highlight w:val="none"/>
        </w:rPr>
        <w:pict>
          <v:shape id="_x0000_s2059" o:spid="_x0000_s2059" o:spt="32" type="#_x0000_t32" style="position:absolute;left:0pt;flip:y;margin-left:114.1pt;margin-top:452.05pt;height:27.75pt;width:13.65pt;z-index:251671552;mso-width-relative:page;mso-height-relative:page;" filled="f" coordsize="21600,21600" o:gfxdata="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PAew+jY&#10;AAAACwEAAA8AAAAAAAAAAQAgAAAAIgAAAGRycy9kb3ducmV2LnhtbFBLAQIUABQAAAAIAIdO4kDB&#10;LbvUIAIAABcEAAAOAAAAAAAAAAEAIAAAACcBAABkcnMvZTJvRG9jLnhtbFBLBQYAAAAABgAGAFkB&#10;AAC5BQAAAAA=&#10;">
            <v:path arrowok="t"/>
            <v:fill on="f" focussize="0,0"/>
            <v:stroke weight="2.25pt" joinstyle="miter" endarrow="open"/>
            <v:imagedata o:title=""/>
            <o:lock v:ext="edit"/>
          </v:shape>
        </w:pict>
      </w:r>
      <w:r>
        <w:rPr>
          <w:b/>
          <w:color w:val="auto"/>
          <w:kern w:val="0"/>
          <w:szCs w:val="21"/>
          <w:highlight w:val="none"/>
        </w:rPr>
        <w:pict>
          <v:shape id="_x0000_s2058" o:spid="_x0000_s2058" o:spt="202" type="#_x0000_t202" style="position:absolute;left:0pt;margin-left:75.75pt;margin-top:477.1pt;height:35.65pt;width:55.3pt;z-index:251670528;mso-width-relative:page;mso-height-relative:page;" filled="f" stroked="f" coordsize="21600,21600" o:gfxdata="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0cShq2wAAAAwBAAAPAAAAAAAAAAEAIAAAACIAAABk&#10;cnMvZG93bnJldi54bWxQSwECFAAUAAAACACHTuJA7gj5HTwCAABnBAAADgAAAAAAAAABACAAAAAq&#10;AQAAZHJzL2Uyb0RvYy54bWxQSwUGAAAAAAYABgBZAQAA2AUAAAAA&#10;">
            <v:path/>
            <v:fill on="f" focussize="0,0"/>
            <v:stroke on="f" weight="0.5pt" joinstyle="miter"/>
            <v:imagedata o:title=""/>
            <o:lock v:ext="edit"/>
            <v:textbox>
              <w:txbxContent>
                <w:p w14:paraId="353D92F3">
                  <w:pPr>
                    <w:jc w:val="center"/>
                    <w:rPr>
                      <w:sz w:val="22"/>
                      <w:szCs w:val="28"/>
                    </w:rPr>
                  </w:pPr>
                  <w:r>
                    <w:rPr>
                      <w:rFonts w:hint="eastAsia"/>
                      <w:sz w:val="22"/>
                      <w:szCs w:val="28"/>
                    </w:rPr>
                    <w:t>危废暂存间</w:t>
                  </w:r>
                </w:p>
              </w:txbxContent>
            </v:textbox>
          </v:shape>
        </w:pict>
      </w:r>
      <w:r>
        <w:rPr>
          <w:b/>
          <w:color w:val="auto"/>
          <w:kern w:val="0"/>
          <w:szCs w:val="21"/>
          <w:highlight w:val="none"/>
        </w:rPr>
        <w:pict>
          <v:shape id="_x0000_s2057" o:spid="_x0000_s2057" o:spt="202" type="#_x0000_t202" style="position:absolute;left:0pt;margin-left:193.5pt;margin-top:439.8pt;height:35.65pt;width:67.95pt;z-index:251667456;mso-width-relative:page;mso-height-relative:page;" filled="f" stroked="f" coordsize="21600,21600" o:gfxdata="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G6k9LdAAAACwEAAA8AAAAAAAAAAQAgAAAAIgAA&#10;AGRycy9kb3ducmV2LnhtbFBLAQIUABQAAAAIAIdO4kBIekiBPAIAAGUEAAAOAAAAAAAAAAEAIAAA&#10;ACwBAABkcnMvZTJvRG9jLnhtbFBLBQYAAAAABgAGAFkBAADaBQAAAAA=&#10;">
            <v:path/>
            <v:fill on="f" focussize="0,0"/>
            <v:stroke on="f" weight="0.5pt" joinstyle="miter"/>
            <v:imagedata o:title=""/>
            <o:lock v:ext="edit"/>
            <v:textbox>
              <w:txbxContent>
                <w:p w14:paraId="2D3A91AD">
                  <w:pPr>
                    <w:jc w:val="center"/>
                    <w:rPr>
                      <w:sz w:val="22"/>
                      <w:szCs w:val="28"/>
                    </w:rPr>
                  </w:pPr>
                  <w:r>
                    <w:rPr>
                      <w:rFonts w:hint="eastAsia"/>
                      <w:sz w:val="22"/>
                      <w:szCs w:val="28"/>
                    </w:rPr>
                    <w:t>遗物祭品焚烧车间</w:t>
                  </w:r>
                </w:p>
              </w:txbxContent>
            </v:textbox>
          </v:shape>
        </w:pict>
      </w:r>
      <w:r>
        <w:rPr>
          <w:color w:val="auto"/>
          <w:highlight w:val="none"/>
        </w:rPr>
        <w:pict>
          <v:shape id="_x0000_s2056" o:spid="_x0000_s2056" o:spt="32" type="#_x0000_t32" style="position:absolute;left:0pt;flip:x y;margin-left:147.8pt;margin-top:456.4pt;height:2.5pt;width:53.05pt;z-index:251668480;mso-width-relative:page;mso-height-relative:page;" filled="f" coordsize="21600,21600" o:gfxdata="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wjSv&#10;RNoAAAALAQAADwAAAAAAAAABACAAAAAiAAAAZHJzL2Rvd25yZXYueG1sUEsBAhQAFAAAAAgAh07i&#10;QBOrYx4gAgAABAQAAA4AAAAAAAAAAQAgAAAAKQEAAGRycy9lMm9Eb2MueG1sUEsFBgAAAAAGAAYA&#10;WQEAALsFAAAAAA==&#10;">
            <v:path arrowok="t"/>
            <v:fill on="f" focussize="0,0"/>
            <v:stroke weight="2.25pt" joinstyle="miter" endarrow="open"/>
            <v:imagedata o:title=""/>
            <o:lock v:ext="edit"/>
          </v:shape>
        </w:pict>
      </w:r>
      <w:r>
        <w:rPr>
          <w:color w:val="auto"/>
          <w:highlight w:val="none"/>
        </w:rPr>
        <w:pict>
          <v:rect id="_x0000_s2055" o:spid="_x0000_s2055" o:spt="1" style="position:absolute;left:0pt;margin-left:124.2pt;margin-top:441.2pt;height:11.8pt;width:13.5pt;rotation:2162688f;z-index:251669504;v-text-anchor:middle;mso-width-relative:page;mso-height-relative:page;" fillcolor="#5B9BD5" filled="t" stroked="t" coordsize="21600,21600" o:gfxdata="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I8IvF/YAAAACwEAAA8AAAAAAAAAAQAgAAAAIgAAAGRycy9kb3ducmV2LnhtbFBLAQIUABQA&#10;AAAIAIdO4kDHFrwdmwIAADEFAAAOAAAAAAAAAAEAIAAAACcBAABkcnMvZTJvRG9jLnhtbFBLBQYA&#10;AAAABgAGAFkBAAA0BgAAAAA=&#10;">
            <v:path/>
            <v:fill on="t" focussize="0,0"/>
            <v:stroke weight="1pt" color="#2E75B6"/>
            <v:imagedata o:title=""/>
            <o:lock v:ext="edit"/>
          </v:rect>
        </w:pict>
      </w:r>
      <w:r>
        <w:rPr>
          <w:color w:val="auto"/>
          <w:highlight w:val="none"/>
        </w:rPr>
        <w:pict>
          <v:shape id="_x0000_s2054" o:spid="_x0000_s2054" o:spt="202" type="#_x0000_t202" style="position:absolute;left:0pt;margin-left:191.6pt;margin-top:280pt;height:35.65pt;width:55.95pt;z-index:251665408;mso-width-relative:page;mso-height-relative:page;" filled="f" stroked="f" coordsize="21600,21600" o:gfxdata="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&#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NQKHjbAAAACwEAAA8AAAAAAAAAAQAgAAAAIgAAAGRy&#10;cy9kb3ducmV2LnhtbFBLAQIUABQAAAAIAIdO4kBWhor/OwIAAGUEAAAOAAAAAAAAAAEAIAAAACoB&#10;AABkcnMvZTJvRG9jLnhtbFBLBQYAAAAABgAGAFkBAADXBQAAAAA=&#10;">
            <v:path/>
            <v:fill on="f" focussize="0,0"/>
            <v:stroke on="f" weight="0.5pt" joinstyle="miter"/>
            <v:imagedata o:title=""/>
            <o:lock v:ext="edit"/>
            <v:textbox>
              <w:txbxContent>
                <w:p w14:paraId="09CC78A0">
                  <w:pPr>
                    <w:jc w:val="center"/>
                    <w:rPr>
                      <w:sz w:val="22"/>
                      <w:szCs w:val="28"/>
                    </w:rPr>
                  </w:pPr>
                  <w:r>
                    <w:rPr>
                      <w:rFonts w:hint="eastAsia"/>
                      <w:sz w:val="22"/>
                      <w:szCs w:val="28"/>
                    </w:rPr>
                    <w:t>骨灰堂</w:t>
                  </w:r>
                </w:p>
              </w:txbxContent>
            </v:textbox>
          </v:shape>
        </w:pict>
      </w:r>
      <w:r>
        <w:rPr>
          <w:color w:val="auto"/>
          <w:highlight w:val="none"/>
        </w:rPr>
        <w:pict>
          <v:shape id="_x0000_s2053" o:spid="_x0000_s2053" o:spt="202" type="#_x0000_t202" style="position:absolute;left:0pt;margin-left:126.65pt;margin-top:371.2pt;height:35.65pt;width:55.95pt;z-index:251664384;mso-width-relative:page;mso-height-relative:page;" filled="f" stroked="f" coordsize="21600,21600" o:gfxdata="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r+bIUdsAAAALAQAADwAAAAAAAAABACAAAAAi&#10;AAAAZHJzL2Rvd25yZXYueG1sUEsBAhQAFAAAAAgAh07iQE1haluyAgAAWwUAAA4AAAAAAAAAAQAg&#10;AAAAKgEAAGRycy9lMm9Eb2MueG1sUEsFBgAAAAAGAAYAWQEAAE4GAAAAAA==&#10;">
            <v:path/>
            <v:fill on="f" focussize="0,0"/>
            <v:stroke on="f" weight="0.5pt" joinstyle="miter"/>
            <v:imagedata o:title=""/>
            <o:lock v:ext="edit"/>
            <v:textbox>
              <w:txbxContent>
                <w:p w14:paraId="5433CD20">
                  <w:pPr>
                    <w:jc w:val="center"/>
                    <w:rPr>
                      <w:sz w:val="22"/>
                      <w:szCs w:val="28"/>
                    </w:rPr>
                  </w:pPr>
                  <w:r>
                    <w:rPr>
                      <w:rFonts w:hint="eastAsia"/>
                      <w:sz w:val="22"/>
                      <w:szCs w:val="28"/>
                    </w:rPr>
                    <w:t>火化吊唁楼</w:t>
                  </w:r>
                </w:p>
              </w:txbxContent>
            </v:textbox>
          </v:shape>
        </w:pict>
      </w:r>
      <w:r>
        <w:rPr>
          <w:b/>
          <w:color w:val="auto"/>
          <w:kern w:val="0"/>
          <w:szCs w:val="21"/>
          <w:highlight w:val="none"/>
        </w:rPr>
        <w:pict>
          <v:shape id="_x0000_s2052" o:spid="_x0000_s2052" o:spt="202" type="#_x0000_t202" style="position:absolute;left:0pt;margin-left:258.5pt;margin-top:193pt;height:35.65pt;width:55.95pt;z-index:251666432;mso-width-relative:page;mso-height-relative:page;" filled="f" stroked="f" coordsize="21600,21600" o:gfxdata="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&#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2rjhv3QAAAAsBAAAPAAAAAAAAAAEAIAAAACIAAABk&#10;cnMvZG93bnJldi54bWxQSwECFAAUAAAACACHTuJAzjaMvDoCAABlBAAADgAAAAAAAAABACAAAAAs&#10;AQAAZHJzL2Uyb0RvYy54bWxQSwUGAAAAAAYABgBZAQAA2AUAAAAA&#10;">
            <v:path/>
            <v:fill on="f" focussize="0,0"/>
            <v:stroke on="f" weight="0.5pt" joinstyle="miter"/>
            <v:imagedata o:title=""/>
            <o:lock v:ext="edit"/>
            <v:textbox>
              <w:txbxContent>
                <w:p w14:paraId="31148165">
                  <w:pPr>
                    <w:jc w:val="center"/>
                    <w:rPr>
                      <w:sz w:val="22"/>
                      <w:szCs w:val="28"/>
                    </w:rPr>
                  </w:pPr>
                  <w:r>
                    <w:rPr>
                      <w:rFonts w:hint="eastAsia"/>
                      <w:sz w:val="22"/>
                      <w:szCs w:val="28"/>
                    </w:rPr>
                    <w:t>办公住宿楼</w:t>
                  </w:r>
                </w:p>
              </w:txbxContent>
            </v:textbox>
          </v:shape>
        </w:pict>
      </w:r>
      <w:r>
        <w:rPr>
          <w:b/>
          <w:color w:val="auto"/>
          <w:kern w:val="0"/>
          <w:szCs w:val="21"/>
          <w:highlight w:val="none"/>
        </w:rPr>
        <w:drawing>
          <wp:inline distT="0" distB="0" distL="114300" distR="114300">
            <wp:extent cx="5671185" cy="6635750"/>
            <wp:effectExtent l="0" t="0" r="5715" b="1270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5" cstate="print"/>
                    <a:srcRect l="6397" t="15059" r="7650" b="14139"/>
                    <a:stretch>
                      <a:fillRect/>
                    </a:stretch>
                  </pic:blipFill>
                  <pic:spPr>
                    <a:xfrm>
                      <a:off x="0" y="0"/>
                      <a:ext cx="5671185" cy="6635750"/>
                    </a:xfrm>
                    <a:prstGeom prst="rect">
                      <a:avLst/>
                    </a:prstGeom>
                    <a:noFill/>
                    <a:ln>
                      <a:noFill/>
                    </a:ln>
                  </pic:spPr>
                </pic:pic>
              </a:graphicData>
            </a:graphic>
          </wp:inline>
        </w:drawing>
      </w:r>
      <w:r>
        <w:rPr>
          <w:color w:val="auto"/>
          <w:highlight w:val="none"/>
        </w:rPr>
        <w:pict>
          <v:rect id="_x0000_s2051" o:spid="_x0000_s2051" o:spt="1" style="position:absolute;left:0pt;margin-left:496pt;margin-top:43.65pt;height:96.65pt;width:35pt;z-index:251663360;v-text-anchor:middle;mso-width-relative:page;mso-height-relative:page;" stroked="t" coordsize="21600,21600" o:gfxdata="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K8Qu/dkAAAALAQAADwAAAAAAAAABACAAAAAiAAAAZHJzL2Rvd25yZXYueG1s&#10;UEsBAhQAFAAAAAgAh07iQLoqsuBpAgAA9gQAAA4AAAAAAAAAAQAgAAAAKAEAAGRycy9lMm9Eb2Mu&#10;eG1sUEsFBgAAAAAGAAYAWQEAAAMGAAAAAA==&#10;">
            <v:path/>
            <v:fill focussize="0,0"/>
            <v:stroke weight="1pt" color="#FFFFFF"/>
            <v:imagedata o:title=""/>
            <o:lock v:ext="edit"/>
          </v:rect>
        </w:pict>
      </w:r>
      <w:r>
        <w:rPr>
          <w:b/>
          <w:color w:val="auto"/>
          <w:kern w:val="0"/>
          <w:szCs w:val="21"/>
          <w:highlight w:val="none"/>
        </w:rPr>
        <w:drawing>
          <wp:anchor distT="0" distB="0" distL="114300" distR="114300" simplePos="0" relativeHeight="251659264" behindDoc="0" locked="0" layoutInCell="1" allowOverlap="1">
            <wp:simplePos x="0" y="0"/>
            <wp:positionH relativeFrom="column">
              <wp:posOffset>7664450</wp:posOffset>
            </wp:positionH>
            <wp:positionV relativeFrom="paragraph">
              <wp:posOffset>158115</wp:posOffset>
            </wp:positionV>
            <wp:extent cx="659130" cy="933450"/>
            <wp:effectExtent l="0" t="0" r="7620" b="0"/>
            <wp:wrapNone/>
            <wp:docPr id="183774356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43560" name="图片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659130" cy="933450"/>
                    </a:xfrm>
                    <a:prstGeom prst="rect">
                      <a:avLst/>
                    </a:prstGeom>
                    <a:noFill/>
                    <a:ln>
                      <a:noFill/>
                    </a:ln>
                  </pic:spPr>
                </pic:pic>
              </a:graphicData>
            </a:graphic>
          </wp:anchor>
        </w:drawing>
      </w:r>
    </w:p>
    <w:sectPr>
      <w:footerReference r:id="rId5" w:type="default"/>
      <w:pgSz w:w="11906" w:h="16838"/>
      <w:pgMar w:top="1276" w:right="991" w:bottom="1276" w:left="1134"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ˎ̥">
    <w:altName w:val="思源宋体"/>
    <w:panose1 w:val="00000000000000000000"/>
    <w:charset w:val="00"/>
    <w:family w:val="roman"/>
    <w:pitch w:val="default"/>
    <w:sig w:usb0="00000000" w:usb1="00000000" w:usb2="00000000" w:usb3="00000000" w:csb0="00040001" w:csb1="00000000"/>
  </w:font>
  <w:font w:name="思源宋体">
    <w:panose1 w:val="02020400000000000000"/>
    <w:charset w:val="86"/>
    <w:family w:val="auto"/>
    <w:pitch w:val="default"/>
    <w:sig w:usb0="30000083" w:usb1="2BDF3C10" w:usb2="00000016" w:usb3="00000000" w:csb0="602E0107"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Noto Music">
    <w:panose1 w:val="020B0502040504020204"/>
    <w:charset w:val="00"/>
    <w:family w:val="auto"/>
    <w:pitch w:val="default"/>
    <w:sig w:usb0="00000003" w:usb1="02006000" w:usb2="01000000" w:usb3="00000000" w:csb0="0000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Wingdings 2">
    <w:altName w:val="Noto Music"/>
    <w:panose1 w:val="05020102010507070707"/>
    <w:charset w:val="02"/>
    <w:family w:val="roman"/>
    <w:pitch w:val="default"/>
    <w:sig w:usb0="00000000" w:usb1="00000000" w:usb2="00000000" w:usb3="00000000" w:csb0="80000000" w:csb1="00000000"/>
  </w:font>
  <w:font w:name="微软雅黑">
    <w:altName w:val="方正黑体_GBK"/>
    <w:panose1 w:val="020B0503020204020204"/>
    <w:charset w:val="86"/>
    <w:family w:val="auto"/>
    <w:pitch w:val="default"/>
    <w:sig w:usb0="00000000" w:usb1="00000000" w:usb2="00000016" w:usb3="00000000" w:csb0="0004001F" w:csb1="00000000"/>
  </w:font>
  <w:font w:name="Kingsoft UE">
    <w:panose1 w:val="02000100010000000000"/>
    <w:charset w:val="00"/>
    <w:family w:val="auto"/>
    <w:pitch w:val="default"/>
    <w:sig w:usb0="00000001" w:usb1="00004000" w:usb2="00000000" w:usb3="00000000" w:csb0="00000001" w:csb1="00000000"/>
  </w:font>
  <w:font w:name="sans-serif">
    <w:altName w:val="国标仿宋"/>
    <w:panose1 w:val="00000000000000000000"/>
    <w:charset w:val="00"/>
    <w:family w:val="auto"/>
    <w:pitch w:val="default"/>
    <w:sig w:usb0="00000000" w:usb1="00000000" w:usb2="00000000" w:usb3="00000000" w:csb0="00000000" w:csb1="00000000"/>
  </w:font>
  <w:font w:name="国标仿宋">
    <w:panose1 w:val="02000500000000000000"/>
    <w:charset w:val="86"/>
    <w:family w:val="auto"/>
    <w:pitch w:val="default"/>
    <w:sig w:usb0="A00002BF" w:usb1="38C77CFA"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78DDF">
    <w:pPr>
      <w:pStyle w:val="14"/>
      <w:jc w:val="center"/>
    </w:pPr>
    <w:r>
      <w:fldChar w:fldCharType="begin"/>
    </w:r>
    <w:r>
      <w:instrText xml:space="preserve">PAGE   \* MERGEFORMAT</w:instrText>
    </w:r>
    <w:r>
      <w:fldChar w:fldCharType="separate"/>
    </w:r>
    <w:r>
      <w:rPr>
        <w:lang w:val="zh-CN"/>
      </w:rPr>
      <w:t>36</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02B06">
    <w:pPr>
      <w:pStyle w:val="14"/>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86261">
    <w:pPr>
      <w:pStyle w:val="14"/>
      <w:ind w:right="360" w:firstLine="360"/>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mEwMTk2ZGY0YzRkZmExZTFhNjFkOWVhYTgyNGZiNjAifQ=="/>
  </w:docVars>
  <w:rsids>
    <w:rsidRoot w:val="37FD1ED2"/>
    <w:rsid w:val="00002B95"/>
    <w:rsid w:val="00004541"/>
    <w:rsid w:val="0000467E"/>
    <w:rsid w:val="000074C8"/>
    <w:rsid w:val="000122F6"/>
    <w:rsid w:val="000155E0"/>
    <w:rsid w:val="00024163"/>
    <w:rsid w:val="00030AAA"/>
    <w:rsid w:val="000442C6"/>
    <w:rsid w:val="00045695"/>
    <w:rsid w:val="00050EFD"/>
    <w:rsid w:val="000537B3"/>
    <w:rsid w:val="00070A1A"/>
    <w:rsid w:val="0007210A"/>
    <w:rsid w:val="0009418C"/>
    <w:rsid w:val="00095186"/>
    <w:rsid w:val="000A5C60"/>
    <w:rsid w:val="000B6F8F"/>
    <w:rsid w:val="000C59BD"/>
    <w:rsid w:val="000C6B10"/>
    <w:rsid w:val="000D000B"/>
    <w:rsid w:val="000D4FE2"/>
    <w:rsid w:val="000E1E4C"/>
    <w:rsid w:val="000F0E7F"/>
    <w:rsid w:val="000F14A4"/>
    <w:rsid w:val="000F2EFD"/>
    <w:rsid w:val="000F723D"/>
    <w:rsid w:val="001011B2"/>
    <w:rsid w:val="001015A1"/>
    <w:rsid w:val="001128FE"/>
    <w:rsid w:val="001138AD"/>
    <w:rsid w:val="00116B80"/>
    <w:rsid w:val="00121B1D"/>
    <w:rsid w:val="0012390D"/>
    <w:rsid w:val="0013603E"/>
    <w:rsid w:val="00136F0C"/>
    <w:rsid w:val="001441E3"/>
    <w:rsid w:val="0015460F"/>
    <w:rsid w:val="001642C1"/>
    <w:rsid w:val="00166AB1"/>
    <w:rsid w:val="00167C6C"/>
    <w:rsid w:val="00174A8D"/>
    <w:rsid w:val="00176352"/>
    <w:rsid w:val="00183722"/>
    <w:rsid w:val="00185081"/>
    <w:rsid w:val="0018617B"/>
    <w:rsid w:val="00187925"/>
    <w:rsid w:val="0019059F"/>
    <w:rsid w:val="0019112D"/>
    <w:rsid w:val="00191ECA"/>
    <w:rsid w:val="0019469A"/>
    <w:rsid w:val="001A0C8C"/>
    <w:rsid w:val="001A3342"/>
    <w:rsid w:val="001B12FB"/>
    <w:rsid w:val="001B6B31"/>
    <w:rsid w:val="001D6532"/>
    <w:rsid w:val="001E489E"/>
    <w:rsid w:val="001E7E93"/>
    <w:rsid w:val="001F1A0A"/>
    <w:rsid w:val="001F3741"/>
    <w:rsid w:val="001F5C85"/>
    <w:rsid w:val="002012D6"/>
    <w:rsid w:val="0020215E"/>
    <w:rsid w:val="00234292"/>
    <w:rsid w:val="002452B8"/>
    <w:rsid w:val="00245CCA"/>
    <w:rsid w:val="00252502"/>
    <w:rsid w:val="00270AC3"/>
    <w:rsid w:val="00276C09"/>
    <w:rsid w:val="0028686D"/>
    <w:rsid w:val="00286ECA"/>
    <w:rsid w:val="0029527D"/>
    <w:rsid w:val="002A0C0D"/>
    <w:rsid w:val="002B4F07"/>
    <w:rsid w:val="002C3FA4"/>
    <w:rsid w:val="002C45BF"/>
    <w:rsid w:val="002D225B"/>
    <w:rsid w:val="002D5C4D"/>
    <w:rsid w:val="002E1465"/>
    <w:rsid w:val="002E33D5"/>
    <w:rsid w:val="002F40AE"/>
    <w:rsid w:val="003052FA"/>
    <w:rsid w:val="00311049"/>
    <w:rsid w:val="00312DBA"/>
    <w:rsid w:val="003142D3"/>
    <w:rsid w:val="003164D1"/>
    <w:rsid w:val="00317843"/>
    <w:rsid w:val="00320B5B"/>
    <w:rsid w:val="00321F61"/>
    <w:rsid w:val="00322632"/>
    <w:rsid w:val="00325748"/>
    <w:rsid w:val="00327D8A"/>
    <w:rsid w:val="003456B0"/>
    <w:rsid w:val="00350A10"/>
    <w:rsid w:val="003550A8"/>
    <w:rsid w:val="00355CC2"/>
    <w:rsid w:val="0037360D"/>
    <w:rsid w:val="0037628B"/>
    <w:rsid w:val="00396A8B"/>
    <w:rsid w:val="003A7914"/>
    <w:rsid w:val="003B25C0"/>
    <w:rsid w:val="003B436D"/>
    <w:rsid w:val="003C44B8"/>
    <w:rsid w:val="003C4DFF"/>
    <w:rsid w:val="003D0DEE"/>
    <w:rsid w:val="003D119D"/>
    <w:rsid w:val="003E4576"/>
    <w:rsid w:val="003E654E"/>
    <w:rsid w:val="003E708F"/>
    <w:rsid w:val="003F05C1"/>
    <w:rsid w:val="003F06F0"/>
    <w:rsid w:val="003F7EF6"/>
    <w:rsid w:val="004056F9"/>
    <w:rsid w:val="00406810"/>
    <w:rsid w:val="004068E3"/>
    <w:rsid w:val="004243FB"/>
    <w:rsid w:val="00440872"/>
    <w:rsid w:val="00441472"/>
    <w:rsid w:val="004447B4"/>
    <w:rsid w:val="00447980"/>
    <w:rsid w:val="00452B45"/>
    <w:rsid w:val="004636FB"/>
    <w:rsid w:val="00467DF9"/>
    <w:rsid w:val="00471D88"/>
    <w:rsid w:val="00472650"/>
    <w:rsid w:val="00475713"/>
    <w:rsid w:val="00487F21"/>
    <w:rsid w:val="0049667B"/>
    <w:rsid w:val="004A31EA"/>
    <w:rsid w:val="004A4245"/>
    <w:rsid w:val="004B5178"/>
    <w:rsid w:val="004C149C"/>
    <w:rsid w:val="004F1759"/>
    <w:rsid w:val="0050090A"/>
    <w:rsid w:val="00516A3C"/>
    <w:rsid w:val="005174A3"/>
    <w:rsid w:val="00517CE7"/>
    <w:rsid w:val="00521E7D"/>
    <w:rsid w:val="005351F9"/>
    <w:rsid w:val="00537B3E"/>
    <w:rsid w:val="00537E7E"/>
    <w:rsid w:val="0054239B"/>
    <w:rsid w:val="00545B10"/>
    <w:rsid w:val="00545CC8"/>
    <w:rsid w:val="00546EAE"/>
    <w:rsid w:val="005530EB"/>
    <w:rsid w:val="005539EB"/>
    <w:rsid w:val="00554FE6"/>
    <w:rsid w:val="005674FE"/>
    <w:rsid w:val="00577D25"/>
    <w:rsid w:val="005907EC"/>
    <w:rsid w:val="005964CA"/>
    <w:rsid w:val="005A02FA"/>
    <w:rsid w:val="005A37F1"/>
    <w:rsid w:val="005A6EE5"/>
    <w:rsid w:val="005A725B"/>
    <w:rsid w:val="005B2B16"/>
    <w:rsid w:val="005B3776"/>
    <w:rsid w:val="005B44F1"/>
    <w:rsid w:val="005B6791"/>
    <w:rsid w:val="005C37F4"/>
    <w:rsid w:val="005C383E"/>
    <w:rsid w:val="005C661A"/>
    <w:rsid w:val="005C71B2"/>
    <w:rsid w:val="005D1FCC"/>
    <w:rsid w:val="005D2ABA"/>
    <w:rsid w:val="005D54CF"/>
    <w:rsid w:val="005D6010"/>
    <w:rsid w:val="005E2D01"/>
    <w:rsid w:val="005E2D0D"/>
    <w:rsid w:val="005E48F1"/>
    <w:rsid w:val="005E5CB8"/>
    <w:rsid w:val="005F7649"/>
    <w:rsid w:val="00600A33"/>
    <w:rsid w:val="00602959"/>
    <w:rsid w:val="00603B77"/>
    <w:rsid w:val="00625B6E"/>
    <w:rsid w:val="006453C7"/>
    <w:rsid w:val="00645715"/>
    <w:rsid w:val="00652CE7"/>
    <w:rsid w:val="00657C8F"/>
    <w:rsid w:val="0066189E"/>
    <w:rsid w:val="00663E7C"/>
    <w:rsid w:val="00673EF8"/>
    <w:rsid w:val="00675C56"/>
    <w:rsid w:val="00676A0A"/>
    <w:rsid w:val="00683AA5"/>
    <w:rsid w:val="00687D61"/>
    <w:rsid w:val="0069069D"/>
    <w:rsid w:val="006A5DF5"/>
    <w:rsid w:val="006B12E7"/>
    <w:rsid w:val="006B1C77"/>
    <w:rsid w:val="006C1A55"/>
    <w:rsid w:val="006C2CE8"/>
    <w:rsid w:val="006C2ED2"/>
    <w:rsid w:val="006C7282"/>
    <w:rsid w:val="006D7301"/>
    <w:rsid w:val="006D7836"/>
    <w:rsid w:val="006D7C1F"/>
    <w:rsid w:val="006F0AEC"/>
    <w:rsid w:val="006F1A08"/>
    <w:rsid w:val="006F2861"/>
    <w:rsid w:val="00706951"/>
    <w:rsid w:val="007107D8"/>
    <w:rsid w:val="00713B5B"/>
    <w:rsid w:val="00723EB8"/>
    <w:rsid w:val="007258C9"/>
    <w:rsid w:val="007321F3"/>
    <w:rsid w:val="0073672E"/>
    <w:rsid w:val="00737ED8"/>
    <w:rsid w:val="0074063E"/>
    <w:rsid w:val="00743763"/>
    <w:rsid w:val="00743BE6"/>
    <w:rsid w:val="00743C07"/>
    <w:rsid w:val="007446DE"/>
    <w:rsid w:val="00744818"/>
    <w:rsid w:val="00745961"/>
    <w:rsid w:val="00761BD2"/>
    <w:rsid w:val="00763B7D"/>
    <w:rsid w:val="00771254"/>
    <w:rsid w:val="00771829"/>
    <w:rsid w:val="007808C4"/>
    <w:rsid w:val="00781EEE"/>
    <w:rsid w:val="007A08E0"/>
    <w:rsid w:val="007A0FB5"/>
    <w:rsid w:val="007A15C7"/>
    <w:rsid w:val="007A175A"/>
    <w:rsid w:val="007A7627"/>
    <w:rsid w:val="007A7D27"/>
    <w:rsid w:val="007C027D"/>
    <w:rsid w:val="007C47D8"/>
    <w:rsid w:val="007C6A31"/>
    <w:rsid w:val="007D4AD6"/>
    <w:rsid w:val="007E1E9D"/>
    <w:rsid w:val="007E2459"/>
    <w:rsid w:val="007E41B1"/>
    <w:rsid w:val="007F0238"/>
    <w:rsid w:val="007F1729"/>
    <w:rsid w:val="007F54A4"/>
    <w:rsid w:val="008001C9"/>
    <w:rsid w:val="00801C75"/>
    <w:rsid w:val="0080405E"/>
    <w:rsid w:val="0081089A"/>
    <w:rsid w:val="00821666"/>
    <w:rsid w:val="008350F4"/>
    <w:rsid w:val="00842232"/>
    <w:rsid w:val="008511C5"/>
    <w:rsid w:val="00851A8C"/>
    <w:rsid w:val="00860E75"/>
    <w:rsid w:val="0086578F"/>
    <w:rsid w:val="00872C0D"/>
    <w:rsid w:val="00884D95"/>
    <w:rsid w:val="00890F55"/>
    <w:rsid w:val="00896C4A"/>
    <w:rsid w:val="008A22CF"/>
    <w:rsid w:val="008B2E76"/>
    <w:rsid w:val="008C059B"/>
    <w:rsid w:val="008C69AF"/>
    <w:rsid w:val="008D2D61"/>
    <w:rsid w:val="00902205"/>
    <w:rsid w:val="00905E60"/>
    <w:rsid w:val="00916EE1"/>
    <w:rsid w:val="0093701F"/>
    <w:rsid w:val="00940FAD"/>
    <w:rsid w:val="00944F40"/>
    <w:rsid w:val="00946BA1"/>
    <w:rsid w:val="00960078"/>
    <w:rsid w:val="0097279A"/>
    <w:rsid w:val="00982A9B"/>
    <w:rsid w:val="00985583"/>
    <w:rsid w:val="009A2242"/>
    <w:rsid w:val="009A2380"/>
    <w:rsid w:val="009B346E"/>
    <w:rsid w:val="009B7836"/>
    <w:rsid w:val="009C17E8"/>
    <w:rsid w:val="009D7A4F"/>
    <w:rsid w:val="009E4211"/>
    <w:rsid w:val="009E7834"/>
    <w:rsid w:val="00A0248E"/>
    <w:rsid w:val="00A037AE"/>
    <w:rsid w:val="00A134C9"/>
    <w:rsid w:val="00A51829"/>
    <w:rsid w:val="00A5702D"/>
    <w:rsid w:val="00A710A3"/>
    <w:rsid w:val="00A75302"/>
    <w:rsid w:val="00AA0F48"/>
    <w:rsid w:val="00AA4088"/>
    <w:rsid w:val="00AB1892"/>
    <w:rsid w:val="00AB36DD"/>
    <w:rsid w:val="00AB5DB9"/>
    <w:rsid w:val="00AB6DA8"/>
    <w:rsid w:val="00AD508B"/>
    <w:rsid w:val="00AD60FC"/>
    <w:rsid w:val="00AD7D86"/>
    <w:rsid w:val="00AF08AF"/>
    <w:rsid w:val="00AF7A4C"/>
    <w:rsid w:val="00B07AAF"/>
    <w:rsid w:val="00B135FF"/>
    <w:rsid w:val="00B22D11"/>
    <w:rsid w:val="00B26AC1"/>
    <w:rsid w:val="00B3351B"/>
    <w:rsid w:val="00B34734"/>
    <w:rsid w:val="00B4153C"/>
    <w:rsid w:val="00B45F20"/>
    <w:rsid w:val="00B50C8E"/>
    <w:rsid w:val="00B5578A"/>
    <w:rsid w:val="00B623C3"/>
    <w:rsid w:val="00B658AF"/>
    <w:rsid w:val="00B775FE"/>
    <w:rsid w:val="00BA2517"/>
    <w:rsid w:val="00BB4737"/>
    <w:rsid w:val="00BC1324"/>
    <w:rsid w:val="00BC5FE0"/>
    <w:rsid w:val="00BC7B50"/>
    <w:rsid w:val="00BE43DE"/>
    <w:rsid w:val="00BE6BD8"/>
    <w:rsid w:val="00BE6FE8"/>
    <w:rsid w:val="00BF2B5B"/>
    <w:rsid w:val="00C05055"/>
    <w:rsid w:val="00C06E6A"/>
    <w:rsid w:val="00C245E3"/>
    <w:rsid w:val="00C33AC2"/>
    <w:rsid w:val="00C36C9C"/>
    <w:rsid w:val="00C429E1"/>
    <w:rsid w:val="00C47A66"/>
    <w:rsid w:val="00C514F0"/>
    <w:rsid w:val="00C5152E"/>
    <w:rsid w:val="00C52ACC"/>
    <w:rsid w:val="00C52FD0"/>
    <w:rsid w:val="00C65787"/>
    <w:rsid w:val="00C710CC"/>
    <w:rsid w:val="00C730E7"/>
    <w:rsid w:val="00C75A05"/>
    <w:rsid w:val="00C75E83"/>
    <w:rsid w:val="00C83131"/>
    <w:rsid w:val="00C8515B"/>
    <w:rsid w:val="00C85A81"/>
    <w:rsid w:val="00C90939"/>
    <w:rsid w:val="00C93A62"/>
    <w:rsid w:val="00CA7A5C"/>
    <w:rsid w:val="00CB00F2"/>
    <w:rsid w:val="00CB1995"/>
    <w:rsid w:val="00CC26D3"/>
    <w:rsid w:val="00CE0AAE"/>
    <w:rsid w:val="00CE1ED2"/>
    <w:rsid w:val="00CF18E6"/>
    <w:rsid w:val="00D05EEE"/>
    <w:rsid w:val="00D15161"/>
    <w:rsid w:val="00D20E6D"/>
    <w:rsid w:val="00D220DE"/>
    <w:rsid w:val="00D22E2D"/>
    <w:rsid w:val="00D2367D"/>
    <w:rsid w:val="00D24C8C"/>
    <w:rsid w:val="00D27A2B"/>
    <w:rsid w:val="00D51E67"/>
    <w:rsid w:val="00D52CE4"/>
    <w:rsid w:val="00D564AD"/>
    <w:rsid w:val="00D56B58"/>
    <w:rsid w:val="00D65203"/>
    <w:rsid w:val="00D71651"/>
    <w:rsid w:val="00D74D44"/>
    <w:rsid w:val="00D801E0"/>
    <w:rsid w:val="00D81474"/>
    <w:rsid w:val="00D847E8"/>
    <w:rsid w:val="00DA67FF"/>
    <w:rsid w:val="00DA7E8D"/>
    <w:rsid w:val="00DB1AEA"/>
    <w:rsid w:val="00DB5391"/>
    <w:rsid w:val="00DC6A47"/>
    <w:rsid w:val="00DD1EF5"/>
    <w:rsid w:val="00DD3842"/>
    <w:rsid w:val="00DD70D8"/>
    <w:rsid w:val="00DE1BDC"/>
    <w:rsid w:val="00DF011F"/>
    <w:rsid w:val="00DF2CE6"/>
    <w:rsid w:val="00DF46AF"/>
    <w:rsid w:val="00E06479"/>
    <w:rsid w:val="00E06FA3"/>
    <w:rsid w:val="00E1013D"/>
    <w:rsid w:val="00E2063C"/>
    <w:rsid w:val="00E225E5"/>
    <w:rsid w:val="00E24D9F"/>
    <w:rsid w:val="00E3356C"/>
    <w:rsid w:val="00E36D90"/>
    <w:rsid w:val="00E50441"/>
    <w:rsid w:val="00E5069F"/>
    <w:rsid w:val="00E550D3"/>
    <w:rsid w:val="00E60652"/>
    <w:rsid w:val="00E65D0C"/>
    <w:rsid w:val="00E65F91"/>
    <w:rsid w:val="00E777E2"/>
    <w:rsid w:val="00E9025C"/>
    <w:rsid w:val="00E90EEE"/>
    <w:rsid w:val="00E95AF3"/>
    <w:rsid w:val="00EB3C1B"/>
    <w:rsid w:val="00EB3FD6"/>
    <w:rsid w:val="00EB5EA4"/>
    <w:rsid w:val="00EB6832"/>
    <w:rsid w:val="00EB6995"/>
    <w:rsid w:val="00EB7A24"/>
    <w:rsid w:val="00EC1484"/>
    <w:rsid w:val="00EC33C9"/>
    <w:rsid w:val="00EC34D1"/>
    <w:rsid w:val="00EC583F"/>
    <w:rsid w:val="00ED098D"/>
    <w:rsid w:val="00ED1629"/>
    <w:rsid w:val="00ED21F1"/>
    <w:rsid w:val="00ED331E"/>
    <w:rsid w:val="00EE5F55"/>
    <w:rsid w:val="00EF2A16"/>
    <w:rsid w:val="00F02153"/>
    <w:rsid w:val="00F0668E"/>
    <w:rsid w:val="00F213A7"/>
    <w:rsid w:val="00F24610"/>
    <w:rsid w:val="00F248C9"/>
    <w:rsid w:val="00F252AD"/>
    <w:rsid w:val="00F26E40"/>
    <w:rsid w:val="00F3099C"/>
    <w:rsid w:val="00F350BE"/>
    <w:rsid w:val="00F35936"/>
    <w:rsid w:val="00F53F97"/>
    <w:rsid w:val="00F60705"/>
    <w:rsid w:val="00F6339B"/>
    <w:rsid w:val="00F7000F"/>
    <w:rsid w:val="00F76F8C"/>
    <w:rsid w:val="00F77083"/>
    <w:rsid w:val="00F82145"/>
    <w:rsid w:val="00F82B0B"/>
    <w:rsid w:val="00FA588B"/>
    <w:rsid w:val="00FB64A8"/>
    <w:rsid w:val="00FC2FB8"/>
    <w:rsid w:val="00FC3A04"/>
    <w:rsid w:val="00FD5D4B"/>
    <w:rsid w:val="00FE300E"/>
    <w:rsid w:val="00FE5758"/>
    <w:rsid w:val="00FF0D01"/>
    <w:rsid w:val="00FF0D02"/>
    <w:rsid w:val="019726A7"/>
    <w:rsid w:val="019E4ED3"/>
    <w:rsid w:val="027859B3"/>
    <w:rsid w:val="027A4515"/>
    <w:rsid w:val="037E6D6A"/>
    <w:rsid w:val="03F90AE6"/>
    <w:rsid w:val="04206237"/>
    <w:rsid w:val="042807E2"/>
    <w:rsid w:val="042F398A"/>
    <w:rsid w:val="04EB340E"/>
    <w:rsid w:val="056C5FA6"/>
    <w:rsid w:val="05874065"/>
    <w:rsid w:val="059565ED"/>
    <w:rsid w:val="06587E4E"/>
    <w:rsid w:val="06761402"/>
    <w:rsid w:val="074B3407"/>
    <w:rsid w:val="07D03DA8"/>
    <w:rsid w:val="07D11BE2"/>
    <w:rsid w:val="08252B72"/>
    <w:rsid w:val="08510EF1"/>
    <w:rsid w:val="08C01BD2"/>
    <w:rsid w:val="093210E5"/>
    <w:rsid w:val="0A664845"/>
    <w:rsid w:val="0A7D5219"/>
    <w:rsid w:val="0C143455"/>
    <w:rsid w:val="0C686809"/>
    <w:rsid w:val="0C6F7B97"/>
    <w:rsid w:val="0C7F03DB"/>
    <w:rsid w:val="0CA05FA3"/>
    <w:rsid w:val="0CE15C60"/>
    <w:rsid w:val="0D407F3C"/>
    <w:rsid w:val="0D9217FF"/>
    <w:rsid w:val="0E3F3599"/>
    <w:rsid w:val="0E52151F"/>
    <w:rsid w:val="0E7121DC"/>
    <w:rsid w:val="0F101D4A"/>
    <w:rsid w:val="0F222B14"/>
    <w:rsid w:val="0F3501C2"/>
    <w:rsid w:val="0FA45DAA"/>
    <w:rsid w:val="1050688C"/>
    <w:rsid w:val="110441D8"/>
    <w:rsid w:val="11C10E95"/>
    <w:rsid w:val="122479B3"/>
    <w:rsid w:val="12301B77"/>
    <w:rsid w:val="12C32D62"/>
    <w:rsid w:val="132C1FB2"/>
    <w:rsid w:val="134A6C68"/>
    <w:rsid w:val="13D44784"/>
    <w:rsid w:val="14A40BAE"/>
    <w:rsid w:val="151702A5"/>
    <w:rsid w:val="151829DD"/>
    <w:rsid w:val="152A4FA3"/>
    <w:rsid w:val="164C7F84"/>
    <w:rsid w:val="16B12AAB"/>
    <w:rsid w:val="183F0D66"/>
    <w:rsid w:val="18441C29"/>
    <w:rsid w:val="185D2F9A"/>
    <w:rsid w:val="1890336F"/>
    <w:rsid w:val="18DA45EA"/>
    <w:rsid w:val="18E84F59"/>
    <w:rsid w:val="19372DD5"/>
    <w:rsid w:val="193A52A0"/>
    <w:rsid w:val="1A513942"/>
    <w:rsid w:val="1A5F75D3"/>
    <w:rsid w:val="1A764D9F"/>
    <w:rsid w:val="1AA93F5F"/>
    <w:rsid w:val="1AE35E18"/>
    <w:rsid w:val="1B762CF0"/>
    <w:rsid w:val="1BBB6955"/>
    <w:rsid w:val="1BFA35F5"/>
    <w:rsid w:val="1C2C609D"/>
    <w:rsid w:val="1C9722D6"/>
    <w:rsid w:val="1C9A6AD6"/>
    <w:rsid w:val="1CD13B74"/>
    <w:rsid w:val="1D2305AB"/>
    <w:rsid w:val="1D3866FF"/>
    <w:rsid w:val="1D3D1123"/>
    <w:rsid w:val="1D585D93"/>
    <w:rsid w:val="1E373AB0"/>
    <w:rsid w:val="1E7E3139"/>
    <w:rsid w:val="1EC87D5A"/>
    <w:rsid w:val="21E43E20"/>
    <w:rsid w:val="21E64459"/>
    <w:rsid w:val="220903C1"/>
    <w:rsid w:val="233D2346"/>
    <w:rsid w:val="23490CEA"/>
    <w:rsid w:val="239D1036"/>
    <w:rsid w:val="24690EA8"/>
    <w:rsid w:val="25AA43E2"/>
    <w:rsid w:val="26347A30"/>
    <w:rsid w:val="27FD667E"/>
    <w:rsid w:val="281F201A"/>
    <w:rsid w:val="283C2BCC"/>
    <w:rsid w:val="28B37798"/>
    <w:rsid w:val="28D47B5D"/>
    <w:rsid w:val="293978EA"/>
    <w:rsid w:val="29C70BBB"/>
    <w:rsid w:val="2A9D36CA"/>
    <w:rsid w:val="2AF83194"/>
    <w:rsid w:val="2B2B0C85"/>
    <w:rsid w:val="2B7B131F"/>
    <w:rsid w:val="2B8D2153"/>
    <w:rsid w:val="2B977451"/>
    <w:rsid w:val="2BA271EA"/>
    <w:rsid w:val="2BB5659B"/>
    <w:rsid w:val="2BC71186"/>
    <w:rsid w:val="2BF51B5B"/>
    <w:rsid w:val="2CB06299"/>
    <w:rsid w:val="2D675E34"/>
    <w:rsid w:val="2DC07BFE"/>
    <w:rsid w:val="2E0A72C8"/>
    <w:rsid w:val="2EF20132"/>
    <w:rsid w:val="2F642A08"/>
    <w:rsid w:val="2F7366F2"/>
    <w:rsid w:val="2FA74A53"/>
    <w:rsid w:val="2FC16DE4"/>
    <w:rsid w:val="30F57DBC"/>
    <w:rsid w:val="3117336A"/>
    <w:rsid w:val="31BA266A"/>
    <w:rsid w:val="32455894"/>
    <w:rsid w:val="3293788C"/>
    <w:rsid w:val="32F96AA8"/>
    <w:rsid w:val="33311562"/>
    <w:rsid w:val="333C7F24"/>
    <w:rsid w:val="33552D94"/>
    <w:rsid w:val="337E45C9"/>
    <w:rsid w:val="33977850"/>
    <w:rsid w:val="33EA060C"/>
    <w:rsid w:val="33ED121E"/>
    <w:rsid w:val="34265B0A"/>
    <w:rsid w:val="34DF3720"/>
    <w:rsid w:val="34F50F40"/>
    <w:rsid w:val="3518545A"/>
    <w:rsid w:val="3525563E"/>
    <w:rsid w:val="35392FAE"/>
    <w:rsid w:val="355157DD"/>
    <w:rsid w:val="35727C2D"/>
    <w:rsid w:val="35F64AE6"/>
    <w:rsid w:val="36070CBD"/>
    <w:rsid w:val="36910587"/>
    <w:rsid w:val="36B56AC9"/>
    <w:rsid w:val="36DD557A"/>
    <w:rsid w:val="37066109"/>
    <w:rsid w:val="373A48BE"/>
    <w:rsid w:val="37DE5801"/>
    <w:rsid w:val="37FD1ED2"/>
    <w:rsid w:val="385C4BC4"/>
    <w:rsid w:val="38710670"/>
    <w:rsid w:val="38B061B6"/>
    <w:rsid w:val="39180AEB"/>
    <w:rsid w:val="393C6ED0"/>
    <w:rsid w:val="399E5DA7"/>
    <w:rsid w:val="39D07618"/>
    <w:rsid w:val="3AA34435"/>
    <w:rsid w:val="3BD479B6"/>
    <w:rsid w:val="3C112533"/>
    <w:rsid w:val="3C130F7E"/>
    <w:rsid w:val="3C87002E"/>
    <w:rsid w:val="3CC93E62"/>
    <w:rsid w:val="3CD46E52"/>
    <w:rsid w:val="3D6C58AA"/>
    <w:rsid w:val="3D93286E"/>
    <w:rsid w:val="3E5C04C3"/>
    <w:rsid w:val="3E8B55CC"/>
    <w:rsid w:val="3F214472"/>
    <w:rsid w:val="3FA13A1C"/>
    <w:rsid w:val="4142704D"/>
    <w:rsid w:val="41C77552"/>
    <w:rsid w:val="41E30365"/>
    <w:rsid w:val="41EE4D39"/>
    <w:rsid w:val="41F0672D"/>
    <w:rsid w:val="4253528A"/>
    <w:rsid w:val="42543B0A"/>
    <w:rsid w:val="42662D3E"/>
    <w:rsid w:val="42770F78"/>
    <w:rsid w:val="42C76054"/>
    <w:rsid w:val="4300794B"/>
    <w:rsid w:val="43654427"/>
    <w:rsid w:val="4431500F"/>
    <w:rsid w:val="446B68BB"/>
    <w:rsid w:val="452D1DC2"/>
    <w:rsid w:val="45EA75D4"/>
    <w:rsid w:val="46845A12"/>
    <w:rsid w:val="480126AE"/>
    <w:rsid w:val="489C7E08"/>
    <w:rsid w:val="48B85E47"/>
    <w:rsid w:val="48B907AE"/>
    <w:rsid w:val="490A5710"/>
    <w:rsid w:val="4A057F4B"/>
    <w:rsid w:val="4A3D5016"/>
    <w:rsid w:val="4A861153"/>
    <w:rsid w:val="4AD60CD1"/>
    <w:rsid w:val="4B990A8B"/>
    <w:rsid w:val="4BAD4CA0"/>
    <w:rsid w:val="4BEE392E"/>
    <w:rsid w:val="4C9946C1"/>
    <w:rsid w:val="4CCF550D"/>
    <w:rsid w:val="4CDF5745"/>
    <w:rsid w:val="4DED7D8D"/>
    <w:rsid w:val="4E494F67"/>
    <w:rsid w:val="4E5934FF"/>
    <w:rsid w:val="4E99401C"/>
    <w:rsid w:val="4EB12F52"/>
    <w:rsid w:val="4EED4970"/>
    <w:rsid w:val="4FCC3F86"/>
    <w:rsid w:val="4FEF6B48"/>
    <w:rsid w:val="50487AB0"/>
    <w:rsid w:val="50487B81"/>
    <w:rsid w:val="510D4856"/>
    <w:rsid w:val="51311A6B"/>
    <w:rsid w:val="513573BA"/>
    <w:rsid w:val="52287B99"/>
    <w:rsid w:val="52862B12"/>
    <w:rsid w:val="53187450"/>
    <w:rsid w:val="537961D3"/>
    <w:rsid w:val="537C3385"/>
    <w:rsid w:val="53B65F21"/>
    <w:rsid w:val="53FF492A"/>
    <w:rsid w:val="54B90E10"/>
    <w:rsid w:val="54F2117E"/>
    <w:rsid w:val="557C0051"/>
    <w:rsid w:val="55E02539"/>
    <w:rsid w:val="56290384"/>
    <w:rsid w:val="56404E40"/>
    <w:rsid w:val="59030A18"/>
    <w:rsid w:val="590631E7"/>
    <w:rsid w:val="5955323E"/>
    <w:rsid w:val="59E949AA"/>
    <w:rsid w:val="5A672C25"/>
    <w:rsid w:val="5A784738"/>
    <w:rsid w:val="5A871B1D"/>
    <w:rsid w:val="5AF646DE"/>
    <w:rsid w:val="5B426C68"/>
    <w:rsid w:val="5B8B57E5"/>
    <w:rsid w:val="5B922527"/>
    <w:rsid w:val="5B927555"/>
    <w:rsid w:val="5BD34181"/>
    <w:rsid w:val="5BE2700B"/>
    <w:rsid w:val="5CFB5EAA"/>
    <w:rsid w:val="5D541CF7"/>
    <w:rsid w:val="5D6B54A8"/>
    <w:rsid w:val="5DB0643F"/>
    <w:rsid w:val="5DB5179D"/>
    <w:rsid w:val="5DF1EE2B"/>
    <w:rsid w:val="5E704A1A"/>
    <w:rsid w:val="5E9F5687"/>
    <w:rsid w:val="5F092B01"/>
    <w:rsid w:val="5F5129C0"/>
    <w:rsid w:val="60206D1A"/>
    <w:rsid w:val="60D777F7"/>
    <w:rsid w:val="611D39E1"/>
    <w:rsid w:val="61282012"/>
    <w:rsid w:val="618E48FD"/>
    <w:rsid w:val="61DE25C2"/>
    <w:rsid w:val="62731D94"/>
    <w:rsid w:val="62FF77F3"/>
    <w:rsid w:val="630A1FF2"/>
    <w:rsid w:val="631C253B"/>
    <w:rsid w:val="64642196"/>
    <w:rsid w:val="64D751A7"/>
    <w:rsid w:val="653C162C"/>
    <w:rsid w:val="65D023AF"/>
    <w:rsid w:val="664B7EA3"/>
    <w:rsid w:val="66C24ADF"/>
    <w:rsid w:val="66FC7AF6"/>
    <w:rsid w:val="67381BC7"/>
    <w:rsid w:val="679D64DC"/>
    <w:rsid w:val="67BE4FF9"/>
    <w:rsid w:val="68071233"/>
    <w:rsid w:val="680F6ECB"/>
    <w:rsid w:val="68327EF7"/>
    <w:rsid w:val="698A166B"/>
    <w:rsid w:val="69EE7B82"/>
    <w:rsid w:val="6AD2092B"/>
    <w:rsid w:val="6B7A0CF3"/>
    <w:rsid w:val="6BCB6A7F"/>
    <w:rsid w:val="6BFD71F8"/>
    <w:rsid w:val="6CD01269"/>
    <w:rsid w:val="6E1A2179"/>
    <w:rsid w:val="6FB46AB9"/>
    <w:rsid w:val="6FFFE446"/>
    <w:rsid w:val="70632BB9"/>
    <w:rsid w:val="7079079E"/>
    <w:rsid w:val="70E231B1"/>
    <w:rsid w:val="71226C95"/>
    <w:rsid w:val="721D26F3"/>
    <w:rsid w:val="726227FC"/>
    <w:rsid w:val="72E50113"/>
    <w:rsid w:val="74953DE8"/>
    <w:rsid w:val="74A964C0"/>
    <w:rsid w:val="756D3EB3"/>
    <w:rsid w:val="75BA6A9A"/>
    <w:rsid w:val="75D528E1"/>
    <w:rsid w:val="76236746"/>
    <w:rsid w:val="766905FD"/>
    <w:rsid w:val="773D51B4"/>
    <w:rsid w:val="77B875B5"/>
    <w:rsid w:val="77DC4DFE"/>
    <w:rsid w:val="77F35CA4"/>
    <w:rsid w:val="78533CC9"/>
    <w:rsid w:val="7875067F"/>
    <w:rsid w:val="78A8654A"/>
    <w:rsid w:val="78AA2807"/>
    <w:rsid w:val="79183C14"/>
    <w:rsid w:val="79B7342D"/>
    <w:rsid w:val="7A993107"/>
    <w:rsid w:val="7A9D6F19"/>
    <w:rsid w:val="7AF16E13"/>
    <w:rsid w:val="7BE10C20"/>
    <w:rsid w:val="7C982661"/>
    <w:rsid w:val="7CA37DEC"/>
    <w:rsid w:val="7D80447E"/>
    <w:rsid w:val="7EC32874"/>
    <w:rsid w:val="7FFB0C67"/>
    <w:rsid w:val="D7A792B1"/>
    <w:rsid w:val="DDFF4CFE"/>
    <w:rsid w:val="DEF69D7A"/>
    <w:rsid w:val="DFF9C6D7"/>
    <w:rsid w:val="EBBD3912"/>
    <w:rsid w:val="F63FF873"/>
    <w:rsid w:val="F77EC6FB"/>
    <w:rsid w:val="F97BDF65"/>
    <w:rsid w:val="FDF771B4"/>
    <w:rsid w:val="FEAFA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2"/>
      <o:rules v:ext="edit">
        <o:r id="V:Rule1" type="connector" idref="#_x0000_s2056"/>
        <o:r id="V:Rule2" type="connector" idref="#_x0000_s2059"/>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paragraph" w:styleId="4">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4"/>
    <w:qFormat/>
    <w:uiPriority w:val="0"/>
    <w:pPr>
      <w:ind w:firstLine="420" w:firstLineChars="200"/>
    </w:pPr>
    <w:rPr>
      <w:rFonts w:ascii="Calibri" w:hAnsi="Calibri"/>
    </w:rPr>
  </w:style>
  <w:style w:type="paragraph" w:styleId="6">
    <w:name w:val="caption"/>
    <w:basedOn w:val="1"/>
    <w:next w:val="1"/>
    <w:qFormat/>
    <w:uiPriority w:val="0"/>
    <w:pPr>
      <w:adjustRightInd w:val="0"/>
      <w:snapToGrid w:val="0"/>
      <w:jc w:val="center"/>
    </w:pPr>
    <w:rPr>
      <w:rFonts w:ascii="Cambria" w:hAnsi="Cambria"/>
      <w:b/>
      <w:szCs w:val="20"/>
    </w:rPr>
  </w:style>
  <w:style w:type="paragraph" w:styleId="7">
    <w:name w:val="annotation text"/>
    <w:basedOn w:val="1"/>
    <w:link w:val="35"/>
    <w:qFormat/>
    <w:uiPriority w:val="0"/>
    <w:pPr>
      <w:jc w:val="left"/>
    </w:pPr>
  </w:style>
  <w:style w:type="paragraph" w:styleId="8">
    <w:name w:val="Body Text"/>
    <w:basedOn w:val="1"/>
    <w:next w:val="1"/>
    <w:link w:val="33"/>
    <w:qFormat/>
    <w:uiPriority w:val="0"/>
    <w:pPr>
      <w:widowControl/>
      <w:snapToGrid w:val="0"/>
      <w:spacing w:before="60" w:after="160" w:line="259" w:lineRule="auto"/>
      <w:ind w:right="113"/>
    </w:pPr>
    <w:rPr>
      <w:kern w:val="0"/>
      <w:sz w:val="18"/>
      <w:szCs w:val="20"/>
    </w:rPr>
  </w:style>
  <w:style w:type="paragraph" w:styleId="9">
    <w:name w:val="Body Text Indent"/>
    <w:basedOn w:val="1"/>
    <w:next w:val="1"/>
    <w:qFormat/>
    <w:uiPriority w:val="0"/>
    <w:pPr>
      <w:spacing w:after="120"/>
      <w:ind w:left="420" w:leftChars="200"/>
    </w:pPr>
    <w:rPr>
      <w:kern w:val="0"/>
      <w:sz w:val="24"/>
      <w:szCs w:val="20"/>
    </w:rPr>
  </w:style>
  <w:style w:type="paragraph" w:styleId="10">
    <w:name w:val="Block Text"/>
    <w:basedOn w:val="1"/>
    <w:qFormat/>
    <w:uiPriority w:val="0"/>
    <w:pPr>
      <w:ind w:left="1272" w:leftChars="601" w:right="-506" w:rightChars="-241" w:hanging="10" w:hangingChars="3"/>
    </w:pPr>
    <w:rPr>
      <w:sz w:val="32"/>
    </w:rPr>
  </w:style>
  <w:style w:type="paragraph" w:styleId="11">
    <w:name w:val="Plain Text"/>
    <w:basedOn w:val="1"/>
    <w:qFormat/>
    <w:uiPriority w:val="99"/>
    <w:pPr>
      <w:widowControl/>
      <w:spacing w:before="100" w:beforeAutospacing="1" w:after="100" w:afterAutospacing="1"/>
      <w:jc w:val="left"/>
    </w:pPr>
    <w:rPr>
      <w:rFonts w:ascii="ˎ̥" w:hAnsi="ˎ̥"/>
      <w:kern w:val="0"/>
      <w:sz w:val="18"/>
      <w:szCs w:val="18"/>
    </w:rPr>
  </w:style>
  <w:style w:type="paragraph" w:styleId="12">
    <w:name w:val="endnote text"/>
    <w:basedOn w:val="1"/>
    <w:qFormat/>
    <w:uiPriority w:val="0"/>
    <w:pPr>
      <w:snapToGrid w:val="0"/>
      <w:jc w:val="left"/>
    </w:pPr>
  </w:style>
  <w:style w:type="paragraph" w:styleId="13">
    <w:name w:val="Balloon Text"/>
    <w:basedOn w:val="1"/>
    <w:link w:val="48"/>
    <w:qFormat/>
    <w:uiPriority w:val="0"/>
    <w:rPr>
      <w:sz w:val="18"/>
      <w:szCs w:val="18"/>
    </w:rPr>
  </w:style>
  <w:style w:type="paragraph" w:styleId="14">
    <w:name w:val="footer"/>
    <w:basedOn w:val="1"/>
    <w:qFormat/>
    <w:uiPriority w:val="99"/>
    <w:pPr>
      <w:tabs>
        <w:tab w:val="center" w:pos="4153"/>
        <w:tab w:val="right" w:pos="8306"/>
      </w:tabs>
      <w:snapToGrid w:val="0"/>
      <w:jc w:val="left"/>
    </w:pPr>
    <w:rPr>
      <w:kern w:val="0"/>
      <w:sz w:val="18"/>
      <w:szCs w:val="20"/>
    </w:rPr>
  </w:style>
  <w:style w:type="paragraph" w:styleId="15">
    <w:name w:val="header"/>
    <w:basedOn w:val="1"/>
    <w:link w:val="30"/>
    <w:qFormat/>
    <w:uiPriority w:val="0"/>
    <w:pPr>
      <w:tabs>
        <w:tab w:val="center" w:pos="4153"/>
        <w:tab w:val="right" w:pos="8306"/>
      </w:tabs>
      <w:snapToGrid w:val="0"/>
      <w:jc w:val="center"/>
    </w:pPr>
    <w:rPr>
      <w:sz w:val="18"/>
      <w:szCs w:val="18"/>
    </w:rPr>
  </w:style>
  <w:style w:type="paragraph" w:styleId="16">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7">
    <w:name w:val="annotation subject"/>
    <w:basedOn w:val="7"/>
    <w:next w:val="7"/>
    <w:link w:val="36"/>
    <w:qFormat/>
    <w:uiPriority w:val="0"/>
    <w:rPr>
      <w:b/>
      <w:bCs/>
    </w:rPr>
  </w:style>
  <w:style w:type="paragraph" w:styleId="18">
    <w:name w:val="Body Text First Indent"/>
    <w:basedOn w:val="8"/>
    <w:link w:val="34"/>
    <w:qFormat/>
    <w:uiPriority w:val="0"/>
    <w:pPr>
      <w:widowControl w:val="0"/>
      <w:snapToGrid/>
      <w:spacing w:before="0" w:after="120" w:line="240" w:lineRule="auto"/>
      <w:ind w:right="0" w:firstLine="420" w:firstLineChars="100"/>
    </w:pPr>
    <w:rPr>
      <w:kern w:val="2"/>
      <w:sz w:val="21"/>
      <w:szCs w:val="24"/>
    </w:rPr>
  </w:style>
  <w:style w:type="paragraph" w:styleId="19">
    <w:name w:val="Body Text First Indent 2"/>
    <w:basedOn w:val="9"/>
    <w:next w:val="1"/>
    <w:qFormat/>
    <w:uiPriority w:val="0"/>
    <w:pPr>
      <w:ind w:firstLine="420" w:firstLineChars="200"/>
    </w:pPr>
    <w:rPr>
      <w:kern w:val="2"/>
      <w:sz w:val="21"/>
      <w:szCs w:val="24"/>
    </w:rPr>
  </w:style>
  <w:style w:type="table" w:styleId="21">
    <w:name w:val="Table Grid"/>
    <w:basedOn w:val="2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page number"/>
    <w:qFormat/>
    <w:uiPriority w:val="0"/>
  </w:style>
  <w:style w:type="character" w:styleId="24">
    <w:name w:val="Emphasis"/>
    <w:basedOn w:val="22"/>
    <w:qFormat/>
    <w:uiPriority w:val="0"/>
    <w:rPr>
      <w:i/>
    </w:rPr>
  </w:style>
  <w:style w:type="character" w:styleId="25">
    <w:name w:val="annotation reference"/>
    <w:qFormat/>
    <w:uiPriority w:val="0"/>
    <w:rPr>
      <w:sz w:val="21"/>
    </w:rPr>
  </w:style>
  <w:style w:type="paragraph" w:customStyle="1" w:styleId="26">
    <w:name w:val="正文_4"/>
    <w:qFormat/>
    <w:uiPriority w:val="0"/>
    <w:pPr>
      <w:widowControl w:val="0"/>
      <w:jc w:val="both"/>
    </w:pPr>
    <w:rPr>
      <w:rFonts w:ascii="Calibri" w:hAnsi="Calibri" w:eastAsia="宋体" w:cs="Times New Roman"/>
      <w:kern w:val="2"/>
      <w:sz w:val="21"/>
      <w:lang w:val="en-US" w:eastAsia="zh-CN" w:bidi="ar-SA"/>
    </w:rPr>
  </w:style>
  <w:style w:type="paragraph" w:customStyle="1" w:styleId="27">
    <w:name w:val="表格"/>
    <w:basedOn w:val="1"/>
    <w:next w:val="1"/>
    <w:qFormat/>
    <w:uiPriority w:val="0"/>
    <w:pPr>
      <w:adjustRightInd w:val="0"/>
      <w:snapToGrid w:val="0"/>
      <w:jc w:val="center"/>
    </w:pPr>
    <w:rPr>
      <w:kern w:val="0"/>
      <w:szCs w:val="20"/>
    </w:rPr>
  </w:style>
  <w:style w:type="paragraph" w:customStyle="1" w:styleId="28">
    <w:name w:val="高-正文"/>
    <w:basedOn w:val="1"/>
    <w:qFormat/>
    <w:uiPriority w:val="0"/>
    <w:pPr>
      <w:topLinePunct/>
      <w:adjustRightInd w:val="0"/>
      <w:snapToGrid w:val="0"/>
      <w:spacing w:line="480" w:lineRule="exact"/>
      <w:ind w:firstLine="600" w:firstLineChars="200"/>
    </w:pPr>
    <w:rPr>
      <w:snapToGrid w:val="0"/>
      <w:kern w:val="0"/>
      <w:sz w:val="24"/>
    </w:rPr>
  </w:style>
  <w:style w:type="paragraph" w:customStyle="1" w:styleId="29">
    <w:name w:val="【表头】"/>
    <w:basedOn w:val="1"/>
    <w:qFormat/>
    <w:uiPriority w:val="0"/>
    <w:pPr>
      <w:adjustRightInd w:val="0"/>
      <w:snapToGrid w:val="0"/>
      <w:spacing w:line="360" w:lineRule="auto"/>
      <w:jc w:val="center"/>
    </w:pPr>
    <w:rPr>
      <w:b/>
      <w:bCs/>
      <w:sz w:val="24"/>
    </w:rPr>
  </w:style>
  <w:style w:type="character" w:customStyle="1" w:styleId="30">
    <w:name w:val="页眉 Char"/>
    <w:basedOn w:val="22"/>
    <w:link w:val="15"/>
    <w:qFormat/>
    <w:uiPriority w:val="0"/>
    <w:rPr>
      <w:kern w:val="2"/>
      <w:sz w:val="18"/>
      <w:szCs w:val="18"/>
    </w:rPr>
  </w:style>
  <w:style w:type="paragraph" w:customStyle="1" w:styleId="31">
    <w:name w:val="1正文"/>
    <w:basedOn w:val="1"/>
    <w:qFormat/>
    <w:uiPriority w:val="0"/>
    <w:pPr>
      <w:widowControl/>
      <w:adjustRightInd w:val="0"/>
      <w:snapToGrid w:val="0"/>
      <w:spacing w:line="360" w:lineRule="auto"/>
      <w:ind w:firstLine="200" w:firstLineChars="200"/>
    </w:pPr>
    <w:rPr>
      <w:color w:val="000000"/>
      <w:kern w:val="1"/>
      <w:sz w:val="24"/>
    </w:rPr>
  </w:style>
  <w:style w:type="paragraph" w:customStyle="1" w:styleId="32">
    <w:name w:val="表头"/>
    <w:basedOn w:val="1"/>
    <w:qFormat/>
    <w:uiPriority w:val="0"/>
    <w:pPr>
      <w:adjustRightInd w:val="0"/>
      <w:snapToGrid w:val="0"/>
      <w:spacing w:line="360" w:lineRule="auto"/>
      <w:jc w:val="center"/>
    </w:pPr>
    <w:rPr>
      <w:b/>
      <w:bCs/>
      <w:sz w:val="24"/>
    </w:rPr>
  </w:style>
  <w:style w:type="character" w:customStyle="1" w:styleId="33">
    <w:name w:val="正文文本 Char"/>
    <w:basedOn w:val="22"/>
    <w:link w:val="8"/>
    <w:qFormat/>
    <w:uiPriority w:val="0"/>
    <w:rPr>
      <w:sz w:val="18"/>
    </w:rPr>
  </w:style>
  <w:style w:type="character" w:customStyle="1" w:styleId="34">
    <w:name w:val="正文首行缩进 Char"/>
    <w:basedOn w:val="33"/>
    <w:link w:val="18"/>
    <w:qFormat/>
    <w:uiPriority w:val="0"/>
    <w:rPr>
      <w:kern w:val="2"/>
      <w:sz w:val="21"/>
      <w:szCs w:val="24"/>
    </w:rPr>
  </w:style>
  <w:style w:type="character" w:customStyle="1" w:styleId="35">
    <w:name w:val="批注文字 Char"/>
    <w:basedOn w:val="22"/>
    <w:link w:val="7"/>
    <w:qFormat/>
    <w:uiPriority w:val="0"/>
    <w:rPr>
      <w:kern w:val="2"/>
      <w:sz w:val="21"/>
      <w:szCs w:val="24"/>
    </w:rPr>
  </w:style>
  <w:style w:type="character" w:customStyle="1" w:styleId="36">
    <w:name w:val="批注主题 Char"/>
    <w:basedOn w:val="35"/>
    <w:link w:val="17"/>
    <w:qFormat/>
    <w:uiPriority w:val="0"/>
    <w:rPr>
      <w:b/>
      <w:bCs/>
      <w:kern w:val="2"/>
      <w:sz w:val="21"/>
      <w:szCs w:val="24"/>
    </w:rPr>
  </w:style>
  <w:style w:type="paragraph" w:customStyle="1" w:styleId="37">
    <w:name w:val="新正文"/>
    <w:basedOn w:val="1"/>
    <w:qFormat/>
    <w:uiPriority w:val="0"/>
    <w:pPr>
      <w:spacing w:before="60" w:line="460" w:lineRule="exact"/>
      <w:ind w:firstLine="200" w:firstLineChars="200"/>
    </w:pPr>
    <w:rPr>
      <w:sz w:val="24"/>
    </w:rPr>
  </w:style>
  <w:style w:type="paragraph" w:customStyle="1" w:styleId="38">
    <w:name w:val="样式 正文缩进正文缩进2正文缩进 Char Char正文缩进 Char Char Char Char正文缩进 Char ..."/>
    <w:basedOn w:val="5"/>
    <w:qFormat/>
    <w:uiPriority w:val="0"/>
    <w:pPr>
      <w:spacing w:line="360" w:lineRule="auto"/>
      <w:ind w:firstLine="200"/>
    </w:pPr>
    <w:rPr>
      <w:sz w:val="24"/>
    </w:rPr>
  </w:style>
  <w:style w:type="paragraph" w:customStyle="1" w:styleId="39">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40">
    <w:name w:val="font21"/>
    <w:basedOn w:val="22"/>
    <w:qFormat/>
    <w:uiPriority w:val="0"/>
    <w:rPr>
      <w:rFonts w:hint="default" w:ascii="Times New Roman" w:hAnsi="Times New Roman" w:cs="Times New Roman"/>
      <w:color w:val="000000"/>
      <w:sz w:val="21"/>
      <w:szCs w:val="21"/>
      <w:u w:val="none"/>
    </w:rPr>
  </w:style>
  <w:style w:type="character" w:customStyle="1" w:styleId="41">
    <w:name w:val="font31"/>
    <w:basedOn w:val="22"/>
    <w:qFormat/>
    <w:uiPriority w:val="0"/>
    <w:rPr>
      <w:rFonts w:hint="default" w:ascii="Times New Roman" w:hAnsi="Times New Roman" w:cs="Times New Roman"/>
      <w:color w:val="000000"/>
      <w:sz w:val="21"/>
      <w:szCs w:val="21"/>
      <w:u w:val="none"/>
      <w:vertAlign w:val="superscript"/>
    </w:rPr>
  </w:style>
  <w:style w:type="character" w:customStyle="1" w:styleId="42">
    <w:name w:val="font11"/>
    <w:basedOn w:val="22"/>
    <w:qFormat/>
    <w:uiPriority w:val="0"/>
    <w:rPr>
      <w:rFonts w:hint="eastAsia" w:ascii="宋体" w:hAnsi="宋体" w:eastAsia="宋体" w:cs="宋体"/>
      <w:color w:val="000000"/>
      <w:sz w:val="21"/>
      <w:szCs w:val="21"/>
      <w:u w:val="none"/>
    </w:rPr>
  </w:style>
  <w:style w:type="character" w:customStyle="1" w:styleId="43">
    <w:name w:val="font41"/>
    <w:basedOn w:val="22"/>
    <w:qFormat/>
    <w:uiPriority w:val="0"/>
    <w:rPr>
      <w:rFonts w:ascii="Symbol" w:hAnsi="Symbol" w:cs="Symbol"/>
      <w:color w:val="000000"/>
      <w:sz w:val="21"/>
      <w:szCs w:val="21"/>
      <w:u w:val="none"/>
    </w:rPr>
  </w:style>
  <w:style w:type="paragraph" w:customStyle="1" w:styleId="44">
    <w:name w:val="报告表正文"/>
    <w:basedOn w:val="1"/>
    <w:qFormat/>
    <w:uiPriority w:val="0"/>
    <w:pPr>
      <w:spacing w:line="360" w:lineRule="auto"/>
      <w:ind w:firstLine="200" w:firstLineChars="200"/>
    </w:pPr>
    <w:rPr>
      <w:rFonts w:eastAsia="楷体_GB2312"/>
      <w:sz w:val="24"/>
    </w:rPr>
  </w:style>
  <w:style w:type="paragraph" w:customStyle="1" w:styleId="45">
    <w:name w:val="表格样式"/>
    <w:basedOn w:val="1"/>
    <w:qFormat/>
    <w:uiPriority w:val="0"/>
  </w:style>
  <w:style w:type="paragraph" w:customStyle="1" w:styleId="46">
    <w:name w:val="ZSZW-正文"/>
    <w:basedOn w:val="1"/>
    <w:qFormat/>
    <w:uiPriority w:val="0"/>
    <w:pPr>
      <w:adjustRightInd w:val="0"/>
      <w:snapToGrid w:val="0"/>
      <w:spacing w:line="360" w:lineRule="auto"/>
      <w:ind w:firstLine="200" w:firstLineChars="200"/>
    </w:pPr>
    <w:rPr>
      <w:color w:val="000000"/>
      <w:kern w:val="0"/>
      <w:sz w:val="24"/>
    </w:rPr>
  </w:style>
  <w:style w:type="paragraph" w:customStyle="1" w:styleId="47">
    <w:name w:val="Heading 3"/>
    <w:basedOn w:val="1"/>
    <w:qFormat/>
    <w:uiPriority w:val="1"/>
    <w:pPr>
      <w:autoSpaceDE w:val="0"/>
      <w:autoSpaceDN w:val="0"/>
      <w:ind w:left="278"/>
      <w:jc w:val="left"/>
      <w:outlineLvl w:val="3"/>
    </w:pPr>
    <w:rPr>
      <w:rFonts w:ascii="宋体" w:hAnsi="宋体" w:cs="宋体"/>
      <w:b/>
      <w:bCs/>
      <w:kern w:val="0"/>
      <w:sz w:val="24"/>
      <w:lang w:val="zh-CN" w:bidi="zh-CN"/>
    </w:rPr>
  </w:style>
  <w:style w:type="character" w:customStyle="1" w:styleId="48">
    <w:name w:val="批注框文本 Char"/>
    <w:basedOn w:val="22"/>
    <w:link w:val="13"/>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9.jpeg"/><Relationship Id="rId15" Type="http://schemas.openxmlformats.org/officeDocument/2006/relationships/image" Target="media/image8.pn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png"/><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Info spid="_x0000_s2064"/>
    <customShpInfo spid="_x0000_s2063"/>
    <customShpInfo spid="_x0000_s2062"/>
    <customShpInfo spid="_x0000_s2061"/>
    <customShpInfo spid="_x0000_s2060"/>
    <customShpInfo spid="_x0000_s2059"/>
    <customShpInfo spid="_x0000_s2058"/>
    <customShpInfo spid="_x0000_s2057"/>
    <customShpInfo spid="_x0000_s2056"/>
    <customShpInfo spid="_x0000_s2055"/>
    <customShpInfo spid="_x0000_s2054"/>
    <customShpInfo spid="_x0000_s2053"/>
    <customShpInfo spid="_x0000_s2052"/>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97</Words>
  <Characters>101</Characters>
  <Lines>206</Lines>
  <Paragraphs>58</Paragraphs>
  <TotalTime>1</TotalTime>
  <ScaleCrop>false</ScaleCrop>
  <LinksUpToDate>false</LinksUpToDate>
  <CharactersWithSpaces>156</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2025-09-15T12:30:00Z</dcterms:created>
  <dc:creator>Administrator</dc:creator>
  <cp:lastModifiedBy>HUAWEI</cp:lastModifiedBy>
  <cp:lastPrinted>2023-07-20T09:21:00Z</cp:lastPrinted>
  <dcterms:modified xsi:type="dcterms:W3CDTF">2025-12-12T17:00:12Z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4607A6B1A0C34E66BC02CDCF17BB9147_13</vt:lpwstr>
  </property>
  <property fmtid="{D5CDD505-2E9C-101B-9397-08002B2CF9AE}" pid="4" name="KSOTemplateDocerSaveRecord">
    <vt:lpwstr>eyJoZGlkIjoiNmNlYzNhZjY5M2VjMzEwOTk4OTZkNmMyMjQxNzkxNDgiLCJ1c2VySWQiOiI5MjI0Njc3NzUifQ==</vt:lpwstr>
  </property>
</Properties>
</file>